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Relevance and Personal-Fit Scoring</w:t>
      </w:r>
    </w:p>
    <w:p>
      <w:r>
        <w:t>NOVYRA OS — Stage 8: Scoring Engine</w:t>
      </w:r>
    </w:p>
    <w:p>
      <w:pPr>
        <w:pStyle w:val="Heading1"/>
      </w:pPr>
      <w:r>
        <w:t>1. Relevance</w:t>
      </w:r>
    </w:p>
    <w:p>
      <w:r>
        <w:t>Relevance measures how closely an item aligns with the system's defined objective.</w:t>
      </w:r>
    </w:p>
    <w:p>
      <w:pPr>
        <w:pStyle w:val="Heading1"/>
      </w:pPr>
      <w:r>
        <w:t>2. Personal Fit</w:t>
      </w:r>
    </w:p>
    <w:p>
      <w:r>
        <w:t>Personal fit measures how closely an item aligns with the user's known preferences, skills, experience, location, constraints, or goals, where such information is legitimately available.</w:t>
      </w:r>
    </w:p>
    <w:p>
      <w:pPr>
        <w:pStyle w:val="Heading1"/>
      </w:pPr>
      <w:r>
        <w:t>3. Example Signals</w:t>
      </w:r>
    </w:p>
    <w:p>
      <w:pPr>
        <w:pStyle w:val="ListBullet"/>
      </w:pPr>
      <w:r>
        <w:t>Skill overlap.</w:t>
      </w:r>
    </w:p>
    <w:p>
      <w:pPr>
        <w:pStyle w:val="ListBullet"/>
      </w:pPr>
      <w:r>
        <w:t>Technology overlap.</w:t>
      </w:r>
    </w:p>
    <w:p>
      <w:pPr>
        <w:pStyle w:val="ListBullet"/>
      </w:pPr>
      <w:r>
        <w:t>Experience level.</w:t>
      </w:r>
    </w:p>
    <w:p>
      <w:pPr>
        <w:pStyle w:val="ListBullet"/>
      </w:pPr>
      <w:r>
        <w:t>Location compatibility.</w:t>
      </w:r>
    </w:p>
    <w:p>
      <w:pPr>
        <w:pStyle w:val="ListBullet"/>
      </w:pPr>
      <w:r>
        <w:t>Industry alignment.</w:t>
      </w:r>
    </w:p>
    <w:p>
      <w:pPr>
        <w:pStyle w:val="ListBullet"/>
      </w:pPr>
      <w:r>
        <w:t>Role alignment.</w:t>
      </w:r>
    </w:p>
    <w:p>
      <w:pPr>
        <w:pStyle w:val="ListBullet"/>
      </w:pPr>
      <w:r>
        <w:t>User-defined interests.</w:t>
      </w:r>
    </w:p>
    <w:p>
      <w:pPr>
        <w:pStyle w:val="Heading1"/>
      </w:pPr>
      <w:r>
        <w:t>4. Avoiding Over-Personalisation</w:t>
      </w:r>
    </w:p>
    <w:p>
      <w:r>
        <w:t>A scoring engine should not assume that past behaviour always represents future preference.</w:t>
      </w:r>
    </w:p>
    <w:p>
      <w:r>
        <w:t>User feedback should remain editable and transparent.</w:t>
      </w:r>
    </w:p>
    <w:p>
      <w:pPr>
        <w:pStyle w:val="Heading1"/>
      </w:pPr>
      <w:r>
        <w:t>5. Practical Exercise</w:t>
      </w:r>
    </w:p>
    <w:p>
      <w:r>
        <w:t>Design a 0–100 personal-fit score using five measurable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