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Thresholds and Decision Boundaries</w:t>
      </w:r>
    </w:p>
    <w:p>
      <w:r>
        <w:t>NOVYRA OS — Stage 8: Scoring Engine</w:t>
      </w:r>
    </w:p>
    <w:p>
      <w:pPr>
        <w:pStyle w:val="Heading1"/>
      </w:pPr>
      <w:r>
        <w:t>1. Thresholds</w:t>
      </w:r>
    </w:p>
    <w:p>
      <w:r>
        <w:t>A threshold converts a continuous score into a category or action.</w:t>
      </w:r>
    </w:p>
    <w:p>
      <w:pPr>
        <w:pStyle w:val="Heading1"/>
      </w:pPr>
      <w:r>
        <w:t>2. Example</w:t>
      </w:r>
    </w:p>
    <w:p>
      <w:r>
        <w:t>A conceptual system might classify:</w:t>
      </w:r>
    </w:p>
    <w:p>
      <w:r>
        <w:t>80–100: Critical Priority</w:t>
        <w:br/>
        <w:t>65–79: High Priority</w:t>
        <w:br/>
        <w:t>50–64: Medium Priority</w:t>
        <w:br/>
        <w:t>Below 50: Low Priority.</w:t>
      </w:r>
    </w:p>
    <w:p>
      <w:pPr>
        <w:pStyle w:val="Heading1"/>
      </w:pPr>
      <w:r>
        <w:t>3. Threshold Risks</w:t>
      </w:r>
    </w:p>
    <w:p>
      <w:r>
        <w:t>A score of 79 and a score of 80 may be practically similar even though they fall into different categories.</w:t>
      </w:r>
    </w:p>
    <w:p>
      <w:r>
        <w:t>Thresholds should therefore not hide the underlying numerical score.</w:t>
      </w:r>
    </w:p>
    <w:p>
      <w:pPr>
        <w:pStyle w:val="Heading1"/>
      </w:pPr>
      <w:r>
        <w:t>4. Hysteresis</w:t>
      </w:r>
    </w:p>
    <w:p>
      <w:r>
        <w:t>For automated systems, hysteresis can prevent an item from rapidly switching categories when its score fluctuates around a boundary.</w:t>
      </w:r>
    </w:p>
    <w:p>
      <w:pPr>
        <w:pStyle w:val="Heading1"/>
      </w:pPr>
      <w:r>
        <w:t>5. Practical Exercise</w:t>
      </w:r>
    </w:p>
    <w:p>
      <w:r>
        <w:t>Design priority thresholds and define what action each category should trigger.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