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Dynamic and Context-Aware Scoring</w:t>
      </w:r>
    </w:p>
    <w:p>
      <w:r>
        <w:t>NOVYRA OS — Stage 8: Scoring Engine</w:t>
      </w:r>
    </w:p>
    <w:p>
      <w:pPr>
        <w:pStyle w:val="Heading1"/>
      </w:pPr>
      <w:r>
        <w:t>1. Dynamic Scoring</w:t>
      </w:r>
    </w:p>
    <w:p>
      <w:r>
        <w:t>Dynamic scoring changes based on context, time, user preferences, or current conditions.</w:t>
      </w:r>
    </w:p>
    <w:p>
      <w:pPr>
        <w:pStyle w:val="Heading1"/>
      </w:pPr>
      <w:r>
        <w:t>2. Example</w:t>
      </w:r>
    </w:p>
    <w:p>
      <w:r>
        <w:t>The same opportunity may be more valuable before a deadline than after it.</w:t>
      </w:r>
    </w:p>
    <w:p>
      <w:r>
        <w:t>A technology signal may become more relevant when it aligns with a current project.</w:t>
      </w:r>
    </w:p>
    <w:p>
      <w:pPr>
        <w:pStyle w:val="Heading1"/>
      </w:pPr>
      <w:r>
        <w:t>3. Context Controls</w:t>
      </w:r>
    </w:p>
    <w:p>
      <w:r>
        <w:t>Dynamic systems need guardrails.</w:t>
      </w:r>
    </w:p>
    <w:p>
      <w:r>
        <w:t>The scoring model should remain explainable even when context changes weights or features.</w:t>
      </w:r>
    </w:p>
    <w:p>
      <w:pPr>
        <w:pStyle w:val="Heading1"/>
      </w:pPr>
      <w:r>
        <w:t>4. Practical Exercise</w:t>
      </w:r>
    </w:p>
    <w:p>
      <w:r>
        <w:t>Design a context-aware scoring rule and identify the information it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