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Scoring Engine Testing</w:t>
      </w:r>
    </w:p>
    <w:p>
      <w:r>
        <w:t>NOVYRA OS — Stage 8: Scoring Engine</w:t>
      </w:r>
    </w:p>
    <w:p>
      <w:pPr>
        <w:pStyle w:val="Heading1"/>
      </w:pPr>
      <w:r>
        <w:t>1. Unit Tests</w:t>
      </w:r>
    </w:p>
    <w:p>
      <w:r>
        <w:t>Test each scoring component independently.</w:t>
      </w:r>
    </w:p>
    <w:p>
      <w:pPr>
        <w:pStyle w:val="Heading1"/>
      </w:pPr>
      <w:r>
        <w:t>2. Integration Tests</w:t>
      </w:r>
    </w:p>
    <w:p>
      <w:r>
        <w:t>Verify that processed data correctly flows into the scoring engine.</w:t>
      </w:r>
    </w:p>
    <w:p>
      <w:pPr>
        <w:pStyle w:val="Heading1"/>
      </w:pPr>
      <w:r>
        <w:t>3. Boundary Tests</w:t>
      </w:r>
    </w:p>
    <w:p>
      <w:r>
        <w:t>Test values immediately below, at, and above thresholds.</w:t>
      </w:r>
    </w:p>
    <w:p>
      <w:pPr>
        <w:pStyle w:val="Heading1"/>
      </w:pPr>
      <w:r>
        <w:t>4. Regression Tests</w:t>
      </w:r>
    </w:p>
    <w:p>
      <w:r>
        <w:t>Ensure that model changes do not unexpectedly alter previously validated behaviour.</w:t>
      </w:r>
    </w:p>
    <w:p>
      <w:pPr>
        <w:pStyle w:val="Heading1"/>
      </w:pPr>
      <w:r>
        <w:t>5. Explainability Tests</w:t>
      </w:r>
    </w:p>
    <w:p>
      <w:r>
        <w:t>Verify that every score can produce a meaningful breakdown.</w:t>
      </w:r>
    </w:p>
    <w:p>
      <w:pPr>
        <w:pStyle w:val="Heading1"/>
      </w:pPr>
      <w:r>
        <w:t>6. Example Cases</w:t>
      </w:r>
    </w:p>
    <w:p>
      <w:pPr>
        <w:pStyle w:val="ListBullet"/>
      </w:pPr>
      <w:r>
        <w:t>Perfect match.</w:t>
      </w:r>
    </w:p>
    <w:p>
      <w:pPr>
        <w:pStyle w:val="ListBullet"/>
      </w:pPr>
      <w:r>
        <w:t>No match.</w:t>
      </w:r>
    </w:p>
    <w:p>
      <w:pPr>
        <w:pStyle w:val="ListBullet"/>
      </w:pPr>
      <w:r>
        <w:t>Missing data.</w:t>
      </w:r>
    </w:p>
    <w:p>
      <w:pPr>
        <w:pStyle w:val="ListBullet"/>
      </w:pPr>
      <w:r>
        <w:t>Conflicting data.</w:t>
      </w:r>
    </w:p>
    <w:p>
      <w:pPr>
        <w:pStyle w:val="ListBullet"/>
      </w:pPr>
      <w:r>
        <w:t>Expired opportunity.</w:t>
      </w:r>
    </w:p>
    <w:p>
      <w:pPr>
        <w:pStyle w:val="ListBullet"/>
      </w:pPr>
      <w:r>
        <w:t>High-value but high-risk opportunity.</w:t>
      </w:r>
    </w:p>
    <w:p>
      <w:pPr>
        <w:pStyle w:val="ListBullet"/>
      </w:pPr>
      <w:r>
        <w:t>Low-value but highly relevant opportunity.</w:t>
      </w:r>
    </w:p>
    <w:p>
      <w:pPr>
        <w:pStyle w:val="Heading1"/>
      </w:pPr>
      <w:r>
        <w:t>7. Practical Exercise</w:t>
      </w:r>
    </w:p>
    <w:p>
      <w:r>
        <w:t>Create a test matrix containing at least 20 scoring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