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Embeddings and Semantic Search</w:t>
      </w:r>
    </w:p>
    <w:p>
      <w:r>
        <w:t>NOVYRA OS — Stage 9: AI Integration</w:t>
      </w:r>
    </w:p>
    <w:p>
      <w:pPr>
        <w:pStyle w:val="Heading1"/>
      </w:pPr>
      <w:r>
        <w:t>1. Embeddings</w:t>
      </w:r>
    </w:p>
    <w:p>
      <w:r>
        <w:t>Embeddings represent content as numerical vectors that capture semantic relationships.</w:t>
      </w:r>
    </w:p>
    <w:p>
      <w:pPr>
        <w:pStyle w:val="Heading1"/>
      </w:pPr>
      <w:r>
        <w:t>2. Semantic Search</w:t>
      </w:r>
    </w:p>
    <w:p>
      <w:r>
        <w:t>Semantic search attempts to find content with similar meaning rather than relying only on exact keyword matches.</w:t>
      </w:r>
    </w:p>
    <w:p>
      <w:pPr>
        <w:pStyle w:val="Heading1"/>
      </w:pPr>
      <w:r>
        <w:t>3. Example</w:t>
      </w:r>
    </w:p>
    <w:p>
      <w:r>
        <w:t>A query about 'ways to earn income online' may retrieve a document discussing 'digital side businesses' even if the exact words differ.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