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jc w:val="center"/>
        <w:rPr/>
      </w:pPr>
      <w:bookmarkStart w:colFirst="0" w:colLast="0" w:name="_95xs00s5p5p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jc w:val="center"/>
        <w:rPr/>
      </w:pPr>
      <w:bookmarkStart w:colFirst="0" w:colLast="0" w:name="_6p2y3noawr6g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jc w:val="left"/>
        <w:rPr>
          <w:b w:val="1"/>
          <w:bCs w:val="1"/>
        </w:rPr>
      </w:pPr>
      <w:bookmarkStart w:colFirst="0" w:colLast="0" w:name="_qfolhl8ts10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jc w:val="center"/>
        <w:rPr>
          <w:b w:val="1"/>
          <w:bCs w:val="1"/>
        </w:rPr>
      </w:pPr>
      <w:bookmarkStart w:colFirst="0" w:colLast="0" w:name="_w5nsqpbkvuq6" w:id="3"/>
      <w:bookmarkEnd w:id="3"/>
      <w:r w:rsidDel="00000000" w:rsidR="00000000" w:rsidRPr="00000000">
        <w:rPr>
          <w:b w:val="1"/>
          <w:bCs w:val="1"/>
          <w:rtl w:val="0"/>
        </w:rPr>
        <w:t xml:space="preserve">Plan de pruebas</w:t>
        <w:br w:type="textWrapping"/>
        <w:t xml:space="preserve">(Proyecto: “EMERGEN”)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right"/>
        <w:rPr/>
      </w:pPr>
      <w:r w:rsidDel="00000000" w:rsidR="00000000" w:rsidRPr="00000000">
        <w:rPr>
          <w:rtl w:val="0"/>
        </w:rPr>
        <w:t xml:space="preserve">Integrantes: Gabriel Valencia, </w:t>
      </w:r>
    </w:p>
    <w:p w:rsidR="00000000" w:rsidDel="00000000" w:rsidP="00000000" w:rsidRDefault="00000000" w:rsidRPr="00000000" w14:paraId="0000001C">
      <w:pPr>
        <w:jc w:val="right"/>
        <w:rPr/>
      </w:pPr>
      <w:r w:rsidDel="00000000" w:rsidR="00000000" w:rsidRPr="00000000">
        <w:rPr>
          <w:rtl w:val="0"/>
        </w:rPr>
        <w:t xml:space="preserve">Diego Plaza,</w:t>
      </w:r>
    </w:p>
    <w:p w:rsidR="00000000" w:rsidDel="00000000" w:rsidP="00000000" w:rsidRDefault="00000000" w:rsidRPr="00000000" w14:paraId="0000001D">
      <w:pPr>
        <w:jc w:val="right"/>
        <w:rPr/>
      </w:pPr>
      <w:r w:rsidDel="00000000" w:rsidR="00000000" w:rsidRPr="00000000">
        <w:rPr>
          <w:rtl w:val="0"/>
        </w:rPr>
        <w:t xml:space="preserve"> Alonso González</w:t>
      </w:r>
    </w:p>
    <w:p w:rsidR="00000000" w:rsidDel="00000000" w:rsidP="00000000" w:rsidRDefault="00000000" w:rsidRPr="00000000" w14:paraId="0000001E">
      <w:pPr>
        <w:jc w:val="right"/>
        <w:rPr/>
      </w:pPr>
      <w:r w:rsidDel="00000000" w:rsidR="00000000" w:rsidRPr="00000000">
        <w:rPr>
          <w:rtl w:val="0"/>
        </w:rPr>
        <w:t xml:space="preserve">Docente: Julio Tapia</w:t>
      </w:r>
    </w:p>
    <w:p w:rsidR="00000000" w:rsidDel="00000000" w:rsidP="00000000" w:rsidRDefault="00000000" w:rsidRPr="00000000" w14:paraId="0000001F">
      <w:pPr>
        <w:jc w:val="right"/>
        <w:rPr/>
      </w:pPr>
      <w:r w:rsidDel="00000000" w:rsidR="00000000" w:rsidRPr="00000000">
        <w:rPr>
          <w:rtl w:val="0"/>
        </w:rPr>
        <w:t xml:space="preserve">Asignatura: Capstone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320" w:line="264" w:lineRule="auto"/>
        <w:rPr>
          <w:rFonts w:ascii="Calibri" w:cs="Calibri" w:eastAsia="Calibri" w:hAnsi="Calibri"/>
          <w:b w:val="1"/>
          <w:bCs w:val="1"/>
          <w:color w:val="365f91"/>
          <w:sz w:val="28"/>
          <w:szCs w:val="28"/>
        </w:rPr>
      </w:pPr>
      <w:r w:rsidDel="00000000" w:rsidR="00000000" w:rsidRPr="00000000">
        <w:rPr>
          <w:sz w:val="32"/>
          <w:szCs w:val="32"/>
          <w:rtl w:val="0"/>
        </w:rPr>
        <w:t xml:space="preserve">Control del documento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80"/>
        <w:gridCol w:w="1350"/>
        <w:gridCol w:w="4965"/>
        <w:gridCol w:w="1635"/>
        <w:tblGridChange w:id="0">
          <w:tblGrid>
            <w:gridCol w:w="1080"/>
            <w:gridCol w:w="1350"/>
            <w:gridCol w:w="4965"/>
            <w:gridCol w:w="1635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08-09-2026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Plan inicial trazable al ERS y alineado con Backlog y Sprints.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Para revisión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07-10-2026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Correcciones de la auditoría técnica; registro de versiones con fechas reales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[pendiente de confirmar]</w:t>
            </w:r>
          </w:p>
        </w:tc>
      </w:tr>
    </w:tbl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320" w:line="264" w:lineRule="auto"/>
        <w:ind w:left="720" w:hanging="360"/>
      </w:pPr>
      <w:bookmarkStart w:colFirst="0" w:colLast="0" w:name="_94718hvfejtw" w:id="4"/>
      <w:bookmarkEnd w:id="4"/>
      <w:r w:rsidDel="00000000" w:rsidR="00000000" w:rsidRPr="00000000">
        <w:rPr>
          <w:rtl w:val="0"/>
        </w:rPr>
        <w:t xml:space="preserve">Propósito y objetivos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264" w:lineRule="auto"/>
        <w:ind w:left="720" w:firstLine="0"/>
        <w:rPr>
          <w:sz w:val="22"/>
          <w:szCs w:val="22"/>
        </w:rPr>
      </w:pPr>
      <w:bookmarkStart w:colFirst="0" w:colLast="0" w:name="_94718hvfejtw" w:id="4"/>
      <w:bookmarkEnd w:id="4"/>
      <w:r w:rsidDel="00000000" w:rsidR="00000000" w:rsidRPr="00000000">
        <w:rPr>
          <w:sz w:val="22"/>
          <w:szCs w:val="22"/>
          <w:rtl w:val="0"/>
        </w:rPr>
        <w:t xml:space="preserve">Este plan define que se va a probar, como se validará y bajo qué criterios se  validará la aplicación de Emergen. Su finalidad es asegurar que cada requisito tenga una prueba identificable, un resultado esperado y evidencia suficiente antes de aceptar una entrega.</w:t>
      </w:r>
    </w:p>
    <w:p w:rsidR="00000000" w:rsidDel="00000000" w:rsidP="00000000" w:rsidRDefault="00000000" w:rsidRPr="00000000" w14:paraId="00000036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264" w:lineRule="auto"/>
        <w:ind w:left="720" w:firstLine="0"/>
        <w:rPr>
          <w:sz w:val="22"/>
          <w:szCs w:val="22"/>
        </w:rPr>
      </w:pPr>
      <w:bookmarkStart w:colFirst="0" w:colLast="0" w:name="_94718hvfejtw" w:id="4"/>
      <w:bookmarkEnd w:id="4"/>
      <w:r w:rsidDel="00000000" w:rsidR="00000000" w:rsidRPr="00000000">
        <w:rPr>
          <w:sz w:val="22"/>
          <w:szCs w:val="22"/>
          <w:rtl w:val="0"/>
        </w:rPr>
        <w:t xml:space="preserve">Objetivos específicos:</w:t>
      </w:r>
    </w:p>
    <w:p w:rsidR="00000000" w:rsidDel="00000000" w:rsidP="00000000" w:rsidRDefault="00000000" w:rsidRPr="00000000" w14:paraId="00000037">
      <w:pPr>
        <w:pStyle w:val="Heading2"/>
        <w:numPr>
          <w:ilvl w:val="0"/>
          <w:numId w:val="4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line="280.79999999999995" w:lineRule="auto"/>
        <w:ind w:left="1440" w:hanging="360"/>
        <w:rPr>
          <w:sz w:val="22"/>
          <w:szCs w:val="22"/>
        </w:rPr>
      </w:pPr>
      <w:bookmarkStart w:colFirst="0" w:colLast="0" w:name="_94718hvfejtw" w:id="4"/>
      <w:bookmarkEnd w:id="4"/>
      <w:r w:rsidDel="00000000" w:rsidR="00000000" w:rsidRPr="00000000">
        <w:rPr>
          <w:sz w:val="22"/>
          <w:szCs w:val="22"/>
          <w:rtl w:val="0"/>
        </w:rPr>
        <w:t xml:space="preserve">Comprobar el flujo crítico de emergencia: configuración, activación, ubicación puntual y envío de alertas.</w:t>
      </w:r>
    </w:p>
    <w:p w:rsidR="00000000" w:rsidDel="00000000" w:rsidP="00000000" w:rsidRDefault="00000000" w:rsidRPr="00000000" w14:paraId="00000038">
      <w:pPr>
        <w:pStyle w:val="Heading2"/>
        <w:numPr>
          <w:ilvl w:val="0"/>
          <w:numId w:val="4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line="280.79999999999995" w:lineRule="auto"/>
        <w:ind w:left="1440" w:hanging="360"/>
        <w:rPr>
          <w:sz w:val="22"/>
          <w:szCs w:val="22"/>
        </w:rPr>
      </w:pPr>
      <w:bookmarkStart w:colFirst="0" w:colLast="0" w:name="_94718hvfejtw" w:id="4"/>
      <w:bookmarkEnd w:id="4"/>
      <w:r w:rsidDel="00000000" w:rsidR="00000000" w:rsidRPr="00000000">
        <w:rPr>
          <w:sz w:val="22"/>
          <w:szCs w:val="22"/>
          <w:rtl w:val="0"/>
        </w:rPr>
        <w:t xml:space="preserve">Verificar la gestión de cuentas, contactos, usuarios apadrinados, PIN e información médica.</w:t>
      </w:r>
    </w:p>
    <w:p w:rsidR="00000000" w:rsidDel="00000000" w:rsidP="00000000" w:rsidRDefault="00000000" w:rsidRPr="00000000" w14:paraId="00000039">
      <w:pPr>
        <w:pStyle w:val="Heading2"/>
        <w:numPr>
          <w:ilvl w:val="0"/>
          <w:numId w:val="4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line="280.79999999999995" w:lineRule="auto"/>
        <w:ind w:left="1440" w:hanging="360"/>
        <w:rPr>
          <w:sz w:val="22"/>
          <w:szCs w:val="22"/>
        </w:rPr>
      </w:pPr>
      <w:bookmarkStart w:colFirst="0" w:colLast="0" w:name="_94718hvfejtw" w:id="4"/>
      <w:bookmarkEnd w:id="4"/>
      <w:r w:rsidDel="00000000" w:rsidR="00000000" w:rsidRPr="00000000">
        <w:rPr>
          <w:sz w:val="22"/>
          <w:szCs w:val="22"/>
          <w:rtl w:val="0"/>
        </w:rPr>
        <w:t xml:space="preserve">Validar seguridad, confidencialidad, control de acceso, responsividad y compatibilidad.</w:t>
      </w:r>
    </w:p>
    <w:p w:rsidR="00000000" w:rsidDel="00000000" w:rsidP="00000000" w:rsidRDefault="00000000" w:rsidRPr="00000000" w14:paraId="0000003A">
      <w:pPr>
        <w:pStyle w:val="Heading2"/>
        <w:numPr>
          <w:ilvl w:val="0"/>
          <w:numId w:val="4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0" w:line="280.79999999999995" w:lineRule="auto"/>
        <w:ind w:left="1440" w:hanging="360"/>
        <w:rPr>
          <w:sz w:val="22"/>
          <w:szCs w:val="22"/>
        </w:rPr>
      </w:pPr>
      <w:bookmarkStart w:colFirst="0" w:colLast="0" w:name="_7r0g2dxdnxuz" w:id="5"/>
      <w:bookmarkEnd w:id="5"/>
      <w:r w:rsidDel="00000000" w:rsidR="00000000" w:rsidRPr="00000000">
        <w:rPr>
          <w:sz w:val="22"/>
          <w:szCs w:val="22"/>
          <w:rtl w:val="0"/>
        </w:rPr>
        <w:t xml:space="preserve">Detectar defectos tempranamente en cada Sprint y mantener la  trazabilidad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numPr>
          <w:ilvl w:val="0"/>
          <w:numId w:val="3"/>
        </w:numPr>
        <w:spacing w:after="0" w:before="0" w:lineRule="auto"/>
        <w:ind w:left="720" w:hanging="360"/>
      </w:pPr>
      <w:bookmarkStart w:colFirst="0" w:colLast="0" w:name="_myk9liwwj1aj" w:id="6"/>
      <w:bookmarkEnd w:id="6"/>
      <w:r w:rsidDel="00000000" w:rsidR="00000000" w:rsidRPr="00000000">
        <w:rPr>
          <w:rtl w:val="0"/>
        </w:rPr>
        <w:t xml:space="preserve">Alcance de las Pruebas</w:t>
      </w:r>
    </w:p>
    <w:p w:rsidR="00000000" w:rsidDel="00000000" w:rsidP="00000000" w:rsidRDefault="00000000" w:rsidRPr="00000000" w14:paraId="0000003D">
      <w:pPr>
        <w:ind w:left="720" w:firstLine="0"/>
        <w:rPr/>
      </w:pPr>
      <w:r w:rsidDel="00000000" w:rsidR="00000000" w:rsidRPr="00000000">
        <w:rPr>
          <w:rtl w:val="0"/>
        </w:rPr>
        <w:t xml:space="preserve">Las pruebas del proyecto Emergen estarán orientadas a verificar el funcionamiento correcto, seguro y confiable de los módulos de usuarios, módulo de alerta y sistemas generales de la aplicación, como la correcta conexión con la base de datos, APIs y cosas específicas de la aplicación web, móvil y escritorio </w:t>
      </w:r>
    </w:p>
    <w:p w:rsidR="00000000" w:rsidDel="00000000" w:rsidP="00000000" w:rsidRDefault="00000000" w:rsidRPr="00000000" w14:paraId="0000003E">
      <w:pPr>
        <w:ind w:left="720" w:firstLine="0"/>
        <w:rPr/>
      </w:pPr>
      <w:r w:rsidDel="00000000" w:rsidR="00000000" w:rsidRPr="00000000">
        <w:rPr>
          <w:rtl w:val="0"/>
        </w:rPr>
        <w:t xml:space="preserve">Se evaluarán los flujos principales desde el registro e inicio de sesión hasta la activación de una emergencia y el envío del mensaje con la ubicación del usuario. También se comprobarán aspectos no funcionales como la seguridad, confidencialidad, responsividad y compatibilidad entre navegadores.</w:t>
      </w:r>
    </w:p>
    <w:p w:rsidR="00000000" w:rsidDel="00000000" w:rsidP="00000000" w:rsidRDefault="00000000" w:rsidRPr="00000000" w14:paraId="0000003F">
      <w:pPr>
        <w:ind w:left="720" w:firstLine="0"/>
        <w:rPr/>
      </w:pPr>
      <w:r w:rsidDel="00000000" w:rsidR="00000000" w:rsidRPr="00000000">
        <w:rPr>
          <w:rtl w:val="0"/>
        </w:rPr>
        <w:t xml:space="preserve">Las funcionalidades posteriores serán probadas cuando sean incorporadas oficialmente a un Sprint y cuenten con criterios de aceptación definidos.</w:t>
      </w:r>
    </w:p>
    <w:p w:rsidR="00000000" w:rsidDel="00000000" w:rsidP="00000000" w:rsidRDefault="00000000" w:rsidRPr="00000000" w14:paraId="0000004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Qué se probará (En alcance):</w:t>
      </w:r>
    </w:p>
    <w:p w:rsidR="00000000" w:rsidDel="00000000" w:rsidP="00000000" w:rsidRDefault="00000000" w:rsidRPr="00000000" w14:paraId="00000042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Registro y autenticación.</w:t>
      </w:r>
    </w:p>
    <w:p w:rsidR="00000000" w:rsidDel="00000000" w:rsidP="00000000" w:rsidRDefault="00000000" w:rsidRPr="00000000" w14:paraId="00000043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Configuración del usuario.</w:t>
      </w:r>
    </w:p>
    <w:p w:rsidR="00000000" w:rsidDel="00000000" w:rsidP="00000000" w:rsidRDefault="00000000" w:rsidRPr="00000000" w14:paraId="00000044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Personalización de mensajes.</w:t>
      </w:r>
    </w:p>
    <w:p w:rsidR="00000000" w:rsidDel="00000000" w:rsidP="00000000" w:rsidRDefault="00000000" w:rsidRPr="00000000" w14:paraId="00000045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Contactos de emergencia.</w:t>
      </w:r>
    </w:p>
    <w:p w:rsidR="00000000" w:rsidDel="00000000" w:rsidP="00000000" w:rsidRDefault="00000000" w:rsidRPr="00000000" w14:paraId="00000046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Usuarios apadrinados.</w:t>
      </w:r>
    </w:p>
    <w:p w:rsidR="00000000" w:rsidDel="00000000" w:rsidP="00000000" w:rsidRDefault="00000000" w:rsidRPr="00000000" w14:paraId="00000047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Información médica.</w:t>
      </w:r>
    </w:p>
    <w:p w:rsidR="00000000" w:rsidDel="00000000" w:rsidP="00000000" w:rsidRDefault="00000000" w:rsidRPr="00000000" w14:paraId="00000048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Alertas de emergencia.</w:t>
      </w:r>
    </w:p>
    <w:p w:rsidR="00000000" w:rsidDel="00000000" w:rsidP="00000000" w:rsidRDefault="00000000" w:rsidRPr="00000000" w14:paraId="00000049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Ubicación.</w:t>
      </w:r>
    </w:p>
    <w:p w:rsidR="00000000" w:rsidDel="00000000" w:rsidP="00000000" w:rsidRDefault="00000000" w:rsidRPr="00000000" w14:paraId="0000004A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Números de emergencia.</w:t>
      </w:r>
    </w:p>
    <w:p w:rsidR="00000000" w:rsidDel="00000000" w:rsidP="00000000" w:rsidRDefault="00000000" w:rsidRPr="00000000" w14:paraId="0000004B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Aplicación de escritorio.</w:t>
      </w:r>
    </w:p>
    <w:p w:rsidR="00000000" w:rsidDel="00000000" w:rsidP="00000000" w:rsidRDefault="00000000" w:rsidRPr="00000000" w14:paraId="0000004C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PIN y vinculación.</w:t>
      </w:r>
    </w:p>
    <w:p w:rsidR="00000000" w:rsidDel="00000000" w:rsidP="00000000" w:rsidRDefault="00000000" w:rsidRPr="00000000" w14:paraId="0000004D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Administración de cuentas.</w:t>
      </w:r>
    </w:p>
    <w:p w:rsidR="00000000" w:rsidDel="00000000" w:rsidP="00000000" w:rsidRDefault="00000000" w:rsidRPr="00000000" w14:paraId="0000004E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Responsividad.</w:t>
      </w:r>
    </w:p>
    <w:p w:rsidR="00000000" w:rsidDel="00000000" w:rsidP="00000000" w:rsidRDefault="00000000" w:rsidRPr="00000000" w14:paraId="0000004F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Compatibilidad.</w:t>
      </w:r>
    </w:p>
    <w:p w:rsidR="00000000" w:rsidDel="00000000" w:rsidP="00000000" w:rsidRDefault="00000000" w:rsidRPr="00000000" w14:paraId="00000050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Seguridad.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Qué NO se probará (Fuera de alcance):</w:t>
      </w:r>
    </w:p>
    <w:p w:rsidR="00000000" w:rsidDel="00000000" w:rsidP="00000000" w:rsidRDefault="00000000" w:rsidRPr="00000000" w14:paraId="00000052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Integración con centrales públicas. </w:t>
      </w:r>
    </w:p>
    <w:p w:rsidR="00000000" w:rsidDel="00000000" w:rsidP="00000000" w:rsidRDefault="00000000" w:rsidRPr="00000000" w14:paraId="00000053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Seguimiento continuo de la ubicación.</w:t>
      </w:r>
    </w:p>
    <w:p w:rsidR="00000000" w:rsidDel="00000000" w:rsidP="00000000" w:rsidRDefault="00000000" w:rsidRPr="00000000" w14:paraId="00000054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Pagos y ventas reales de cuentas.</w:t>
      </w:r>
    </w:p>
    <w:p w:rsidR="00000000" w:rsidDel="00000000" w:rsidP="00000000" w:rsidRDefault="00000000" w:rsidRPr="00000000" w14:paraId="00000055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Funciones de voz o video.</w:t>
      </w:r>
    </w:p>
    <w:p w:rsidR="00000000" w:rsidDel="00000000" w:rsidP="00000000" w:rsidRDefault="00000000" w:rsidRPr="00000000" w14:paraId="00000056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Dispositivos y navegadores no incluidos en la matriz aprobada.</w:t>
      </w:r>
    </w:p>
    <w:p w:rsidR="00000000" w:rsidDel="00000000" w:rsidP="00000000" w:rsidRDefault="00000000" w:rsidRPr="00000000" w14:paraId="00000057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Funcionalidades no aceptadas.</w:t>
      </w:r>
    </w:p>
    <w:p w:rsidR="00000000" w:rsidDel="00000000" w:rsidP="00000000" w:rsidRDefault="00000000" w:rsidRPr="00000000" w14:paraId="00000058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Se utilizarán datos ficticios para la ficha médica.</w:t>
      </w:r>
    </w:p>
    <w:p w:rsidR="00000000" w:rsidDel="00000000" w:rsidP="00000000" w:rsidRDefault="00000000" w:rsidRPr="00000000" w14:paraId="00000059">
      <w:pPr>
        <w:spacing w:after="0" w:before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numPr>
          <w:ilvl w:val="0"/>
          <w:numId w:val="3"/>
        </w:numPr>
        <w:spacing w:after="0" w:before="0" w:lineRule="auto"/>
        <w:ind w:left="720" w:hanging="360"/>
        <w:rPr/>
      </w:pPr>
      <w:bookmarkStart w:colFirst="0" w:colLast="0" w:name="_lv91db5bta6y" w:id="7"/>
      <w:bookmarkEnd w:id="7"/>
      <w:r w:rsidDel="00000000" w:rsidR="00000000" w:rsidRPr="00000000">
        <w:rPr>
          <w:rtl w:val="0"/>
        </w:rPr>
        <w:t xml:space="preserve">Tipos de Pruebas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Funcionales:</w:t>
      </w:r>
      <w:r w:rsidDel="00000000" w:rsidR="00000000" w:rsidRPr="00000000">
        <w:rPr>
          <w:rtl w:val="0"/>
        </w:rPr>
        <w:t xml:space="preserve"> Validar que cada función del sistema cumpla con lo establecido en los requisitos funcionales del ERS. 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Unitarias:</w:t>
      </w:r>
      <w:r w:rsidDel="00000000" w:rsidR="00000000" w:rsidRPr="00000000">
        <w:rPr>
          <w:rtl w:val="0"/>
        </w:rPr>
        <w:t xml:space="preserve"> Comprobar individualmente el funcionamiento de componentes, validaciones, permisos y reglas del sistema.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de Integración:</w:t>
      </w:r>
      <w:r w:rsidDel="00000000" w:rsidR="00000000" w:rsidRPr="00000000">
        <w:rPr>
          <w:rtl w:val="0"/>
        </w:rPr>
        <w:t xml:space="preserve"> Verificar la comunicación entre las aplicaciones, el backend, la base de datos, el GPS y el servicio de envío de mensajes. 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de Interfaz y Responsividad:</w:t>
      </w:r>
      <w:r w:rsidDel="00000000" w:rsidR="00000000" w:rsidRPr="00000000">
        <w:rPr>
          <w:rtl w:val="0"/>
        </w:rPr>
        <w:t xml:space="preserve"> Verificar que la aplicación sea legible y utilizable en dispositivos móviles, tabletas y computadores.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de Seguridad:</w:t>
      </w:r>
      <w:r w:rsidDel="00000000" w:rsidR="00000000" w:rsidRPr="00000000">
        <w:rPr>
          <w:rtl w:val="0"/>
        </w:rPr>
        <w:t xml:space="preserve"> Comprobar la protección de credenciales, sesiones, correos y accesos mediante los roles definidos en el backend. 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de Privacidad y Confidencialidad:</w:t>
      </w:r>
      <w:r w:rsidDel="00000000" w:rsidR="00000000" w:rsidRPr="00000000">
        <w:rPr>
          <w:rtl w:val="0"/>
        </w:rPr>
        <w:t xml:space="preserve"> Verificar que la ubicación, la información médica y los datos personales solo sean compartidos con usuarios autorizados. 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de Usabilidad:</w:t>
      </w:r>
      <w:r w:rsidDel="00000000" w:rsidR="00000000" w:rsidRPr="00000000">
        <w:rPr>
          <w:rtl w:val="0"/>
        </w:rPr>
        <w:t xml:space="preserve"> Comprobar que la configuración y activación de una alerta SOS sean claras, rápidas y fáciles de utilizar. </w:t>
      </w:r>
    </w:p>
    <w:p w:rsidR="00000000" w:rsidDel="00000000" w:rsidP="00000000" w:rsidRDefault="00000000" w:rsidRPr="00000000" w14:paraId="00000062">
      <w:pPr>
        <w:spacing w:after="0" w:before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0" w:before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Criterios de Aceptación y Salida</w:t>
      </w:r>
    </w:p>
    <w:p w:rsidR="00000000" w:rsidDel="00000000" w:rsidP="00000000" w:rsidRDefault="00000000" w:rsidRPr="00000000" w14:paraId="0000006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240" w:line="264" w:lineRule="auto"/>
        <w:ind w:left="0" w:firstLine="0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rtl w:val="0"/>
        </w:rPr>
        <w:t xml:space="preserve">Aceptación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Requisito con criterio de aceptación aprobado y relación con una historia/tarea del Sprint.</w:t>
      </w:r>
    </w:p>
    <w:p w:rsidR="00000000" w:rsidDel="00000000" w:rsidP="00000000" w:rsidRDefault="00000000" w:rsidRPr="00000000" w14:paraId="00000066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Versión desplegada en QA, identificable y estable para ejecución.</w:t>
      </w:r>
    </w:p>
    <w:p w:rsidR="00000000" w:rsidDel="00000000" w:rsidP="00000000" w:rsidRDefault="00000000" w:rsidRPr="00000000" w14:paraId="00000067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Ambiente, permisos, datos y dependencias disponibles.</w:t>
      </w:r>
    </w:p>
    <w:p w:rsidR="00000000" w:rsidDel="00000000" w:rsidP="00000000" w:rsidRDefault="00000000" w:rsidRPr="00000000" w14:paraId="00000068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Pruebas unitarias del cambio aprobadas y sin defectos bloqueantes conocidos.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240" w:line="264" w:lineRule="auto"/>
        <w:ind w:left="0" w:firstLine="0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rtl w:val="0"/>
        </w:rPr>
        <w:t xml:space="preserve">Salida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100 % de casos P1 y P2 planificados ejecutados; 100 % de P1 aprobados.</w:t>
      </w:r>
    </w:p>
    <w:p w:rsidR="00000000" w:rsidDel="00000000" w:rsidP="00000000" w:rsidRDefault="00000000" w:rsidRPr="00000000" w14:paraId="0000006B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Al menos 95 % de casos ejecutados aprobados en la versión candidata.</w:t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Cero defectos bloqueantes o críticos abiertos; defectos altos con decisión explícita del Product Owner.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Trazabilidad y evidencias completas; regresión crítica aprobada.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Aceptación del incremento registrada en la Sprint Review.</w:t>
      </w:r>
    </w:p>
    <w:p w:rsidR="00000000" w:rsidDel="00000000" w:rsidP="00000000" w:rsidRDefault="00000000" w:rsidRPr="00000000" w14:paraId="000000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240" w:line="264" w:lineRule="auto"/>
        <w:ind w:left="0" w:firstLine="0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rtl w:val="0"/>
        </w:rPr>
        <w:t xml:space="preserve">Suspensión y reanudación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240" w:line="264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Se suspende la ejecución si el ambiente no permite continuar, la compilación no inicia, una dependencia crítica falla de forma general o más del 30 % de los casos queda bloqueado. Se reanuda cuando la causa esté corregida, se despliegue una versión identificada y una prueba de humo confirme estabilidad básica.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before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numPr>
          <w:ilvl w:val="0"/>
          <w:numId w:val="3"/>
        </w:numPr>
        <w:spacing w:after="0" w:before="0" w:lineRule="auto"/>
        <w:ind w:left="720" w:hanging="360"/>
        <w:rPr/>
      </w:pPr>
      <w:bookmarkStart w:colFirst="0" w:colLast="0" w:name="_1mj40mu7dw6x" w:id="8"/>
      <w:bookmarkEnd w:id="8"/>
      <w:r w:rsidDel="00000000" w:rsidR="00000000" w:rsidRPr="00000000">
        <w:rPr>
          <w:rtl w:val="0"/>
        </w:rPr>
        <w:t xml:space="preserve">Matriz de Casos de Prueba</w:t>
      </w:r>
    </w:p>
    <w:p w:rsidR="00000000" w:rsidDel="00000000" w:rsidP="00000000" w:rsidRDefault="00000000" w:rsidRPr="00000000" w14:paraId="0000007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Una tabla que organice y detalle todos los casos de prueba, c</w:t>
      </w:r>
      <w:r w:rsidDel="00000000" w:rsidR="00000000" w:rsidRPr="00000000">
        <w:rPr>
          <w:rtl w:val="0"/>
        </w:rPr>
        <w:t xml:space="preserve">ada caso de prueba debe rastrearse directamente a un código de requisito del ERS. Los datos completos se detallan en la Matriz de trazabilidad de pruebas.</w:t>
      </w:r>
    </w:p>
    <w:p w:rsidR="00000000" w:rsidDel="00000000" w:rsidP="00000000" w:rsidRDefault="00000000" w:rsidRPr="00000000" w14:paraId="00000074">
      <w:pPr>
        <w:spacing w:after="0" w:before="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Requisitos funcionales:</w:t>
      </w:r>
    </w:p>
    <w:p w:rsidR="00000000" w:rsidDel="00000000" w:rsidP="00000000" w:rsidRDefault="00000000" w:rsidRPr="00000000" w14:paraId="0000007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1500"/>
        <w:gridCol w:w="2235"/>
        <w:gridCol w:w="3810"/>
        <w:tblGridChange w:id="0">
          <w:tblGrid>
            <w:gridCol w:w="1500"/>
            <w:gridCol w:w="1500"/>
            <w:gridCol w:w="2235"/>
            <w:gridCol w:w="3810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del caso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Requisito relacionado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del caso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52.910156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creación de una cuenta con datos válidos e inválidos.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 cuenta se crea con datos válidos. Los datos incompletos, incorrectos o duplicados son rechazados sin generar registros parciales.</w:t>
            </w:r>
          </w:p>
        </w:tc>
      </w:tr>
      <w:tr>
        <w:trPr>
          <w:cantSplit w:val="0"/>
          <w:trHeight w:val="1152.910156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inicio de sesión con credenciales correctas e incorrectas.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permite el acceso únicamente con credenciales válidas y muestra un mensaje de error seguro en los demás casos.</w:t>
            </w:r>
          </w:p>
        </w:tc>
      </w:tr>
      <w:tr>
        <w:trPr>
          <w:cantSplit w:val="0"/>
          <w:trHeight w:val="1152.910156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CP-RF3-01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modificación de las credenciales desde las aplicaciones disponibles.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Las credenciales se actualizan únicamente después de validar la identidad y funcionan correctamente en los canales disponibles.</w:t>
            </w:r>
          </w:p>
        </w:tc>
      </w:tr>
      <w:tr>
        <w:trPr>
          <w:cantSplit w:val="0"/>
          <w:trHeight w:val="887.2806213730953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CP-RF4-01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modificación de la finalidad o tipo de usuario.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 finalidad seleccionada se guarda correctamente y se utiliza en la configuración de las alertas.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CP-RF5-01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personalización del método de activación en segundo plano.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 configuración queda guardada y permite activar la alerta según el método definido y las restricciones del sistema operativo.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CP-RF6-01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que una cuenta tenga al menos un contacto de emergencia para utilizar el sistema.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impide completar la configuración o utilizar la alerta sin contactos y habilita su uso al registrar al menos uno.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CP-RF7-01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límite máximo de contactos de emergencia.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permite registrar hasta cinco contactos y rechaza el sexto sin eliminar ni modificar los contactos existentes.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CP-RF8-01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límite máximo de usuarios apadrinados.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acepta hasta cinco usuarios apadrinados y rechaza la incorporación del sexto.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CP-RF9-01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separación de los datos entre la cuenta principal y sus usuarios apadrinados.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Cada usuario solo puede consultar o modificar la información que le corresponde según sus permisos.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CP-RF10-01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acceso restringido a la información médica.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Solo las personas designadas pueden acceder a la información médica. Al revocar el permiso, el acceso deja de estar disponible.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CP-RF11-01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envío de una alerta a los contactos registrados.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genera y envía la alerta a todos los contactos vigentes, registrando el estado de cada envío.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CP-RF12-01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generación de mensajes según la finalidad del usuario.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mensaje generado corresponde a la finalidad configurada e incluye el contenido personalizado del usuario.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CP-RF13-01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envío de la ubicación durante una emergencia.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 alerta incorpora la ubicación obtenida al momento del incidente y no mantiene seguimiento continuo posteriormente.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CP-RF13-02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comportamiento cuando no se puede obtener la ubicación actual.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informa que no obtuvo la ubicación actual o utiliza el último punto conocido, indicándolo claramente en el mensaje.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CP-RF14-01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presentación de números oficiales de emergencia.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muestra los números oficiales correspondientes, sin indicar que se realizó una notificación automática a dichos organismos.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CP-RF15-01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las funciones administrativas de la aplicación de escritorio.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administrador accede a las funciones autorizadas. El usuario común no puede ingresar ni ejecutar acciones administrativas.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CP-RF16-01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proceso de venta de una cuenta desde la aplicación web.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 cuenta se genera únicamente después de una operación aprobada. Los rechazos no generan cuentas ni cobros duplicados.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CP-RF17-01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aplicación de descuentos por apadrinamiento.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calcula y aplica el descuento aprobado, mostrando correctamente el precio original y el precio final.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CP-RF18-01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envío de una solicitud de soporte desde la aplicación web.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Una solicitud válida genera confirmación e identificador. Los formularios incompletos son rechazados con mensajes claros.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CP-RF19-01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gestión de cuentas vinculadas sin perder incorrectamente los cupos disponibles.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actualiza correctamente los vínculos y cupos según la regla aprobada, conservando la información necesaria.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CP-RF20-01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modificación autorizada de información compartida desde escritorio.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cambio realizado mediante el backend se refleja en web y móvil y queda auditado. Las solicitudes no autorizadas son rechazadas.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CP-RF21-01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generación de informes administrativos de seguimiento.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informe contiene información consistente con los filtros y solamente puede ser generado por roles autorizados.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CP-RF22-01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generación de informes personales desde web y móvil.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informe muestra únicamente los datos de la cuenta autenticada y presenta resultados equivalentes en web y móvil.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CP-RF23-01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acceso mediante un PIN vinculado a la cuenta principal.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PIN válido identifica correctamente el vínculo. Los PIN inválidos, vencidos o bloqueados no permiten el acceso.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CP-RF24-01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vinculación durante el primer inicio de sesión.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primer acceso exige una vinculación válida, la registra una sola vez y evita asociaciones duplicadas.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CP-RF25-01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gestión del usuario principal y de las personas apadrinadas.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usuario principal puede ejecutar únicamente las acciones autorizadas sobre sus cuentas apadrinadas. Los cambios quedan registrados</w:t>
            </w:r>
          </w:p>
        </w:tc>
      </w:tr>
    </w:tbl>
    <w:p w:rsidR="00000000" w:rsidDel="00000000" w:rsidP="00000000" w:rsidRDefault="00000000" w:rsidRPr="00000000" w14:paraId="000000E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0" w:before="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Requisitos no Funcionales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1500"/>
        <w:gridCol w:w="2235"/>
        <w:gridCol w:w="3795"/>
        <w:tblGridChange w:id="0">
          <w:tblGrid>
            <w:gridCol w:w="1500"/>
            <w:gridCol w:w="1500"/>
            <w:gridCol w:w="2235"/>
            <w:gridCol w:w="3795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del caso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Requisito relacionado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del caso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CP-RNF1-01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RNF1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responsividad de las aplicaciones.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contenido se adapta sin superposiciones, desplazamiento horizontal innecesario, texto esencial cortado ni controles inaccesibles.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CP-RNF2-01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RNF2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compatibilidad de la aplicación web entre navegadores.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Los flujos principales funcionan de manera equivalente en todos los navegadores incluidos en la matriz.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CP-RNF3-01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RNF3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protección de correos y credenciales.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Las contraseñas no se muestran ni almacenan en texto plano y los mensajes de error no revelan información sensible.</w:t>
            </w:r>
          </w:p>
        </w:tc>
      </w:tr>
      <w:tr>
        <w:trPr>
          <w:cantSplit w:val="0"/>
          <w:trHeight w:val="14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CP-RNF4-01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RNF4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control de acceso basado en roles desde el backend.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backend permite las acciones autorizadas y rechaza cualquier operación que no corresponda al rol del usuario.</w:t>
            </w:r>
          </w:p>
        </w:tc>
      </w:tr>
      <w:tr>
        <w:trPr>
          <w:cantSplit w:val="0"/>
          <w:trHeight w:val="14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CP-RNF5-01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RNF5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seguridad y confidencialidad de los datos personales.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Solo los usuarios autorizados pueden acceder a los datos. La información sensible no aparece en errores, registros ni cuentas ajenas.</w:t>
            </w:r>
          </w:p>
        </w:tc>
      </w:tr>
    </w:tbl>
    <w:p w:rsidR="00000000" w:rsidDel="00000000" w:rsidP="00000000" w:rsidRDefault="00000000" w:rsidRPr="00000000" w14:paraId="000000FD">
      <w:pPr>
        <w:pStyle w:val="Heading2"/>
        <w:spacing w:after="0" w:before="0" w:lineRule="auto"/>
        <w:ind w:left="0" w:firstLine="0"/>
        <w:rPr/>
      </w:pPr>
      <w:bookmarkStart w:colFirst="0" w:colLast="0" w:name="_vitkn0qkt2up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numPr>
          <w:ilvl w:val="0"/>
          <w:numId w:val="3"/>
        </w:numPr>
        <w:spacing w:after="0" w:before="0" w:lineRule="auto"/>
        <w:ind w:left="720" w:hanging="360"/>
        <w:rPr/>
      </w:pPr>
      <w:bookmarkStart w:colFirst="0" w:colLast="0" w:name="_ywariuwji0pw" w:id="10"/>
      <w:bookmarkEnd w:id="10"/>
      <w:r w:rsidDel="00000000" w:rsidR="00000000" w:rsidRPr="00000000">
        <w:rPr>
          <w:rtl w:val="0"/>
        </w:rPr>
        <w:t xml:space="preserve">Registro de Evidencias y Resultados</w:t>
      </w:r>
    </w:p>
    <w:p w:rsidR="00000000" w:rsidDel="00000000" w:rsidP="00000000" w:rsidRDefault="00000000" w:rsidRPr="00000000" w14:paraId="000000FF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Aquí documentamos lo que pasará al momento de ejecutar los casos de prueba de la tabla anterior. A continuación, se presenta un modelo de referencia para el registro de evidencias.</w:t>
      </w:r>
    </w:p>
    <w:tbl>
      <w:tblPr>
        <w:tblStyle w:val="Table4"/>
        <w:tblW w:w="9405.0" w:type="dxa"/>
        <w:jc w:val="left"/>
        <w:tblInd w:w="-3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885"/>
        <w:gridCol w:w="1050"/>
        <w:gridCol w:w="2175"/>
        <w:gridCol w:w="2685"/>
        <w:gridCol w:w="2610"/>
        <w:tblGridChange w:id="0">
          <w:tblGrid>
            <w:gridCol w:w="885"/>
            <w:gridCol w:w="1050"/>
            <w:gridCol w:w="2175"/>
            <w:gridCol w:w="2685"/>
            <w:gridCol w:w="2610"/>
          </w:tblGrid>
        </w:tblGridChange>
      </w:tblGrid>
      <w:tr>
        <w:trPr>
          <w:cantSplit w:val="0"/>
          <w:trHeight w:val="7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del caso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obtenido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CP-RF01-01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Aprobado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Captura de pantalla del formulario completado y de la confirmación de registro.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crea una cuenta cuando los datos ingresados son válidos y muestra un mensaje de confirmación.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 cuenta fue creada correctamente y el sistema mostró el mensaje de confirmación correspondiente.</w:t>
            </w:r>
          </w:p>
        </w:tc>
      </w:tr>
    </w:tbl>
    <w:p w:rsidR="00000000" w:rsidDel="00000000" w:rsidP="00000000" w:rsidRDefault="00000000" w:rsidRPr="00000000" w14:paraId="0000010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fffff" w:val="clear"/>
    </w:tc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