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Cambios Realizados en Documentación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avance realizado en la Fase 2, se han realizado modificaciones específicas a los documentos de la Fase 1, estos cambios son: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Acta de Constitución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reemplazando la definición de “MySQL” por la incorporación de Docker Desktop y PostgreSQL, esto debido a que el contenedor se levanta utilizando una base de datos creada en PostgreSQL </w:t>
      </w:r>
    </w:p>
    <w:p w:rsidR="00000000" w:rsidDel="00000000" w:rsidP="00000000" w:rsidRDefault="00000000" w:rsidRPr="00000000" w14:paraId="00000007">
      <w:pPr>
        <w:numPr>
          <w:ilvl w:val="1"/>
          <w:numId w:val="4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desarrollo</w:t>
      </w:r>
      <w:r w:rsidDel="00000000" w:rsidR="00000000" w:rsidRPr="00000000">
        <w:rPr>
          <w:sz w:val="24"/>
          <w:szCs w:val="24"/>
          <w:rtl w:val="0"/>
        </w:rPr>
        <w:t xml:space="preserve"> reemplazando la definición de “base de datos relacional de ORACLE” por “base de datos relacional de PostgreSQL”.</w:t>
      </w:r>
    </w:p>
    <w:p w:rsidR="00000000" w:rsidDel="00000000" w:rsidP="00000000" w:rsidRDefault="00000000" w:rsidRPr="00000000" w14:paraId="0000000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 se corrigió la definición </w:t>
      </w:r>
      <w:r w:rsidDel="00000000" w:rsidR="00000000" w:rsidRPr="00000000">
        <w:rPr>
          <w:sz w:val="24"/>
          <w:szCs w:val="24"/>
          <w:rtl w:val="0"/>
        </w:rPr>
        <w:t xml:space="preserve">“El</w:t>
      </w:r>
      <w:r w:rsidDel="00000000" w:rsidR="00000000" w:rsidRPr="00000000">
        <w:rPr>
          <w:sz w:val="24"/>
          <w:szCs w:val="24"/>
          <w:rtl w:val="0"/>
        </w:rPr>
        <w:t xml:space="preserve"> lenguaje a desarrollar será JavaScript” a “El lenguaje a desarrollar será TypeScript”</w:t>
      </w:r>
    </w:p>
    <w:p w:rsidR="00000000" w:rsidDel="00000000" w:rsidP="00000000" w:rsidRDefault="00000000" w:rsidRPr="00000000" w14:paraId="00000009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modificando el punto “React/Angular” a “React”, esto debido a que React es el framework de frontend empleado en el desarrollo de las aplicaciones</w:t>
      </w:r>
    </w:p>
    <w:p w:rsidR="00000000" w:rsidDel="00000000" w:rsidP="00000000" w:rsidRDefault="00000000" w:rsidRPr="00000000" w14:paraId="0000000A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Solución Propuesta </w:t>
      </w:r>
      <w:r w:rsidDel="00000000" w:rsidR="00000000" w:rsidRPr="00000000">
        <w:rPr>
          <w:sz w:val="24"/>
          <w:szCs w:val="24"/>
          <w:rtl w:val="0"/>
        </w:rPr>
        <w:t xml:space="preserve">incluyendo el tipo de emergencia “Emergencia”, que contempla accidentes comunes.</w:t>
      </w:r>
    </w:p>
    <w:p w:rsidR="00000000" w:rsidDel="00000000" w:rsidP="00000000" w:rsidRDefault="00000000" w:rsidRPr="00000000" w14:paraId="0000000B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eliminaron Nombres de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Interesados (stakeholders)</w:t>
      </w:r>
      <w:r w:rsidDel="00000000" w:rsidR="00000000" w:rsidRPr="00000000">
        <w:rPr>
          <w:sz w:val="24"/>
          <w:szCs w:val="24"/>
          <w:rtl w:val="0"/>
        </w:rPr>
        <w:t xml:space="preserve">”, ya que se mantuvieron nombres que venían incluidos en la plantilla del documento y se reemplazaron por el interesado verdadero; Julio Tapia establecido como Product Owner</w:t>
      </w:r>
    </w:p>
    <w:p w:rsidR="00000000" w:rsidDel="00000000" w:rsidP="00000000" w:rsidRDefault="00000000" w:rsidRPr="00000000" w14:paraId="0000000C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Negocio</w:t>
      </w:r>
      <w:r w:rsidDel="00000000" w:rsidR="00000000" w:rsidRPr="00000000">
        <w:rPr>
          <w:sz w:val="24"/>
          <w:szCs w:val="24"/>
          <w:rtl w:val="0"/>
        </w:rPr>
        <w:t xml:space="preserve">, añadiendo el caso de emergencia “Emergencia” que contempla accidentes comunes</w:t>
      </w:r>
    </w:p>
    <w:p w:rsidR="00000000" w:rsidDel="00000000" w:rsidP="00000000" w:rsidRDefault="00000000" w:rsidRPr="00000000" w14:paraId="0000000D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proyecto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Calidad,</w:t>
      </w:r>
      <w:r w:rsidDel="00000000" w:rsidR="00000000" w:rsidRPr="00000000">
        <w:rPr>
          <w:sz w:val="24"/>
          <w:szCs w:val="24"/>
          <w:rtl w:val="0"/>
        </w:rPr>
        <w:t xml:space="preserve">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Indicador de éxito</w:t>
      </w:r>
      <w:r w:rsidDel="00000000" w:rsidR="00000000" w:rsidRPr="00000000">
        <w:rPr>
          <w:sz w:val="24"/>
          <w:szCs w:val="24"/>
          <w:rtl w:val="0"/>
        </w:rPr>
        <w:t xml:space="preserve">, complementando al añadir un método de medición: “100% de los RF en alcance, con al menos 1 caso de prueba P1/P2 aprobado”</w:t>
      </w:r>
    </w:p>
    <w:p w:rsidR="00000000" w:rsidDel="00000000" w:rsidP="00000000" w:rsidRDefault="00000000" w:rsidRPr="00000000" w14:paraId="0000000E">
      <w:pPr>
        <w:numPr>
          <w:ilvl w:val="2"/>
          <w:numId w:val="6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apartado, se corrigió el objetivo de calidad:</w:t>
      </w:r>
    </w:p>
    <w:p w:rsidR="00000000" w:rsidDel="00000000" w:rsidP="00000000" w:rsidRDefault="00000000" w:rsidRPr="00000000" w14:paraId="0000000F">
      <w:pPr>
        <w:numPr>
          <w:ilvl w:val="2"/>
          <w:numId w:val="6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1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“El sistema tiene que cumplir con las normas de calidad definidas en la ISO 9126 y la ISO 25001.”</w:t>
      </w:r>
    </w:p>
    <w:p w:rsidR="00000000" w:rsidDel="00000000" w:rsidP="00000000" w:rsidRDefault="00000000" w:rsidRPr="00000000" w14:paraId="00000011">
      <w:pPr>
        <w:numPr>
          <w:ilvl w:val="2"/>
          <w:numId w:val="3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1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“El sistema se evaluará según el modelo de calidad de producto ISO/IEC 25010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1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la ISOs consideradas anteriormente trataban la planificación de evaluación, no un modelo de calidad de producto (que sí considera la ISO/IEC 25010)</w:t>
      </w:r>
    </w:p>
    <w:p w:rsidR="00000000" w:rsidDel="00000000" w:rsidP="00000000" w:rsidRDefault="00000000" w:rsidRPr="00000000" w14:paraId="00000015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mismo apartado se añadieron métricas de medición de éxito de:</w:t>
      </w:r>
    </w:p>
    <w:p w:rsidR="00000000" w:rsidDel="00000000" w:rsidP="00000000" w:rsidRDefault="00000000" w:rsidRPr="00000000" w14:paraId="00000017">
      <w:pPr>
        <w:numPr>
          <w:ilvl w:val="2"/>
          <w:numId w:val="2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Seguridad: ≥98% de los casos de seguridad aprobados y 0 defectos críticos</w:t>
      </w:r>
    </w:p>
    <w:p w:rsidR="00000000" w:rsidDel="00000000" w:rsidP="00000000" w:rsidRDefault="00000000" w:rsidRPr="00000000" w14:paraId="00000018">
      <w:pPr>
        <w:numPr>
          <w:ilvl w:val="2"/>
          <w:numId w:val="2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Usabilidad: ≥98% de los casos de usabilidad y responsividad aprobados</w:t>
      </w:r>
    </w:p>
    <w:p w:rsidR="00000000" w:rsidDel="00000000" w:rsidP="00000000" w:rsidRDefault="00000000" w:rsidRPr="00000000" w14:paraId="00000019">
      <w:pPr>
        <w:numPr>
          <w:ilvl w:val="2"/>
          <w:numId w:val="2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Funcionalidad: ≥ 98% de los casos funcionales aprobados</w:t>
      </w:r>
    </w:p>
    <w:p w:rsidR="00000000" w:rsidDel="00000000" w:rsidP="00000000" w:rsidRDefault="00000000" w:rsidRPr="00000000" w14:paraId="0000001A">
      <w:pPr>
        <w:numPr>
          <w:ilvl w:val="2"/>
          <w:numId w:val="2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Mantenibilidad: 100% del código funcional sin errores</w:t>
      </w:r>
    </w:p>
    <w:p w:rsidR="00000000" w:rsidDel="00000000" w:rsidP="00000000" w:rsidRDefault="00000000" w:rsidRPr="00000000" w14:paraId="0000001B">
      <w:pPr>
        <w:numPr>
          <w:ilvl w:val="2"/>
          <w:numId w:val="2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Interoperabilidad: 100% de los flujos de funcionamiento equivalentes en web, móvil y escritorio</w:t>
      </w:r>
    </w:p>
    <w:p w:rsidR="00000000" w:rsidDel="00000000" w:rsidP="00000000" w:rsidRDefault="00000000" w:rsidRPr="00000000" w14:paraId="0000001C">
      <w:pPr>
        <w:numPr>
          <w:ilvl w:val="1"/>
          <w:numId w:val="2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Requerimientos de alto nivel</w:t>
      </w:r>
      <w:r w:rsidDel="00000000" w:rsidR="00000000" w:rsidRPr="00000000">
        <w:rPr>
          <w:sz w:val="24"/>
          <w:szCs w:val="24"/>
          <w:rtl w:val="0"/>
        </w:rPr>
        <w:t xml:space="preserve">, dentro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Usuario</w:t>
      </w:r>
      <w:r w:rsidDel="00000000" w:rsidR="00000000" w:rsidRPr="00000000">
        <w:rPr>
          <w:sz w:val="24"/>
          <w:szCs w:val="24"/>
          <w:rtl w:val="0"/>
        </w:rPr>
        <w:t xml:space="preserve">, se especificó el RF3 que mencionaba “empleados”, siendo reemplazado por “personal de soporte” que es acorde a los roles dentro de las aplicaciones.</w:t>
      </w:r>
    </w:p>
    <w:p w:rsidR="00000000" w:rsidDel="00000000" w:rsidP="00000000" w:rsidRDefault="00000000" w:rsidRPr="00000000" w14:paraId="0000001D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 igual que se corrigió un error de tipeo en el RF4 que se refería a los tipos de emergencias que se </w:t>
      </w:r>
      <w:r w:rsidDel="00000000" w:rsidR="00000000" w:rsidRPr="00000000">
        <w:rPr>
          <w:sz w:val="24"/>
          <w:szCs w:val="24"/>
          <w:rtl w:val="0"/>
        </w:rPr>
        <w:t xml:space="preserve">manejarán</w:t>
      </w:r>
      <w:r w:rsidDel="00000000" w:rsidR="00000000" w:rsidRPr="00000000">
        <w:rPr>
          <w:sz w:val="24"/>
          <w:szCs w:val="24"/>
          <w:rtl w:val="0"/>
        </w:rPr>
        <w:t xml:space="preserve"> y no mencionaba al usuario</w:t>
      </w:r>
    </w:p>
    <w:p w:rsidR="00000000" w:rsidDel="00000000" w:rsidP="00000000" w:rsidRDefault="00000000" w:rsidRPr="00000000" w14:paraId="0000001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Adicionalmente, se hicieron modificaciones a los siguientes RF, sin modificar sus funciones principales, sino que especificando las mismas: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RF5: El sistema debe permitir al usuario configurar el método de activación del SOS.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RF7: El sistema debe tener un máximo de 5 contactos de emergencia por usuario: la cuenta principal y cada usuario apadrinado deben poder administrar su límite de 5 contactos</w:t>
      </w:r>
    </w:p>
    <w:p w:rsidR="00000000" w:rsidDel="00000000" w:rsidP="00000000" w:rsidRDefault="00000000" w:rsidRPr="00000000" w14:paraId="00000022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RF12: El sistema debe enviar un mensaje personalizado dependiendo de la finalidad del usuario (Urbano, Medico, Emergencias y Adulto mayor)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RF16: La aplicación web debe realizar ventas de planes de cuentas de usuarios y de cupos para usuarios apadrinados.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RF25: La aplicación web y móvil debe permitir al usuario principal definir sus usuarios apadrinados y el nivel de acceso de cada uno (acceso completo o parcial), y solicitar asistencia al personal de soporte en caso de ayuda para gestionarlo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EXCEPCIÓN: </w:t>
      </w:r>
      <w:r w:rsidDel="00000000" w:rsidR="00000000" w:rsidRPr="00000000">
        <w:rPr>
          <w:sz w:val="24"/>
          <w:szCs w:val="24"/>
          <w:rtl w:val="0"/>
        </w:rPr>
        <w:t xml:space="preserve">Se modificó el RF20 ya que consideraba el acceso a la BDD del sistema que contradice el RNF4: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RF20: La aplicación de escritorio debe permitir al usuario con rol ADMINISTRADOR, consultar y modificar los datos del sistema exclusivamente a través de los datos expuestos por la API del backend</w:t>
      </w:r>
    </w:p>
    <w:p w:rsidR="00000000" w:rsidDel="00000000" w:rsidP="00000000" w:rsidRDefault="00000000" w:rsidRPr="00000000" w14:paraId="00000027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de aprobación del proyecto</w:t>
      </w:r>
      <w:r w:rsidDel="00000000" w:rsidR="00000000" w:rsidRPr="00000000">
        <w:rPr>
          <w:sz w:val="24"/>
          <w:szCs w:val="24"/>
          <w:rtl w:val="0"/>
        </w:rPr>
        <w:t xml:space="preserve">, añadiendo los siguientes requisitos no funcionales, esto debido a vacíos presentes en los mismos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RNF6: Al momento de emergencia, el sistema debe registrar la alerta e iniciar acción en un máximo de 3 segundos, y el primer intento de despacho a cada contacto en un máximo de 10 segundos desde la alerta.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RNF7: El sistema debe garantizar la persistencia de las alertas ante fallos, y mantener una disponibilidad objetivo del 99% mensual 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RNF8: El sistema debe proteger los datos de salud conforme a la Ley 21.719, exigiendo consentimiento explícito, aplicando cifrado y limitando el acceso a la ficha médica sólo durante emergencias activas 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RNF9: Al eliminar una cuenta, el sistema debe suprimir la información personal y médica, conservando únicamente el historial de alertas para fines de auditoría/legales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RNF10: Las interfaces de activación SOS y configuración de contactos deben cumplir con el estándar de accesibilidad WCAG 2.1 nivel AA</w:t>
      </w:r>
    </w:p>
    <w:p w:rsidR="00000000" w:rsidDel="00000000" w:rsidP="00000000" w:rsidRDefault="00000000" w:rsidRPr="00000000" w14:paraId="0000002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ind w:left="720" w:hanging="360"/>
        <w:rPr>
          <w:sz w:val="24"/>
          <w:szCs w:val="24"/>
          <w:u w:val="none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1.2.1 Hoja de ruta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Alineación con la Capacidad Real</w:t>
      </w:r>
      <w:r w:rsidDel="00000000" w:rsidR="00000000" w:rsidRPr="00000000">
        <w:rPr>
          <w:sz w:val="24"/>
          <w:szCs w:val="24"/>
          <w:rtl w:val="0"/>
        </w:rPr>
        <w:t xml:space="preserve"> realizando cambios en la mención de “dos Developers” a “tres Developers” ya que se consideran los 3 integrantes en el desarrollo de tareas dentro del proyecto</w:t>
      </w:r>
    </w:p>
    <w:p w:rsidR="00000000" w:rsidDel="00000000" w:rsidP="00000000" w:rsidRDefault="00000000" w:rsidRPr="00000000" w14:paraId="00000032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corrigió un error de tipeo en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” que definía 7 criterios cuando en realidad eran 6</w:t>
      </w:r>
    </w:p>
    <w:p w:rsidR="00000000" w:rsidDel="00000000" w:rsidP="00000000" w:rsidRDefault="00000000" w:rsidRPr="00000000" w14:paraId="00000033">
      <w:pPr>
        <w:numPr>
          <w:ilvl w:val="1"/>
          <w:numId w:val="6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Introducción</w:t>
      </w:r>
      <w:r w:rsidDel="00000000" w:rsidR="00000000" w:rsidRPr="00000000">
        <w:rPr>
          <w:sz w:val="24"/>
          <w:szCs w:val="24"/>
          <w:rtl w:val="0"/>
        </w:rPr>
        <w:t xml:space="preserve">, añadiendo el texto “(exceptuando el Sprint 4 correspondiente a la Fase 1 que tiene una duración de dos semanas y los Sprints de Fase 2 que pueden extenderse dependiendo del Sprint Planning)”. Esto justifica la duración del Sprint 4 que dura 2 semanas (31/08 a 14/09) y el Sprint 6 (28/09 a 09/10)</w:t>
      </w:r>
    </w:p>
    <w:p w:rsidR="00000000" w:rsidDel="00000000" w:rsidP="00000000" w:rsidRDefault="00000000" w:rsidRPr="00000000" w14:paraId="00000034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Consolidado Métrico del Backlog</w:t>
      </w:r>
      <w:r w:rsidDel="00000000" w:rsidR="00000000" w:rsidRPr="00000000">
        <w:rPr>
          <w:sz w:val="24"/>
          <w:szCs w:val="24"/>
          <w:rtl w:val="0"/>
        </w:rPr>
        <w:t xml:space="preserve">, cambiando el total de historias de usuario de 13 a 19, esto para cubrir las historias creadas que consideran RF sin historias de usuario.</w:t>
        <w:br w:type="textWrapping"/>
        <w:t xml:space="preserve">Al igual que se cambió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Historias MVP </w:t>
      </w:r>
      <w:r w:rsidDel="00000000" w:rsidR="00000000" w:rsidRPr="00000000">
        <w:rPr>
          <w:sz w:val="24"/>
          <w:szCs w:val="24"/>
          <w:rtl w:val="0"/>
        </w:rPr>
        <w:t xml:space="preserve">de 8 a 9, considerando la creación de la HU-14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Específicos </w:t>
      </w:r>
      <w:r w:rsidDel="00000000" w:rsidR="00000000" w:rsidRPr="00000000">
        <w:rPr>
          <w:sz w:val="24"/>
          <w:szCs w:val="24"/>
          <w:rtl w:val="0"/>
        </w:rPr>
        <w:t xml:space="preserve">cambiando el enfoque prioritario de 8 Historias de Usuario a 9, esto debido a la adición de una historia de usuario faltante (HU-14 - Finalizar o cancelar emergencia)</w:t>
      </w:r>
    </w:p>
    <w:p w:rsidR="00000000" w:rsidDel="00000000" w:rsidP="00000000" w:rsidRDefault="00000000" w:rsidRPr="00000000" w14:paraId="00000036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Análisis Crítico de Historias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Trabajo en Paralelo </w:t>
      </w:r>
      <w:r w:rsidDel="00000000" w:rsidR="00000000" w:rsidRPr="00000000">
        <w:rPr>
          <w:sz w:val="24"/>
          <w:szCs w:val="24"/>
          <w:rtl w:val="0"/>
        </w:rPr>
        <w:t xml:space="preserve">cambiando la definición de “manera simultánea por dos Developers” a “manera simultánea por dos de los tres Developers”, siguiendo la definición de la capacidad real del mismo documento</w:t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</w:p>
    <w:p w:rsidR="00000000" w:rsidDel="00000000" w:rsidP="00000000" w:rsidRDefault="00000000" w:rsidRPr="00000000" w14:paraId="00000038">
      <w:pPr>
        <w:numPr>
          <w:ilvl w:val="2"/>
          <w:numId w:val="6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39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son absorbidos en los Sprints 1 al 4.”</w:t>
      </w:r>
    </w:p>
    <w:p w:rsidR="00000000" w:rsidDel="00000000" w:rsidP="00000000" w:rsidRDefault="00000000" w:rsidRPr="00000000" w14:paraId="0000003A">
      <w:pPr>
        <w:numPr>
          <w:ilvl w:val="2"/>
          <w:numId w:val="3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3B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se desarrollan en los primeros Sprints de la Fase 2. Los Sprints 1 al 4 de la Fase 1 establecen la base documental y técnica del proyecto.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3C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1417.3228346456694" w:firstLine="0"/>
        <w:rPr>
          <w:color w:val="1f1f1f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se justifica con el punto 8 “Sprint Planning de la Fase 2” del </w:t>
      </w: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7"/>
        </w:numPr>
        <w:ind w:left="1440" w:hanging="360"/>
        <w:rPr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Garantía de Entrega Temprana de Valor:</w:t>
      </w:r>
    </w:p>
    <w:p w:rsidR="00000000" w:rsidDel="00000000" w:rsidP="00000000" w:rsidRDefault="00000000" w:rsidRPr="00000000" w14:paraId="0000003F">
      <w:pPr>
        <w:numPr>
          <w:ilvl w:val="2"/>
          <w:numId w:val="6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4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“La consecución del MVP en el Sprint 4 mitiga el riesgo académico de llegar al final del proceso de titulación sin un producto funcional demostrable.”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4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“La consecución temprana del MVP en la Fase 2 (9 HUs: HU-01 a HU-08 y HU-14), preparada con la base documental entregada en el Sprint 4 de la Fase 1, mitiga el riesgo académico de llegar al proceso final sin un producto funcional demostrable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4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el MVP no se logra en el Sprint 4, sino que éste prepara la línea base para iniciar la Fase 2</w:t>
      </w:r>
    </w:p>
    <w:p w:rsidR="00000000" w:rsidDel="00000000" w:rsidP="00000000" w:rsidRDefault="00000000" w:rsidRPr="00000000" w14:paraId="00000045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Especificación de Herramientas y Servicios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de</w:t>
      </w:r>
    </w:p>
    <w:p w:rsidR="00000000" w:rsidDel="00000000" w:rsidP="00000000" w:rsidRDefault="00000000" w:rsidRPr="00000000" w14:paraId="00000048">
      <w:pPr>
        <w:numPr>
          <w:ilvl w:val="2"/>
          <w:numId w:val="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 de datos relacional:</w:t>
      </w:r>
      <w:r w:rsidDel="00000000" w:rsidR="00000000" w:rsidRPr="00000000">
        <w:rPr>
          <w:sz w:val="24"/>
          <w:szCs w:val="24"/>
          <w:rtl w:val="0"/>
        </w:rPr>
        <w:t xml:space="preserve"> Se estableció como PostgreSQL por lo comentado en el punto anterior</w:t>
      </w:r>
    </w:p>
    <w:p w:rsidR="00000000" w:rsidDel="00000000" w:rsidP="00000000" w:rsidRDefault="00000000" w:rsidRPr="00000000" w14:paraId="00000049">
      <w:pPr>
        <w:numPr>
          <w:ilvl w:val="2"/>
          <w:numId w:val="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creó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Entorno de Ejecución </w:t>
      </w:r>
      <w:r w:rsidDel="00000000" w:rsidR="00000000" w:rsidRPr="00000000">
        <w:rPr>
          <w:sz w:val="24"/>
          <w:szCs w:val="24"/>
          <w:rtl w:val="0"/>
        </w:rPr>
        <w:t xml:space="preserve">donde se especificó el uso del contenedor mediante Docker Desktop</w:t>
      </w:r>
    </w:p>
    <w:p w:rsidR="00000000" w:rsidDel="00000000" w:rsidP="00000000" w:rsidRDefault="00000000" w:rsidRPr="00000000" w14:paraId="0000004A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</w:t>
      </w:r>
      <w:r w:rsidDel="00000000" w:rsidR="00000000" w:rsidRPr="00000000">
        <w:rPr>
          <w:sz w:val="24"/>
          <w:szCs w:val="24"/>
          <w:rtl w:val="0"/>
        </w:rPr>
        <w:t xml:space="preserve">, reemplazando “Twilio Send Grid” por “Firebase Authentication”, esto debido a que las funciones necesarias de Twilio solo son accesibles mediante una suscripción, la cual no está contemplada en el proyecto.</w:t>
        <w:br w:type="textWrapping"/>
        <w:t xml:space="preserve">Al igual que en el mismo apartado, se añadió 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, debido a que este es necesario para el funcionamiento correcto de la pasarela de pago (Paypal) 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Diagrama de Componentes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</w:t>
      </w:r>
      <w:r w:rsidDel="00000000" w:rsidR="00000000" w:rsidRPr="00000000">
        <w:rPr>
          <w:sz w:val="24"/>
          <w:szCs w:val="24"/>
          <w:rtl w:val="0"/>
        </w:rPr>
        <w:t xml:space="preserve">, corrigiendo la duplicación de un servicio e incluyendo “Servicio Mensajeria” y “Servicio Conversión de Divisas” que previamente no se había definido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Diagrama de Arquitectura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y APIs Externas</w:t>
      </w:r>
      <w:r w:rsidDel="00000000" w:rsidR="00000000" w:rsidRPr="00000000">
        <w:rPr>
          <w:sz w:val="24"/>
          <w:szCs w:val="24"/>
          <w:rtl w:val="0"/>
        </w:rPr>
        <w:t xml:space="preserve">, reemplazando “Send Grid (Correos Transaccionales)” por “</w:t>
      </w:r>
      <w:r w:rsidDel="00000000" w:rsidR="00000000" w:rsidRPr="00000000">
        <w:rPr>
          <w:sz w:val="24"/>
          <w:szCs w:val="24"/>
          <w:rtl w:val="0"/>
        </w:rPr>
        <w:t xml:space="preserve">jsReport</w:t>
      </w:r>
      <w:r w:rsidDel="00000000" w:rsidR="00000000" w:rsidRPr="00000000">
        <w:rPr>
          <w:sz w:val="24"/>
          <w:szCs w:val="24"/>
          <w:rtl w:val="0"/>
        </w:rPr>
        <w:t xml:space="preserve"> (Confección de Reportes)”.</w:t>
        <w:br w:type="textWrapping"/>
        <w:t xml:space="preserve">Dentro del mismo apartado se añadió “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 (Conversor de Divisas)” que “Realiza Conversión de Dinero”</w:t>
      </w:r>
    </w:p>
    <w:p w:rsidR="00000000" w:rsidDel="00000000" w:rsidP="00000000" w:rsidRDefault="00000000" w:rsidRPr="00000000" w14:paraId="0000004F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Proveedor de Nube (Entorno de Docker)</w:t>
      </w:r>
      <w:r w:rsidDel="00000000" w:rsidR="00000000" w:rsidRPr="00000000">
        <w:rPr>
          <w:sz w:val="24"/>
          <w:szCs w:val="24"/>
          <w:rtl w:val="0"/>
        </w:rPr>
        <w:t xml:space="preserve">, reemplazando “Base de datos SQL” por “Base de datos PostgreSQL”</w:t>
      </w:r>
    </w:p>
    <w:p w:rsidR="00000000" w:rsidDel="00000000" w:rsidP="00000000" w:rsidRDefault="00000000" w:rsidRPr="00000000" w14:paraId="0000005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ind w:left="720" w:hanging="360"/>
        <w:rPr>
          <w:sz w:val="24"/>
          <w:szCs w:val="24"/>
          <w:u w:val="none"/>
        </w:rPr>
      </w:pPr>
      <w:hyperlink r:id="rId12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BDD con tipos de datos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modifica el apartado de PLANES, modificando la tabla PLAN, eliminando los datos:</w:t>
      </w:r>
    </w:p>
    <w:p w:rsidR="00000000" w:rsidDel="00000000" w:rsidP="00000000" w:rsidRDefault="00000000" w:rsidRPr="00000000" w14:paraId="00000053">
      <w:pPr>
        <w:numPr>
          <w:ilvl w:val="2"/>
          <w:numId w:val="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total_venta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4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fecha_venta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ya que estos datos no pertenecen a dicha tabla y causaron conflictos en el ambiente de desarrollo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se añade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ANTECEDENTE_MEDICO</w:t>
      </w:r>
      <w:r w:rsidDel="00000000" w:rsidR="00000000" w:rsidRPr="00000000">
        <w:rPr>
          <w:sz w:val="24"/>
          <w:szCs w:val="24"/>
          <w:rtl w:val="0"/>
        </w:rPr>
        <w:t xml:space="preserve">”, la cual controla la información médica entregada por el usuario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ALERTA</w:t>
      </w:r>
      <w:r w:rsidDel="00000000" w:rsidR="00000000" w:rsidRPr="00000000">
        <w:rPr>
          <w:sz w:val="24"/>
          <w:szCs w:val="24"/>
          <w:rtl w:val="0"/>
        </w:rPr>
        <w:t xml:space="preserve">, considerando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DETALLE_ALERTA</w:t>
      </w:r>
      <w:r w:rsidDel="00000000" w:rsidR="00000000" w:rsidRPr="00000000">
        <w:rPr>
          <w:sz w:val="24"/>
          <w:szCs w:val="24"/>
          <w:rtl w:val="0"/>
        </w:rPr>
        <w:t xml:space="preserve">”, se añadió la clave foránea de “</w:t>
      </w:r>
      <w:r w:rsidDel="00000000" w:rsidR="00000000" w:rsidRPr="00000000">
        <w:rPr>
          <w:sz w:val="24"/>
          <w:szCs w:val="24"/>
          <w:rtl w:val="0"/>
        </w:rPr>
        <w:t xml:space="preserve">antecedente_medico_ID</w:t>
      </w:r>
      <w:r w:rsidDel="00000000" w:rsidR="00000000" w:rsidRPr="00000000">
        <w:rPr>
          <w:sz w:val="24"/>
          <w:szCs w:val="24"/>
          <w:rtl w:val="0"/>
        </w:rPr>
        <w:t xml:space="preserve">” que conecta la tabla anteriormente creada con las alertas</w:t>
      </w:r>
    </w:p>
    <w:p w:rsidR="00000000" w:rsidDel="00000000" w:rsidP="00000000" w:rsidRDefault="00000000" w:rsidRPr="00000000" w14:paraId="00000058">
      <w:pPr>
        <w:numPr>
          <w:ilvl w:val="1"/>
          <w:numId w:val="5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Se han modificado TODOS los tipos de datos del documento, adaptandolos a aquellos empleados en el uso de PostgreSQL, esto debido a que anteriormente se tomaron en cuenta tipos de datos de MySQL</w:t>
      </w:r>
    </w:p>
    <w:p w:rsidR="00000000" w:rsidDel="00000000" w:rsidP="00000000" w:rsidRDefault="00000000" w:rsidRPr="00000000" w14:paraId="00000059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5"/>
        </w:numPr>
        <w:ind w:left="720" w:hanging="360"/>
        <w:rPr>
          <w:sz w:val="24"/>
          <w:szCs w:val="24"/>
          <w:u w:val="none"/>
        </w:rPr>
      </w:pPr>
      <w:hyperlink r:id="rId13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5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eliminaron “vacíos de acciones” en las historias de usuario, específicamente en la HU-12, donde no se especificaba el cierre de la emergencia, sinó la visualización de los datos médicos y su duración</w:t>
      </w:r>
    </w:p>
    <w:p w:rsidR="00000000" w:rsidDel="00000000" w:rsidP="00000000" w:rsidRDefault="00000000" w:rsidRPr="00000000" w14:paraId="0000005C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5D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5E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Una vez desactivada la alerta por el usuario o tutor mediante PIN, el acceso a la ficha médica se revoca automáticamente.</w:t>
      </w:r>
      <w:r w:rsidDel="00000000" w:rsidR="00000000" w:rsidRPr="00000000">
        <w:rPr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6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62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6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Si el usuario no registra ficha médica y/o ningún antecedente médico externo, la alerta es enviada independientemente si existe o no documentación de alguna situación médica.”</w:t>
      </w:r>
    </w:p>
    <w:p w:rsidR="00000000" w:rsidDel="00000000" w:rsidP="00000000" w:rsidRDefault="00000000" w:rsidRPr="00000000" w14:paraId="00000066">
      <w:pPr>
        <w:ind w:left="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eHDOk16IxSoBSGxSogPRX-blv3jagGdj/view?usp=drive_link" TargetMode="External"/><Relationship Id="rId10" Type="http://schemas.openxmlformats.org/officeDocument/2006/relationships/hyperlink" Target="https://drive.google.com/file/d/1uvgS3BlcufVpeRLWddptPzzleMVzePy6/view?usp=drive_link" TargetMode="External"/><Relationship Id="rId13" Type="http://schemas.openxmlformats.org/officeDocument/2006/relationships/hyperlink" Target="https://docs.google.com/document/d/1_6KEbgxM2cSep9Botk1LMaWmtsfxL1eUDePQ1u7gMqU/edit?usp=drive_link" TargetMode="External"/><Relationship Id="rId12" Type="http://schemas.openxmlformats.org/officeDocument/2006/relationships/hyperlink" Target="https://docs.google.com/spreadsheets/d/1tJaRa9TmjiytWUDTQIGapL1XDOYanytfb1V7Yh75Dso/edit?usp=drive_link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LtusecQbuxDzXNYHWGkx9Hs7w0q2EHKZvvZAV93LOmk/edit?tab=t.0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FOCUcsvSqAEexMuhE0K8-esDHyWeTkLQ/edit" TargetMode="External"/><Relationship Id="rId7" Type="http://schemas.openxmlformats.org/officeDocument/2006/relationships/hyperlink" Target="https://docs.google.com/document/d/1YGUlEDr0uP1cGLqV6GnK2v_OWC7kJjojBvGNrR_s3fs/edit?usp=drive_link" TargetMode="External"/><Relationship Id="rId8" Type="http://schemas.openxmlformats.org/officeDocument/2006/relationships/hyperlink" Target="https://docs.google.com/document/d/1_6KEbgxM2cSep9Botk1LMaWmtsfxL1eUDePQ1u7gMqU/edit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