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jc w:val="center"/>
        <w:rPr>
          <w:b w:val="1"/>
          <w:bCs w:val="1"/>
          <w:sz w:val="48"/>
          <w:szCs w:val="48"/>
        </w:rPr>
      </w:pPr>
      <w:r w:rsidDel="00000000" w:rsidR="00000000" w:rsidRPr="00000000">
        <w:rPr>
          <w:b w:val="1"/>
          <w:bCs w:val="1"/>
          <w:sz w:val="48"/>
          <w:szCs w:val="48"/>
          <w:rtl w:val="0"/>
        </w:rPr>
        <w:t xml:space="preserve">Cambios Realizados en Documentación</w:t>
      </w:r>
    </w:p>
    <w:p w:rsidR="00000000" w:rsidDel="00000000" w:rsidP="00000000" w:rsidRDefault="00000000" w:rsidRPr="00000000" w14:paraId="00000002">
      <w:pPr>
        <w:jc w:val="center"/>
        <w:rPr>
          <w:b w:val="1"/>
          <w:bCs w:val="1"/>
          <w:sz w:val="48"/>
          <w:szCs w:val="4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Por el avance realizado en la Fase 2, se han realizado modificaciones específicas a los documentos de la Fase 1, estos cambios son:</w:t>
      </w:r>
    </w:p>
    <w:p w:rsidR="00000000" w:rsidDel="00000000" w:rsidP="00000000" w:rsidRDefault="00000000" w:rsidRPr="00000000" w14:paraId="00000004">
      <w:pPr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hyperlink r:id="rId6">
        <w:r w:rsidDel="00000000" w:rsidR="00000000" w:rsidRPr="00000000">
          <w:rPr>
            <w:color w:val="1155cc"/>
            <w:sz w:val="24"/>
            <w:szCs w:val="24"/>
            <w:u w:val="single"/>
            <w:rtl w:val="0"/>
          </w:rPr>
          <w:t xml:space="preserve">Acta de Constitución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numPr>
          <w:ilvl w:val="1"/>
          <w:numId w:val="1"/>
        </w:numPr>
        <w:ind w:left="1440" w:hanging="360"/>
        <w:rPr>
          <w:sz w:val="24"/>
          <w:szCs w:val="24"/>
          <w:u w:val="none"/>
        </w:rPr>
      </w:pPr>
      <w:r w:rsidDel="00000000" w:rsidR="00000000" w:rsidRPr="00000000">
        <w:rPr>
          <w:b w:val="1"/>
          <w:bCs w:val="1"/>
          <w:i w:val="1"/>
          <w:iCs w:val="1"/>
          <w:sz w:val="24"/>
          <w:szCs w:val="24"/>
          <w:rtl w:val="0"/>
        </w:rPr>
        <w:t xml:space="preserve">(28/09/2026)</w:t>
      </w:r>
      <w:r w:rsidDel="00000000" w:rsidR="00000000" w:rsidRPr="00000000">
        <w:rPr>
          <w:sz w:val="24"/>
          <w:szCs w:val="24"/>
          <w:rtl w:val="0"/>
        </w:rPr>
        <w:t xml:space="preserve"> Se modificó el apartado de </w:t>
      </w: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Especificaciones técnicas de las herramientas de desarrollo </w:t>
      </w:r>
      <w:r w:rsidDel="00000000" w:rsidR="00000000" w:rsidRPr="00000000">
        <w:rPr>
          <w:sz w:val="24"/>
          <w:szCs w:val="24"/>
          <w:rtl w:val="0"/>
        </w:rPr>
        <w:t xml:space="preserve">reemplazando la definición de “MySQL” por la incorporación de Docker Desktop y PostgreSQL, esto debido a que el contenedor se levanta utilizando una base de datos creada en PostgreSQL </w:t>
      </w:r>
    </w:p>
    <w:p w:rsidR="00000000" w:rsidDel="00000000" w:rsidP="00000000" w:rsidRDefault="00000000" w:rsidRPr="00000000" w14:paraId="00000007">
      <w:pPr>
        <w:numPr>
          <w:ilvl w:val="1"/>
          <w:numId w:val="1"/>
        </w:numPr>
        <w:ind w:left="1440" w:hanging="360"/>
        <w:rPr>
          <w:sz w:val="24"/>
          <w:szCs w:val="24"/>
        </w:rPr>
      </w:pPr>
      <w:r w:rsidDel="00000000" w:rsidR="00000000" w:rsidRPr="00000000">
        <w:rPr>
          <w:b w:val="1"/>
          <w:bCs w:val="1"/>
          <w:i w:val="1"/>
          <w:iCs w:val="1"/>
          <w:sz w:val="24"/>
          <w:szCs w:val="24"/>
          <w:rtl w:val="0"/>
        </w:rPr>
        <w:t xml:space="preserve">(05/10/2026) </w:t>
      </w:r>
      <w:r w:rsidDel="00000000" w:rsidR="00000000" w:rsidRPr="00000000">
        <w:rPr>
          <w:sz w:val="24"/>
          <w:szCs w:val="24"/>
          <w:rtl w:val="0"/>
        </w:rPr>
        <w:t xml:space="preserve">Se modificó el apartado de </w:t>
      </w: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Objetivos de desarrollo</w:t>
      </w:r>
      <w:r w:rsidDel="00000000" w:rsidR="00000000" w:rsidRPr="00000000">
        <w:rPr>
          <w:sz w:val="24"/>
          <w:szCs w:val="24"/>
          <w:rtl w:val="0"/>
        </w:rPr>
        <w:t xml:space="preserve"> reemplazando la definición de “base de datos relacional de ORACLE” por “base de datos relacional de PostgreSQL”.</w:t>
      </w:r>
    </w:p>
    <w:p w:rsidR="00000000" w:rsidDel="00000000" w:rsidP="00000000" w:rsidRDefault="00000000" w:rsidRPr="00000000" w14:paraId="00000008">
      <w:pPr>
        <w:ind w:left="1440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En el mismo apartado se corrigió la definición </w:t>
      </w:r>
      <w:r w:rsidDel="00000000" w:rsidR="00000000" w:rsidRPr="00000000">
        <w:rPr>
          <w:sz w:val="24"/>
          <w:szCs w:val="24"/>
          <w:rtl w:val="0"/>
        </w:rPr>
        <w:t xml:space="preserve">“El</w:t>
      </w:r>
      <w:r w:rsidDel="00000000" w:rsidR="00000000" w:rsidRPr="00000000">
        <w:rPr>
          <w:sz w:val="24"/>
          <w:szCs w:val="24"/>
          <w:rtl w:val="0"/>
        </w:rPr>
        <w:t xml:space="preserve"> lenguaje a desarrollar será JavaScript” a “El lenguaje a desarrollar será TypeScript”</w:t>
      </w:r>
    </w:p>
    <w:p w:rsidR="00000000" w:rsidDel="00000000" w:rsidP="00000000" w:rsidRDefault="00000000" w:rsidRPr="00000000" w14:paraId="00000009">
      <w:pPr>
        <w:numPr>
          <w:ilvl w:val="1"/>
          <w:numId w:val="3"/>
        </w:numPr>
        <w:ind w:left="1440" w:hanging="360"/>
        <w:rPr>
          <w:sz w:val="24"/>
          <w:szCs w:val="24"/>
        </w:rPr>
      </w:pPr>
      <w:r w:rsidDel="00000000" w:rsidR="00000000" w:rsidRPr="00000000">
        <w:rPr>
          <w:b w:val="1"/>
          <w:bCs w:val="1"/>
          <w:i w:val="1"/>
          <w:iCs w:val="1"/>
          <w:sz w:val="24"/>
          <w:szCs w:val="24"/>
          <w:rtl w:val="0"/>
        </w:rPr>
        <w:t xml:space="preserve">(05/10/2026) </w:t>
      </w:r>
      <w:r w:rsidDel="00000000" w:rsidR="00000000" w:rsidRPr="00000000">
        <w:rPr>
          <w:sz w:val="24"/>
          <w:szCs w:val="24"/>
          <w:rtl w:val="0"/>
        </w:rPr>
        <w:t xml:space="preserve">Se modificó el apartado de </w:t>
      </w: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Especificaciones técnicas de las herramientas de desarrollo </w:t>
      </w:r>
      <w:r w:rsidDel="00000000" w:rsidR="00000000" w:rsidRPr="00000000">
        <w:rPr>
          <w:sz w:val="24"/>
          <w:szCs w:val="24"/>
          <w:rtl w:val="0"/>
        </w:rPr>
        <w:t xml:space="preserve">modificando el punto “React/Angular” a “React”, esto debido a que React es el framework de frontend empleado en el desarrollo de las aplicaciones</w:t>
      </w:r>
    </w:p>
    <w:p w:rsidR="00000000" w:rsidDel="00000000" w:rsidP="00000000" w:rsidRDefault="00000000" w:rsidRPr="00000000" w14:paraId="0000000A">
      <w:pPr>
        <w:numPr>
          <w:ilvl w:val="1"/>
          <w:numId w:val="3"/>
        </w:numPr>
        <w:ind w:left="1440" w:hanging="360"/>
        <w:rPr>
          <w:sz w:val="24"/>
          <w:szCs w:val="24"/>
        </w:rPr>
      </w:pPr>
      <w:r w:rsidDel="00000000" w:rsidR="00000000" w:rsidRPr="00000000">
        <w:rPr>
          <w:b w:val="1"/>
          <w:bCs w:val="1"/>
          <w:i w:val="1"/>
          <w:iCs w:val="1"/>
          <w:sz w:val="24"/>
          <w:szCs w:val="24"/>
          <w:rtl w:val="0"/>
        </w:rPr>
        <w:t xml:space="preserve">(05/10/2026) </w:t>
      </w:r>
      <w:r w:rsidDel="00000000" w:rsidR="00000000" w:rsidRPr="00000000">
        <w:rPr>
          <w:sz w:val="24"/>
          <w:szCs w:val="24"/>
          <w:rtl w:val="0"/>
        </w:rPr>
        <w:t xml:space="preserve">Se modificó el apartado de </w:t>
      </w: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Solución Propuesta </w:t>
      </w:r>
      <w:r w:rsidDel="00000000" w:rsidR="00000000" w:rsidRPr="00000000">
        <w:rPr>
          <w:sz w:val="24"/>
          <w:szCs w:val="24"/>
          <w:rtl w:val="0"/>
        </w:rPr>
        <w:t xml:space="preserve">incluyendo el tipo de emergencia “Emergencia”, que contempla accidentes comunes.</w:t>
      </w:r>
    </w:p>
    <w:p w:rsidR="00000000" w:rsidDel="00000000" w:rsidP="00000000" w:rsidRDefault="00000000" w:rsidRPr="00000000" w14:paraId="0000000B">
      <w:pPr>
        <w:numPr>
          <w:ilvl w:val="1"/>
          <w:numId w:val="3"/>
        </w:numPr>
        <w:ind w:left="1440" w:hanging="360"/>
        <w:rPr>
          <w:sz w:val="24"/>
          <w:szCs w:val="24"/>
        </w:rPr>
      </w:pPr>
      <w:r w:rsidDel="00000000" w:rsidR="00000000" w:rsidRPr="00000000">
        <w:rPr>
          <w:b w:val="1"/>
          <w:bCs w:val="1"/>
          <w:i w:val="1"/>
          <w:iCs w:val="1"/>
          <w:sz w:val="24"/>
          <w:szCs w:val="24"/>
          <w:rtl w:val="0"/>
        </w:rPr>
        <w:t xml:space="preserve">(07/10/2026) </w:t>
      </w:r>
      <w:r w:rsidDel="00000000" w:rsidR="00000000" w:rsidRPr="00000000">
        <w:rPr>
          <w:sz w:val="24"/>
          <w:szCs w:val="24"/>
          <w:rtl w:val="0"/>
        </w:rPr>
        <w:t xml:space="preserve">Se eliminaron Nombres de la sección “</w:t>
      </w: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Lista de Interesados (stakeholders)</w:t>
      </w:r>
      <w:r w:rsidDel="00000000" w:rsidR="00000000" w:rsidRPr="00000000">
        <w:rPr>
          <w:sz w:val="24"/>
          <w:szCs w:val="24"/>
          <w:rtl w:val="0"/>
        </w:rPr>
        <w:t xml:space="preserve">”, ya que se mantuvieron nombres que venían incluidos en la plantilla del documento y se reemplazaron por el interesado verdadero; Julio Tapia establecido como Product Owner</w:t>
      </w:r>
    </w:p>
    <w:p w:rsidR="00000000" w:rsidDel="00000000" w:rsidP="00000000" w:rsidRDefault="00000000" w:rsidRPr="00000000" w14:paraId="0000000C">
      <w:pPr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numPr>
          <w:ilvl w:val="0"/>
          <w:numId w:val="3"/>
        </w:numPr>
        <w:ind w:left="720" w:hanging="360"/>
        <w:rPr>
          <w:sz w:val="24"/>
          <w:szCs w:val="24"/>
          <w:u w:val="none"/>
        </w:rPr>
      </w:pPr>
      <w:hyperlink r:id="rId7">
        <w:r w:rsidDel="00000000" w:rsidR="00000000" w:rsidRPr="00000000">
          <w:rPr>
            <w:color w:val="1155cc"/>
            <w:sz w:val="24"/>
            <w:szCs w:val="24"/>
            <w:u w:val="single"/>
            <w:rtl w:val="0"/>
          </w:rPr>
          <w:t xml:space="preserve">1.2.1 Hoja de ruta del proyecto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numPr>
          <w:ilvl w:val="1"/>
          <w:numId w:val="3"/>
        </w:numPr>
        <w:ind w:left="1440" w:hanging="360"/>
        <w:rPr>
          <w:sz w:val="24"/>
          <w:szCs w:val="24"/>
        </w:rPr>
      </w:pPr>
      <w:r w:rsidDel="00000000" w:rsidR="00000000" w:rsidRPr="00000000">
        <w:rPr>
          <w:b w:val="1"/>
          <w:bCs w:val="1"/>
          <w:i w:val="1"/>
          <w:iCs w:val="1"/>
          <w:sz w:val="24"/>
          <w:szCs w:val="24"/>
          <w:rtl w:val="0"/>
        </w:rPr>
        <w:t xml:space="preserve">(05/10/2026) </w:t>
      </w:r>
      <w:r w:rsidDel="00000000" w:rsidR="00000000" w:rsidRPr="00000000">
        <w:rPr>
          <w:sz w:val="24"/>
          <w:szCs w:val="24"/>
          <w:rtl w:val="0"/>
        </w:rPr>
        <w:t xml:space="preserve">Se </w:t>
      </w:r>
      <w:r w:rsidDel="00000000" w:rsidR="00000000" w:rsidRPr="00000000">
        <w:rPr>
          <w:sz w:val="24"/>
          <w:szCs w:val="24"/>
          <w:rtl w:val="0"/>
        </w:rPr>
        <w:t xml:space="preserve">modificó</w:t>
      </w:r>
      <w:r w:rsidDel="00000000" w:rsidR="00000000" w:rsidRPr="00000000">
        <w:rPr>
          <w:sz w:val="24"/>
          <w:szCs w:val="24"/>
          <w:rtl w:val="0"/>
        </w:rPr>
        <w:t xml:space="preserve"> el apartado de </w:t>
      </w: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Alineación con la Capacidad Real</w:t>
      </w:r>
      <w:r w:rsidDel="00000000" w:rsidR="00000000" w:rsidRPr="00000000">
        <w:rPr>
          <w:sz w:val="24"/>
          <w:szCs w:val="24"/>
          <w:rtl w:val="0"/>
        </w:rPr>
        <w:t xml:space="preserve"> modificando la mención de “dos Developers” a “tres Developers” ya que se consideran los 3 integrantes en el desarrollo de tareas dentro del proyecto</w:t>
      </w:r>
    </w:p>
    <w:p w:rsidR="00000000" w:rsidDel="00000000" w:rsidP="00000000" w:rsidRDefault="00000000" w:rsidRPr="00000000" w14:paraId="0000000F">
      <w:pPr>
        <w:numPr>
          <w:ilvl w:val="1"/>
          <w:numId w:val="3"/>
        </w:numPr>
        <w:ind w:left="1440" w:hanging="360"/>
        <w:rPr>
          <w:sz w:val="24"/>
          <w:szCs w:val="24"/>
        </w:rPr>
      </w:pPr>
      <w:r w:rsidDel="00000000" w:rsidR="00000000" w:rsidRPr="00000000">
        <w:rPr>
          <w:b w:val="1"/>
          <w:bCs w:val="1"/>
          <w:i w:val="1"/>
          <w:iCs w:val="1"/>
          <w:sz w:val="24"/>
          <w:szCs w:val="24"/>
          <w:rtl w:val="0"/>
        </w:rPr>
        <w:t xml:space="preserve">(07/10/2026) </w:t>
      </w:r>
      <w:r w:rsidDel="00000000" w:rsidR="00000000" w:rsidRPr="00000000">
        <w:rPr>
          <w:sz w:val="24"/>
          <w:szCs w:val="24"/>
          <w:rtl w:val="0"/>
        </w:rPr>
        <w:t xml:space="preserve">Se corrigió un error de tipeo en la sección “</w:t>
      </w: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Criterios para Asignar Historias a Sprints</w:t>
      </w:r>
      <w:r w:rsidDel="00000000" w:rsidR="00000000" w:rsidRPr="00000000">
        <w:rPr>
          <w:sz w:val="24"/>
          <w:szCs w:val="24"/>
          <w:rtl w:val="0"/>
        </w:rPr>
        <w:t xml:space="preserve">” que definía 7 criterios cuando en realidad eran 6</w:t>
      </w:r>
    </w:p>
    <w:p w:rsidR="00000000" w:rsidDel="00000000" w:rsidP="00000000" w:rsidRDefault="00000000" w:rsidRPr="00000000" w14:paraId="00000010">
      <w:pPr>
        <w:numPr>
          <w:ilvl w:val="1"/>
          <w:numId w:val="3"/>
        </w:numPr>
        <w:ind w:left="1440" w:hanging="360"/>
        <w:rPr>
          <w:b w:val="1"/>
          <w:bCs w:val="1"/>
          <w:i w:val="1"/>
          <w:iCs w:val="1"/>
          <w:sz w:val="24"/>
          <w:szCs w:val="24"/>
        </w:rPr>
      </w:pPr>
      <w:r w:rsidDel="00000000" w:rsidR="00000000" w:rsidRPr="00000000">
        <w:rPr>
          <w:b w:val="1"/>
          <w:bCs w:val="1"/>
          <w:i w:val="1"/>
          <w:iCs w:val="1"/>
          <w:sz w:val="24"/>
          <w:szCs w:val="24"/>
          <w:rtl w:val="0"/>
        </w:rPr>
        <w:t xml:space="preserve">(07/10/2026)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ind w:left="1440" w:firstLine="0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hyperlink r:id="rId8">
        <w:r w:rsidDel="00000000" w:rsidR="00000000" w:rsidRPr="00000000">
          <w:rPr>
            <w:color w:val="1155cc"/>
            <w:sz w:val="24"/>
            <w:szCs w:val="24"/>
            <w:u w:val="single"/>
            <w:rtl w:val="0"/>
          </w:rPr>
          <w:t xml:space="preserve">Especificación de Herramientas y Servicios del Proyecto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numPr>
          <w:ilvl w:val="1"/>
          <w:numId w:val="1"/>
        </w:numPr>
        <w:ind w:left="1440" w:hanging="360"/>
        <w:rPr>
          <w:sz w:val="24"/>
          <w:szCs w:val="24"/>
          <w:u w:val="none"/>
        </w:rPr>
      </w:pPr>
      <w:r w:rsidDel="00000000" w:rsidR="00000000" w:rsidRPr="00000000">
        <w:rPr>
          <w:b w:val="1"/>
          <w:bCs w:val="1"/>
          <w:i w:val="1"/>
          <w:iCs w:val="1"/>
          <w:sz w:val="24"/>
          <w:szCs w:val="24"/>
          <w:rtl w:val="0"/>
        </w:rPr>
        <w:t xml:space="preserve">(28/09/2026)</w:t>
      </w:r>
      <w:r w:rsidDel="00000000" w:rsidR="00000000" w:rsidRPr="00000000">
        <w:rPr>
          <w:sz w:val="24"/>
          <w:szCs w:val="24"/>
          <w:rtl w:val="0"/>
        </w:rPr>
        <w:t xml:space="preserve">  Se </w:t>
      </w:r>
      <w:r w:rsidDel="00000000" w:rsidR="00000000" w:rsidRPr="00000000">
        <w:rPr>
          <w:sz w:val="24"/>
          <w:szCs w:val="24"/>
          <w:rtl w:val="0"/>
        </w:rPr>
        <w:t xml:space="preserve">modificó</w:t>
      </w:r>
      <w:r w:rsidDel="00000000" w:rsidR="00000000" w:rsidRPr="00000000">
        <w:rPr>
          <w:sz w:val="24"/>
          <w:szCs w:val="24"/>
          <w:rtl w:val="0"/>
        </w:rPr>
        <w:t xml:space="preserve"> el apartado de </w:t>
      </w: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Herramientas y Lenguaje de Código a Utilizar</w:t>
      </w:r>
      <w:r w:rsidDel="00000000" w:rsidR="00000000" w:rsidRPr="00000000">
        <w:rPr>
          <w:sz w:val="24"/>
          <w:szCs w:val="24"/>
          <w:rtl w:val="0"/>
        </w:rPr>
        <w:t xml:space="preserve">, específicamente el punto de</w:t>
      </w:r>
    </w:p>
    <w:p w:rsidR="00000000" w:rsidDel="00000000" w:rsidP="00000000" w:rsidRDefault="00000000" w:rsidRPr="00000000" w14:paraId="00000014">
      <w:pPr>
        <w:numPr>
          <w:ilvl w:val="2"/>
          <w:numId w:val="1"/>
        </w:numPr>
        <w:ind w:left="2160" w:hanging="360"/>
        <w:rPr>
          <w:sz w:val="24"/>
          <w:szCs w:val="24"/>
          <w:u w:val="none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Base de datos relacional:</w:t>
      </w:r>
      <w:r w:rsidDel="00000000" w:rsidR="00000000" w:rsidRPr="00000000">
        <w:rPr>
          <w:sz w:val="24"/>
          <w:szCs w:val="24"/>
          <w:rtl w:val="0"/>
        </w:rPr>
        <w:t xml:space="preserve"> Se estableció como PostgreSQL por lo comentado en el punto anterior</w:t>
      </w:r>
    </w:p>
    <w:p w:rsidR="00000000" w:rsidDel="00000000" w:rsidP="00000000" w:rsidRDefault="00000000" w:rsidRPr="00000000" w14:paraId="00000015">
      <w:pPr>
        <w:numPr>
          <w:ilvl w:val="2"/>
          <w:numId w:val="1"/>
        </w:numPr>
        <w:ind w:left="216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Se creó el punto </w:t>
      </w: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Entorno de Ejecución </w:t>
      </w:r>
      <w:r w:rsidDel="00000000" w:rsidR="00000000" w:rsidRPr="00000000">
        <w:rPr>
          <w:sz w:val="24"/>
          <w:szCs w:val="24"/>
          <w:rtl w:val="0"/>
        </w:rPr>
        <w:t xml:space="preserve">donde se especificó el uso del contenedor mediante Docker Desktop</w:t>
      </w:r>
    </w:p>
    <w:p w:rsidR="00000000" w:rsidDel="00000000" w:rsidP="00000000" w:rsidRDefault="00000000" w:rsidRPr="00000000" w14:paraId="00000016">
      <w:pPr>
        <w:numPr>
          <w:ilvl w:val="1"/>
          <w:numId w:val="1"/>
        </w:numPr>
        <w:ind w:left="1440" w:hanging="360"/>
        <w:rPr>
          <w:sz w:val="24"/>
          <w:szCs w:val="24"/>
          <w:u w:val="none"/>
        </w:rPr>
      </w:pPr>
      <w:r w:rsidDel="00000000" w:rsidR="00000000" w:rsidRPr="00000000">
        <w:rPr>
          <w:b w:val="1"/>
          <w:bCs w:val="1"/>
          <w:i w:val="1"/>
          <w:iCs w:val="1"/>
          <w:sz w:val="24"/>
          <w:szCs w:val="24"/>
          <w:rtl w:val="0"/>
        </w:rPr>
        <w:t xml:space="preserve">(28/09/2026)</w:t>
      </w:r>
      <w:r w:rsidDel="00000000" w:rsidR="00000000" w:rsidRPr="00000000">
        <w:rPr>
          <w:sz w:val="24"/>
          <w:szCs w:val="24"/>
          <w:rtl w:val="0"/>
        </w:rPr>
        <w:t xml:space="preserve">  Se modificó el apartado de </w:t>
      </w: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Servicios Externos a Implementar</w:t>
      </w:r>
      <w:r w:rsidDel="00000000" w:rsidR="00000000" w:rsidRPr="00000000">
        <w:rPr>
          <w:sz w:val="24"/>
          <w:szCs w:val="24"/>
          <w:rtl w:val="0"/>
        </w:rPr>
        <w:t xml:space="preserve">, reemplazando “Twilio Send Grid” por “Firebase Authentication”, esto debido a que las funciones necesarias de Twilio solo son accesibles mediante una suscripción, la cual no está contemplada en el proyecto.</w:t>
        <w:br w:type="textWrapping"/>
        <w:t xml:space="preserve">Al igual que en el mismo apartado, se añadió </w:t>
      </w:r>
      <w:r w:rsidDel="00000000" w:rsidR="00000000" w:rsidRPr="00000000">
        <w:rPr>
          <w:sz w:val="24"/>
          <w:szCs w:val="24"/>
          <w:rtl w:val="0"/>
        </w:rPr>
        <w:t xml:space="preserve">Mindicador</w:t>
      </w:r>
      <w:r w:rsidDel="00000000" w:rsidR="00000000" w:rsidRPr="00000000">
        <w:rPr>
          <w:sz w:val="24"/>
          <w:szCs w:val="24"/>
          <w:rtl w:val="0"/>
        </w:rPr>
        <w:t xml:space="preserve">, debido a que este es necesario para el funcionamiento correcto de la pasarela de pago (Paypal) </w:t>
      </w:r>
    </w:p>
    <w:p w:rsidR="00000000" w:rsidDel="00000000" w:rsidP="00000000" w:rsidRDefault="00000000" w:rsidRPr="00000000" w14:paraId="00000017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hyperlink r:id="rId9">
        <w:r w:rsidDel="00000000" w:rsidR="00000000" w:rsidRPr="00000000">
          <w:rPr>
            <w:color w:val="1155cc"/>
            <w:sz w:val="24"/>
            <w:szCs w:val="24"/>
            <w:u w:val="single"/>
            <w:rtl w:val="0"/>
          </w:rPr>
          <w:t xml:space="preserve">Diagrama de Componentes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numPr>
          <w:ilvl w:val="1"/>
          <w:numId w:val="1"/>
        </w:numPr>
        <w:ind w:left="1440" w:hanging="360"/>
        <w:rPr>
          <w:sz w:val="24"/>
          <w:szCs w:val="24"/>
          <w:u w:val="none"/>
        </w:rPr>
      </w:pPr>
      <w:r w:rsidDel="00000000" w:rsidR="00000000" w:rsidRPr="00000000">
        <w:rPr>
          <w:b w:val="1"/>
          <w:bCs w:val="1"/>
          <w:i w:val="1"/>
          <w:iCs w:val="1"/>
          <w:sz w:val="24"/>
          <w:szCs w:val="24"/>
          <w:rtl w:val="0"/>
        </w:rPr>
        <w:t xml:space="preserve">(28/09/2026)</w:t>
      </w:r>
      <w:r w:rsidDel="00000000" w:rsidR="00000000" w:rsidRPr="00000000">
        <w:rPr>
          <w:sz w:val="24"/>
          <w:szCs w:val="24"/>
          <w:rtl w:val="0"/>
        </w:rPr>
        <w:t xml:space="preserve">  Se modificó el apartado de </w:t>
      </w: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Servicios Externos</w:t>
      </w:r>
      <w:r w:rsidDel="00000000" w:rsidR="00000000" w:rsidRPr="00000000">
        <w:rPr>
          <w:sz w:val="24"/>
          <w:szCs w:val="24"/>
          <w:rtl w:val="0"/>
        </w:rPr>
        <w:t xml:space="preserve">, corrigiendo la duplicación de un servicio e incluyendo “Servicio Mensajeria” y “Servicio Conversión de Divisas” que previamente no se había definido</w:t>
      </w:r>
    </w:p>
    <w:p w:rsidR="00000000" w:rsidDel="00000000" w:rsidP="00000000" w:rsidRDefault="00000000" w:rsidRPr="00000000" w14:paraId="00000019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hyperlink r:id="rId10">
        <w:r w:rsidDel="00000000" w:rsidR="00000000" w:rsidRPr="00000000">
          <w:rPr>
            <w:color w:val="1155cc"/>
            <w:sz w:val="24"/>
            <w:szCs w:val="24"/>
            <w:u w:val="single"/>
            <w:rtl w:val="0"/>
          </w:rPr>
          <w:t xml:space="preserve">Diagrama de Arquitectura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numPr>
          <w:ilvl w:val="1"/>
          <w:numId w:val="1"/>
        </w:numPr>
        <w:ind w:left="1440" w:hanging="360"/>
        <w:rPr>
          <w:sz w:val="24"/>
          <w:szCs w:val="24"/>
          <w:u w:val="none"/>
        </w:rPr>
      </w:pPr>
      <w:r w:rsidDel="00000000" w:rsidR="00000000" w:rsidRPr="00000000">
        <w:rPr>
          <w:b w:val="1"/>
          <w:bCs w:val="1"/>
          <w:i w:val="1"/>
          <w:iCs w:val="1"/>
          <w:sz w:val="24"/>
          <w:szCs w:val="24"/>
          <w:rtl w:val="0"/>
        </w:rPr>
        <w:t xml:space="preserve">(28/09/2026)</w:t>
      </w:r>
      <w:r w:rsidDel="00000000" w:rsidR="00000000" w:rsidRPr="00000000">
        <w:rPr>
          <w:sz w:val="24"/>
          <w:szCs w:val="24"/>
          <w:rtl w:val="0"/>
        </w:rPr>
        <w:t xml:space="preserve">  Se modificó el apartado de </w:t>
      </w: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Servicios y APIs Externas</w:t>
      </w:r>
      <w:r w:rsidDel="00000000" w:rsidR="00000000" w:rsidRPr="00000000">
        <w:rPr>
          <w:sz w:val="24"/>
          <w:szCs w:val="24"/>
          <w:rtl w:val="0"/>
        </w:rPr>
        <w:t xml:space="preserve">, reemplazando “Send Grid (Correos Transaccionales)” por “</w:t>
      </w:r>
      <w:r w:rsidDel="00000000" w:rsidR="00000000" w:rsidRPr="00000000">
        <w:rPr>
          <w:sz w:val="24"/>
          <w:szCs w:val="24"/>
          <w:rtl w:val="0"/>
        </w:rPr>
        <w:t xml:space="preserve">jsReport</w:t>
      </w:r>
      <w:r w:rsidDel="00000000" w:rsidR="00000000" w:rsidRPr="00000000">
        <w:rPr>
          <w:sz w:val="24"/>
          <w:szCs w:val="24"/>
          <w:rtl w:val="0"/>
        </w:rPr>
        <w:t xml:space="preserve"> (Confección de Reportes)”.</w:t>
        <w:br w:type="textWrapping"/>
        <w:t xml:space="preserve">Dentro del mismo apartado se añadió “</w:t>
      </w:r>
      <w:r w:rsidDel="00000000" w:rsidR="00000000" w:rsidRPr="00000000">
        <w:rPr>
          <w:sz w:val="24"/>
          <w:szCs w:val="24"/>
          <w:rtl w:val="0"/>
        </w:rPr>
        <w:t xml:space="preserve">Mindicador</w:t>
      </w:r>
      <w:r w:rsidDel="00000000" w:rsidR="00000000" w:rsidRPr="00000000">
        <w:rPr>
          <w:sz w:val="24"/>
          <w:szCs w:val="24"/>
          <w:rtl w:val="0"/>
        </w:rPr>
        <w:t xml:space="preserve"> (Conversor de Divisas)” que “Realiza Conversión de Dinero”</w:t>
      </w:r>
    </w:p>
    <w:p w:rsidR="00000000" w:rsidDel="00000000" w:rsidP="00000000" w:rsidRDefault="00000000" w:rsidRPr="00000000" w14:paraId="0000001B">
      <w:pPr>
        <w:numPr>
          <w:ilvl w:val="1"/>
          <w:numId w:val="1"/>
        </w:numPr>
        <w:ind w:left="1440" w:hanging="360"/>
        <w:rPr>
          <w:sz w:val="24"/>
          <w:szCs w:val="24"/>
          <w:u w:val="none"/>
        </w:rPr>
      </w:pPr>
      <w:r w:rsidDel="00000000" w:rsidR="00000000" w:rsidRPr="00000000">
        <w:rPr>
          <w:b w:val="1"/>
          <w:bCs w:val="1"/>
          <w:i w:val="1"/>
          <w:iCs w:val="1"/>
          <w:sz w:val="24"/>
          <w:szCs w:val="24"/>
          <w:rtl w:val="0"/>
        </w:rPr>
        <w:t xml:space="preserve">(28/09/2026)</w:t>
      </w:r>
      <w:r w:rsidDel="00000000" w:rsidR="00000000" w:rsidRPr="00000000">
        <w:rPr>
          <w:sz w:val="24"/>
          <w:szCs w:val="24"/>
          <w:rtl w:val="0"/>
        </w:rPr>
        <w:t xml:space="preserve"> Se modificó el apartado </w:t>
      </w: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Proveedor de Nube (Entorno de Docker)</w:t>
      </w:r>
      <w:r w:rsidDel="00000000" w:rsidR="00000000" w:rsidRPr="00000000">
        <w:rPr>
          <w:sz w:val="24"/>
          <w:szCs w:val="24"/>
          <w:rtl w:val="0"/>
        </w:rPr>
        <w:t xml:space="preserve">, reemplazando “Base de datos SQL” por “Base de datos PostgreSQL”</w:t>
      </w:r>
    </w:p>
    <w:p w:rsidR="00000000" w:rsidDel="00000000" w:rsidP="00000000" w:rsidRDefault="00000000" w:rsidRPr="00000000" w14:paraId="0000001C">
      <w:pPr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hyperlink r:id="rId11">
        <w:r w:rsidDel="00000000" w:rsidR="00000000" w:rsidRPr="00000000">
          <w:rPr>
            <w:color w:val="1155cc"/>
            <w:sz w:val="24"/>
            <w:szCs w:val="24"/>
            <w:u w:val="single"/>
            <w:rtl w:val="0"/>
          </w:rPr>
          <w:t xml:space="preserve">BDD con tipos de datos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E">
      <w:pPr>
        <w:numPr>
          <w:ilvl w:val="1"/>
          <w:numId w:val="1"/>
        </w:numPr>
        <w:ind w:left="1440" w:hanging="360"/>
        <w:rPr>
          <w:sz w:val="24"/>
          <w:szCs w:val="24"/>
          <w:u w:val="none"/>
        </w:rPr>
      </w:pPr>
      <w:r w:rsidDel="00000000" w:rsidR="00000000" w:rsidRPr="00000000">
        <w:rPr>
          <w:b w:val="1"/>
          <w:bCs w:val="1"/>
          <w:i w:val="1"/>
          <w:iCs w:val="1"/>
          <w:sz w:val="24"/>
          <w:szCs w:val="24"/>
          <w:rtl w:val="0"/>
        </w:rPr>
        <w:t xml:space="preserve">(05/10/2026) </w:t>
      </w:r>
      <w:r w:rsidDel="00000000" w:rsidR="00000000" w:rsidRPr="00000000">
        <w:rPr>
          <w:sz w:val="24"/>
          <w:szCs w:val="24"/>
          <w:rtl w:val="0"/>
        </w:rPr>
        <w:t xml:space="preserve">Se modifica el apartado de PLANES, modificando la tabla PLAN, eliminando los datos:</w:t>
      </w:r>
    </w:p>
    <w:p w:rsidR="00000000" w:rsidDel="00000000" w:rsidP="00000000" w:rsidRDefault="00000000" w:rsidRPr="00000000" w14:paraId="0000001F">
      <w:pPr>
        <w:numPr>
          <w:ilvl w:val="2"/>
          <w:numId w:val="1"/>
        </w:numPr>
        <w:ind w:left="216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total_venta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numPr>
          <w:ilvl w:val="2"/>
          <w:numId w:val="1"/>
        </w:numPr>
        <w:ind w:left="216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fecha_venta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1">
      <w:pPr>
        <w:ind w:left="1440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Esto ya que estos datos no pertenecen a dicha tabla y causaron conflictos en el ambiente de desarrollo</w:t>
      </w:r>
    </w:p>
    <w:p w:rsidR="00000000" w:rsidDel="00000000" w:rsidP="00000000" w:rsidRDefault="00000000" w:rsidRPr="00000000" w14:paraId="00000022">
      <w:pPr>
        <w:numPr>
          <w:ilvl w:val="1"/>
          <w:numId w:val="2"/>
        </w:numPr>
        <w:ind w:left="1440" w:hanging="360"/>
        <w:rPr>
          <w:b w:val="1"/>
          <w:bCs w:val="1"/>
          <w:i w:val="1"/>
          <w:iCs w:val="1"/>
          <w:sz w:val="24"/>
          <w:szCs w:val="24"/>
        </w:rPr>
      </w:pPr>
      <w:r w:rsidDel="00000000" w:rsidR="00000000" w:rsidRPr="00000000">
        <w:rPr>
          <w:b w:val="1"/>
          <w:bCs w:val="1"/>
          <w:i w:val="1"/>
          <w:iCs w:val="1"/>
          <w:sz w:val="24"/>
          <w:szCs w:val="24"/>
          <w:rtl w:val="0"/>
        </w:rPr>
        <w:t xml:space="preserve">(06/10/2026) </w:t>
      </w:r>
      <w:r w:rsidDel="00000000" w:rsidR="00000000" w:rsidRPr="00000000">
        <w:rPr>
          <w:sz w:val="24"/>
          <w:szCs w:val="24"/>
          <w:rtl w:val="0"/>
        </w:rPr>
        <w:t xml:space="preserve">En el apartado de </w:t>
      </w: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USUARIO</w:t>
      </w:r>
      <w:r w:rsidDel="00000000" w:rsidR="00000000" w:rsidRPr="00000000">
        <w:rPr>
          <w:sz w:val="24"/>
          <w:szCs w:val="24"/>
          <w:rtl w:val="0"/>
        </w:rPr>
        <w:t xml:space="preserve"> se añade la tabla “</w:t>
      </w: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ANTECEDENTE_MEDICO</w:t>
      </w:r>
      <w:r w:rsidDel="00000000" w:rsidR="00000000" w:rsidRPr="00000000">
        <w:rPr>
          <w:sz w:val="24"/>
          <w:szCs w:val="24"/>
          <w:rtl w:val="0"/>
        </w:rPr>
        <w:t xml:space="preserve">”, la cual controla la información médica entregada por el usuario</w:t>
      </w:r>
    </w:p>
    <w:p w:rsidR="00000000" w:rsidDel="00000000" w:rsidP="00000000" w:rsidRDefault="00000000" w:rsidRPr="00000000" w14:paraId="00000023">
      <w:pPr>
        <w:numPr>
          <w:ilvl w:val="1"/>
          <w:numId w:val="2"/>
        </w:numPr>
        <w:ind w:left="1440" w:hanging="360"/>
        <w:rPr>
          <w:sz w:val="24"/>
          <w:szCs w:val="24"/>
        </w:rPr>
      </w:pPr>
      <w:r w:rsidDel="00000000" w:rsidR="00000000" w:rsidRPr="00000000">
        <w:rPr>
          <w:b w:val="1"/>
          <w:bCs w:val="1"/>
          <w:i w:val="1"/>
          <w:iCs w:val="1"/>
          <w:sz w:val="24"/>
          <w:szCs w:val="24"/>
          <w:rtl w:val="0"/>
        </w:rPr>
        <w:t xml:space="preserve">(06/10/2026) </w:t>
      </w:r>
      <w:r w:rsidDel="00000000" w:rsidR="00000000" w:rsidRPr="00000000">
        <w:rPr>
          <w:sz w:val="24"/>
          <w:szCs w:val="24"/>
          <w:rtl w:val="0"/>
        </w:rPr>
        <w:t xml:space="preserve">En el apartado de </w:t>
      </w: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ALERTA</w:t>
      </w:r>
      <w:r w:rsidDel="00000000" w:rsidR="00000000" w:rsidRPr="00000000">
        <w:rPr>
          <w:sz w:val="24"/>
          <w:szCs w:val="24"/>
          <w:rtl w:val="0"/>
        </w:rPr>
        <w:t xml:space="preserve">, considerando la tabla “</w:t>
      </w: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DETALLE_ALERTA</w:t>
      </w:r>
      <w:r w:rsidDel="00000000" w:rsidR="00000000" w:rsidRPr="00000000">
        <w:rPr>
          <w:sz w:val="24"/>
          <w:szCs w:val="24"/>
          <w:rtl w:val="0"/>
        </w:rPr>
        <w:t xml:space="preserve">”, se añadió la clave foránea de “</w:t>
      </w:r>
      <w:r w:rsidDel="00000000" w:rsidR="00000000" w:rsidRPr="00000000">
        <w:rPr>
          <w:sz w:val="24"/>
          <w:szCs w:val="24"/>
          <w:rtl w:val="0"/>
        </w:rPr>
        <w:t xml:space="preserve">antecedente_medico_ID</w:t>
      </w:r>
      <w:r w:rsidDel="00000000" w:rsidR="00000000" w:rsidRPr="00000000">
        <w:rPr>
          <w:sz w:val="24"/>
          <w:szCs w:val="24"/>
          <w:rtl w:val="0"/>
        </w:rPr>
        <w:t xml:space="preserve">” que conecta la tabla anteriormente creada con las alertas</w:t>
      </w:r>
    </w:p>
    <w:p w:rsidR="00000000" w:rsidDel="00000000" w:rsidP="00000000" w:rsidRDefault="00000000" w:rsidRPr="00000000" w14:paraId="00000024">
      <w:pPr>
        <w:numPr>
          <w:ilvl w:val="1"/>
          <w:numId w:val="2"/>
        </w:numPr>
        <w:ind w:left="1440" w:hanging="360"/>
        <w:rPr>
          <w:b w:val="1"/>
          <w:bCs w:val="1"/>
          <w:i w:val="1"/>
          <w:iCs w:val="1"/>
          <w:sz w:val="24"/>
          <w:szCs w:val="24"/>
        </w:rPr>
      </w:pPr>
      <w:r w:rsidDel="00000000" w:rsidR="00000000" w:rsidRPr="00000000">
        <w:rPr>
          <w:b w:val="1"/>
          <w:bCs w:val="1"/>
          <w:i w:val="1"/>
          <w:iCs w:val="1"/>
          <w:sz w:val="24"/>
          <w:szCs w:val="24"/>
          <w:rtl w:val="0"/>
        </w:rPr>
        <w:t xml:space="preserve">(06/10/2026) </w:t>
      </w:r>
      <w:r w:rsidDel="00000000" w:rsidR="00000000" w:rsidRPr="00000000">
        <w:rPr>
          <w:sz w:val="24"/>
          <w:szCs w:val="24"/>
          <w:rtl w:val="0"/>
        </w:rPr>
        <w:t xml:space="preserve">Se han modificado TODOS los tipos de datos del documento, adaptandolos a aquellos empleados en el uso de PostgreSQL, esto debido a que anteriormente se tomaron en cuenta tipos de datos de MySQL</w:t>
      </w:r>
    </w:p>
    <w:p w:rsidR="00000000" w:rsidDel="00000000" w:rsidP="00000000" w:rsidRDefault="00000000" w:rsidRPr="00000000" w14:paraId="00000025">
      <w:pPr>
        <w:ind w:left="0" w:firstLine="0"/>
        <w:rPr>
          <w:sz w:val="24"/>
          <w:szCs w:val="24"/>
        </w:rPr>
      </w:pPr>
      <w:r w:rsidDel="00000000" w:rsidR="00000000" w:rsidRPr="00000000">
        <w:rPr>
          <w:rtl w:val="0"/>
        </w:rPr>
      </w:r>
    </w:p>
    <w:sectPr>
      <w:pgSz w:h="16834" w:w="11909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s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11" Type="http://schemas.openxmlformats.org/officeDocument/2006/relationships/hyperlink" Target="https://docs.google.com/spreadsheets/d/1tJaRa9TmjiytWUDTQIGapL1XDOYanytfb1V7Yh75Dso/edit?usp=drive_link" TargetMode="External"/><Relationship Id="rId10" Type="http://schemas.openxmlformats.org/officeDocument/2006/relationships/hyperlink" Target="https://drive.google.com/file/d/1eHDOk16IxSoBSGxSogPRX-blv3jagGdj/view?usp=drive_link" TargetMode="External"/><Relationship Id="rId9" Type="http://schemas.openxmlformats.org/officeDocument/2006/relationships/hyperlink" Target="https://drive.google.com/file/d/1uvgS3BlcufVpeRLWddptPzzleMVzePy6/view?usp=drive_link" TargetMode="External"/><Relationship Id="rId5" Type="http://schemas.openxmlformats.org/officeDocument/2006/relationships/styles" Target="styles.xml"/><Relationship Id="rId6" Type="http://schemas.openxmlformats.org/officeDocument/2006/relationships/hyperlink" Target="https://docs.google.com/document/d/1FOCUcsvSqAEexMuhE0K8-esDHyWeTkLQ/edit" TargetMode="External"/><Relationship Id="rId7" Type="http://schemas.openxmlformats.org/officeDocument/2006/relationships/hyperlink" Target="https://docs.google.com/document/d/1YGUlEDr0uP1cGLqV6GnK2v_OWC7kJjojBvGNrR_s3fs/edit?usp=drive_link" TargetMode="External"/><Relationship Id="rId8" Type="http://schemas.openxmlformats.org/officeDocument/2006/relationships/hyperlink" Target="https://docs.google.com/document/d/1LtusecQbuxDzXNYHWGkx9Hs7w0q2EHKZvvZAV93LOmk/edit?tab=t.0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