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80s Fantasy Art Style &amp; Asset Pipeline</w:t>
      </w:r>
    </w:p>
    <w:p>
      <w:pPr>
        <w:spacing w:after="360"/>
      </w:pPr>
      <w:r>
        <w:rPr>
          <w:i/>
          <w:color w:val="6B625B"/>
          <w:sz w:val="23"/>
        </w:rPr>
        <w:t>Visual language, source-asset policy, material conversion, lighting, post-processing and environment integration</w:t>
      </w:r>
    </w:p>
    <w:tbl>
      <w:tblPr>
        <w:tblW w:type="auto" w:w="0"/>
        <w:jc w:val="center"/>
        <w:tblLook w:firstColumn="1" w:firstRow="1" w:lastColumn="0" w:lastRow="0" w:noHBand="0" w:noVBand="1" w:val="04A0"/>
      </w:tblPr>
      <w:tblGrid>
        <w:gridCol w:w="9936"/>
      </w:tblGrid>
      <w:tr>
        <w:tc>
          <w:tcPr>
            <w:tcW w:type="dxa" w:w="9936"/>
            <w:shd w:fill="F5EFE8"/>
            <w:tcMar>
              <w:top w:w="150" w:type="dxa"/>
              <w:start w:w="180" w:type="dxa"/>
              <w:bottom w:w="150" w:type="dxa"/>
              <w:end w:w="180" w:type="dxa"/>
            </w:tcMar>
          </w:tcPr>
          <w:p>
            <w:pPr>
              <w:spacing w:after="0"/>
            </w:pPr>
            <w:r>
              <w:rPr>
                <w:b/>
                <w:color w:val="6B4E2E"/>
              </w:rPr>
              <w:t>Target: a painted 1980s fantasy-book / game-cover atmosphere, not modern clean PBR realism and not explicit pixel art. The world should feel hand-painted, slightly coarse, romantic, monumental and occasionally dark.</w:t>
            </w:r>
          </w:p>
        </w:tc>
      </w:tr>
    </w:tbl>
    <w:p>
      <w:pPr>
        <w:spacing w:after="40"/>
      </w:pPr>
    </w:p>
    <w:p>
      <w:pPr>
        <w:pStyle w:val="Heading1"/>
      </w:pPr>
      <w:r>
        <w:t>1. Target visual character</w:t>
      </w:r>
    </w:p>
    <w:p>
      <w:pPr>
        <w:pStyle w:val="ListBullet"/>
        <w:spacing w:after="40"/>
      </w:pPr>
      <w:r>
        <w:t>Painterly fantasy illustration rather than glossy modern realism.</w:t>
      </w:r>
    </w:p>
    <w:p>
      <w:pPr>
        <w:pStyle w:val="ListBullet"/>
        <w:spacing w:after="40"/>
      </w:pPr>
      <w:r>
        <w:t>Strong silhouettes and monumental landscapes readable from far away.</w:t>
      </w:r>
    </w:p>
    <w:p>
      <w:pPr>
        <w:pStyle w:val="ListBullet"/>
        <w:spacing w:after="40"/>
      </w:pPr>
      <w:r>
        <w:t>Slightly coarse, print-like or hand-painted surface character; controlled visible texture rather than sterile smoothness.</w:t>
      </w:r>
    </w:p>
    <w:p>
      <w:pPr>
        <w:pStyle w:val="ListBullet"/>
        <w:spacing w:after="40"/>
      </w:pPr>
      <w:r>
        <w:t>Rich atmospheric depth: haze, mist, shafts of light, warm/cool separation and layered distant mountains.</w:t>
      </w:r>
    </w:p>
    <w:p>
      <w:pPr>
        <w:pStyle w:val="ListBullet"/>
        <w:spacing w:after="40"/>
      </w:pPr>
      <w:r>
        <w:t>Natural environments remain believable, while fantasy regions exaggerate color, scale and geological forms.</w:t>
      </w:r>
    </w:p>
    <w:p>
      <w:pPr>
        <w:pStyle w:val="ListBullet"/>
        <w:spacing w:after="40"/>
      </w:pPr>
      <w:r>
        <w:t>Dark-fantasy tension is introduced through contrast, shadow masses, weather, ruins, dead vegetation and ominous forms rather than making every scene grim.</w:t>
      </w:r>
    </w:p>
    <w:p>
      <w:pPr>
        <w:pStyle w:val="Heading1"/>
      </w:pPr>
      <w:r>
        <w:t>2. Composition language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6B4E2E"/>
            <w:tcMar>
              <w:top w:w="110" w:type="dxa"/>
              <w:start w:w="120" w:type="dxa"/>
              <w:bottom w:w="110" w:type="dxa"/>
              <w:end w:w="120" w:type="dxa"/>
            </w:tcMar>
          </w:tcPr>
          <w:p>
            <w:pPr>
              <w:jc w:val="center"/>
            </w:pPr>
            <w:r>
              <w:rPr>
                <w:b/>
                <w:color w:val="FFFFFF"/>
                <w:sz w:val="19"/>
              </w:rPr>
              <w:t>Rule</w:t>
            </w:r>
          </w:p>
        </w:tc>
        <w:tc>
          <w:tcPr>
            <w:tcW w:type="dxa" w:w="4968"/>
            <w:shd w:fill="6B4E2E"/>
            <w:tcMar>
              <w:top w:w="110" w:type="dxa"/>
              <w:start w:w="120" w:type="dxa"/>
              <w:bottom w:w="110" w:type="dxa"/>
              <w:end w:w="120" w:type="dxa"/>
            </w:tcMar>
          </w:tcPr>
          <w:p>
            <w:pPr>
              <w:jc w:val="center"/>
            </w:pPr>
            <w:r>
              <w:rPr>
                <w:b/>
                <w:color w:val="FFFFFF"/>
                <w:sz w:val="19"/>
              </w:rPr>
              <w:t>Implementation</w:t>
            </w:r>
          </w:p>
        </w:tc>
      </w:tr>
      <w:tr>
        <w:tc>
          <w:tcPr>
            <w:tcW w:type="dxa" w:w="4968"/>
            <w:tcMar>
              <w:top w:w="110" w:type="dxa"/>
              <w:start w:w="120" w:type="dxa"/>
              <w:bottom w:w="110" w:type="dxa"/>
              <w:end w:w="120" w:type="dxa"/>
            </w:tcMar>
            <w:vAlign w:val="center"/>
          </w:tcPr>
          <w:p>
            <w:pPr>
              <w:spacing w:after="0"/>
            </w:pPr>
            <w:r>
              <w:rPr>
                <w:sz w:val="18"/>
              </w:rPr>
              <w:t>Silhouette first</w:t>
            </w:r>
          </w:p>
        </w:tc>
        <w:tc>
          <w:tcPr>
            <w:tcW w:type="dxa" w:w="4968"/>
            <w:tcMar>
              <w:top w:w="110" w:type="dxa"/>
              <w:start w:w="120" w:type="dxa"/>
              <w:bottom w:w="110" w:type="dxa"/>
              <w:end w:w="120" w:type="dxa"/>
            </w:tcMar>
            <w:vAlign w:val="center"/>
          </w:tcPr>
          <w:p>
            <w:pPr>
              <w:spacing w:after="0"/>
            </w:pPr>
            <w:r>
              <w:rPr>
                <w:sz w:val="18"/>
              </w:rPr>
              <w:t>hero cliffs, spires, tree masses and mountain walls must read at thumbnail size</w:t>
            </w:r>
          </w:p>
        </w:tc>
      </w:tr>
      <w:tr>
        <w:tc>
          <w:tcPr>
            <w:tcW w:type="dxa" w:w="4968"/>
            <w:tcMar>
              <w:top w:w="110" w:type="dxa"/>
              <w:start w:w="120" w:type="dxa"/>
              <w:bottom w:w="110" w:type="dxa"/>
              <w:end w:w="120" w:type="dxa"/>
            </w:tcMar>
            <w:vAlign w:val="center"/>
          </w:tcPr>
          <w:p>
            <w:pPr>
              <w:spacing w:after="0"/>
            </w:pPr>
            <w:r>
              <w:rPr>
                <w:sz w:val="18"/>
              </w:rPr>
              <w:t>Foreground framing</w:t>
            </w:r>
          </w:p>
        </w:tc>
        <w:tc>
          <w:tcPr>
            <w:tcW w:type="dxa" w:w="4968"/>
            <w:tcMar>
              <w:top w:w="110" w:type="dxa"/>
              <w:start w:w="120" w:type="dxa"/>
              <w:bottom w:w="110" w:type="dxa"/>
              <w:end w:w="120" w:type="dxa"/>
            </w:tcMar>
            <w:vAlign w:val="center"/>
          </w:tcPr>
          <w:p>
            <w:pPr>
              <w:spacing w:after="0"/>
            </w:pPr>
            <w:r>
              <w:rPr>
                <w:sz w:val="18"/>
              </w:rPr>
              <w:t>large tree trunks, rocks or slopes can frame the view like classic cover art</w:t>
            </w:r>
          </w:p>
        </w:tc>
      </w:tr>
      <w:tr>
        <w:tc>
          <w:tcPr>
            <w:tcW w:type="dxa" w:w="4968"/>
            <w:tcMar>
              <w:top w:w="110" w:type="dxa"/>
              <w:start w:w="120" w:type="dxa"/>
              <w:bottom w:w="110" w:type="dxa"/>
              <w:end w:w="120" w:type="dxa"/>
            </w:tcMar>
            <w:vAlign w:val="center"/>
          </w:tcPr>
          <w:p>
            <w:pPr>
              <w:spacing w:after="0"/>
            </w:pPr>
            <w:r>
              <w:rPr>
                <w:sz w:val="18"/>
              </w:rPr>
              <w:t>Deep staging</w:t>
            </w:r>
          </w:p>
        </w:tc>
        <w:tc>
          <w:tcPr>
            <w:tcW w:type="dxa" w:w="4968"/>
            <w:tcMar>
              <w:top w:w="110" w:type="dxa"/>
              <w:start w:w="120" w:type="dxa"/>
              <w:bottom w:w="110" w:type="dxa"/>
              <w:end w:w="120" w:type="dxa"/>
            </w:tcMar>
            <w:vAlign w:val="center"/>
          </w:tcPr>
          <w:p>
            <w:pPr>
              <w:spacing w:after="0"/>
            </w:pPr>
            <w:r>
              <w:rPr>
                <w:sz w:val="18"/>
              </w:rPr>
              <w:t>foreground detail -&gt; middle-ground path/water -&gt; distant landmark</w:t>
            </w:r>
          </w:p>
        </w:tc>
      </w:tr>
      <w:tr>
        <w:tc>
          <w:tcPr>
            <w:tcW w:type="dxa" w:w="4968"/>
            <w:tcMar>
              <w:top w:w="110" w:type="dxa"/>
              <w:start w:w="120" w:type="dxa"/>
              <w:bottom w:w="110" w:type="dxa"/>
              <w:end w:w="120" w:type="dxa"/>
            </w:tcMar>
            <w:vAlign w:val="center"/>
          </w:tcPr>
          <w:p>
            <w:pPr>
              <w:spacing w:after="0"/>
            </w:pPr>
            <w:r>
              <w:rPr>
                <w:sz w:val="18"/>
              </w:rPr>
              <w:t>Single visual anchor</w:t>
            </w:r>
          </w:p>
        </w:tc>
        <w:tc>
          <w:tcPr>
            <w:tcW w:type="dxa" w:w="4968"/>
            <w:tcMar>
              <w:top w:w="110" w:type="dxa"/>
              <w:start w:w="120" w:type="dxa"/>
              <w:bottom w:w="110" w:type="dxa"/>
              <w:end w:w="120" w:type="dxa"/>
            </w:tcMar>
            <w:vAlign w:val="center"/>
          </w:tcPr>
          <w:p>
            <w:pPr>
              <w:spacing w:after="0"/>
            </w:pPr>
            <w:r>
              <w:rPr>
                <w:sz w:val="18"/>
              </w:rPr>
              <w:t>one main mountain, tower, lake, grove or geological feature dominates the composition</w:t>
            </w:r>
          </w:p>
        </w:tc>
      </w:tr>
      <w:tr>
        <w:tc>
          <w:tcPr>
            <w:tcW w:type="dxa" w:w="4968"/>
            <w:tcMar>
              <w:top w:w="110" w:type="dxa"/>
              <w:start w:w="120" w:type="dxa"/>
              <w:bottom w:w="110" w:type="dxa"/>
              <w:end w:w="120" w:type="dxa"/>
            </w:tcMar>
            <w:vAlign w:val="center"/>
          </w:tcPr>
          <w:p>
            <w:pPr>
              <w:spacing w:after="0"/>
            </w:pPr>
            <w:r>
              <w:rPr>
                <w:sz w:val="18"/>
              </w:rPr>
              <w:t>Small scale figures</w:t>
            </w:r>
          </w:p>
        </w:tc>
        <w:tc>
          <w:tcPr>
            <w:tcW w:type="dxa" w:w="4968"/>
            <w:tcMar>
              <w:top w:w="110" w:type="dxa"/>
              <w:start w:w="120" w:type="dxa"/>
              <w:bottom w:w="110" w:type="dxa"/>
              <w:end w:w="120" w:type="dxa"/>
            </w:tcMar>
            <w:vAlign w:val="center"/>
          </w:tcPr>
          <w:p>
            <w:pPr>
              <w:spacing w:after="0"/>
            </w:pPr>
            <w:r>
              <w:rPr>
                <w:sz w:val="18"/>
              </w:rPr>
              <w:t>optional travelers/animals only to establish scale; not mandatory in game scenes</w:t>
            </w:r>
          </w:p>
        </w:tc>
      </w:tr>
      <w:tr>
        <w:tc>
          <w:tcPr>
            <w:tcW w:type="dxa" w:w="4968"/>
            <w:tcMar>
              <w:top w:w="110" w:type="dxa"/>
              <w:start w:w="120" w:type="dxa"/>
              <w:bottom w:w="110" w:type="dxa"/>
              <w:end w:w="120" w:type="dxa"/>
            </w:tcMar>
            <w:vAlign w:val="center"/>
          </w:tcPr>
          <w:p>
            <w:pPr>
              <w:spacing w:after="0"/>
            </w:pPr>
            <w:r>
              <w:rPr>
                <w:sz w:val="18"/>
              </w:rPr>
              <w:t>Negative space</w:t>
            </w:r>
          </w:p>
        </w:tc>
        <w:tc>
          <w:tcPr>
            <w:tcW w:type="dxa" w:w="4968"/>
            <w:tcMar>
              <w:top w:w="110" w:type="dxa"/>
              <w:start w:w="120" w:type="dxa"/>
              <w:bottom w:w="110" w:type="dxa"/>
              <w:end w:w="120" w:type="dxa"/>
            </w:tcMar>
            <w:vAlign w:val="center"/>
          </w:tcPr>
          <w:p>
            <w:pPr>
              <w:spacing w:after="0"/>
            </w:pPr>
            <w:r>
              <w:rPr>
                <w:sz w:val="18"/>
              </w:rPr>
              <w:t>fog, sky, water or open meadow should separate dense masses</w:t>
            </w:r>
          </w:p>
        </w:tc>
      </w:tr>
    </w:tbl>
    <w:p>
      <w:pPr>
        <w:spacing w:after="60"/>
      </w:pPr>
    </w:p>
    <w:p>
      <w:pPr>
        <w:pStyle w:val="Heading1"/>
      </w:pPr>
      <w:r>
        <w:t>3. Palette and value structure</w:t>
      </w:r>
    </w:p>
    <w:p>
      <w:r>
        <w:t>Avoid physically neutral, evenly exposed PBR color. Use controlled artistic grading and regional palettes.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6B4E2E"/>
            <w:tcMar>
              <w:top w:w="110" w:type="dxa"/>
              <w:start w:w="120" w:type="dxa"/>
              <w:bottom w:w="110" w:type="dxa"/>
              <w:end w:w="120" w:type="dxa"/>
            </w:tcMar>
          </w:tcPr>
          <w:p>
            <w:pPr>
              <w:jc w:val="center"/>
            </w:pPr>
            <w:r>
              <w:rPr>
                <w:b/>
                <w:color w:val="FFFFFF"/>
                <w:sz w:val="19"/>
              </w:rPr>
              <w:t>Element</w:t>
            </w:r>
          </w:p>
        </w:tc>
        <w:tc>
          <w:tcPr>
            <w:tcW w:type="dxa" w:w="4968"/>
            <w:shd w:fill="6B4E2E"/>
            <w:tcMar>
              <w:top w:w="110" w:type="dxa"/>
              <w:start w:w="120" w:type="dxa"/>
              <w:bottom w:w="110" w:type="dxa"/>
              <w:end w:w="120" w:type="dxa"/>
            </w:tcMar>
          </w:tcPr>
          <w:p>
            <w:pPr>
              <w:jc w:val="center"/>
            </w:pPr>
            <w:r>
              <w:rPr>
                <w:b/>
                <w:color w:val="FFFFFF"/>
                <w:sz w:val="19"/>
              </w:rPr>
              <w:t>Preferred treatment</w:t>
            </w:r>
          </w:p>
        </w:tc>
      </w:tr>
      <w:tr>
        <w:tc>
          <w:tcPr>
            <w:tcW w:type="dxa" w:w="4968"/>
            <w:tcMar>
              <w:top w:w="110" w:type="dxa"/>
              <w:start w:w="120" w:type="dxa"/>
              <w:bottom w:w="110" w:type="dxa"/>
              <w:end w:w="120" w:type="dxa"/>
            </w:tcMar>
            <w:vAlign w:val="center"/>
          </w:tcPr>
          <w:p>
            <w:pPr>
              <w:spacing w:after="0"/>
            </w:pPr>
            <w:r>
              <w:rPr>
                <w:sz w:val="18"/>
              </w:rPr>
              <w:t>Highlights</w:t>
            </w:r>
          </w:p>
        </w:tc>
        <w:tc>
          <w:tcPr>
            <w:tcW w:type="dxa" w:w="4968"/>
            <w:tcMar>
              <w:top w:w="110" w:type="dxa"/>
              <w:start w:w="120" w:type="dxa"/>
              <w:bottom w:w="110" w:type="dxa"/>
              <w:end w:w="120" w:type="dxa"/>
            </w:tcMar>
            <w:vAlign w:val="center"/>
          </w:tcPr>
          <w:p>
            <w:pPr>
              <w:spacing w:after="0"/>
            </w:pPr>
            <w:r>
              <w:rPr>
                <w:sz w:val="18"/>
              </w:rPr>
              <w:t>warm gold, pale yellow, warm ivory; avoid neutral white everywhere</w:t>
            </w:r>
          </w:p>
        </w:tc>
      </w:tr>
      <w:tr>
        <w:tc>
          <w:tcPr>
            <w:tcW w:type="dxa" w:w="4968"/>
            <w:tcMar>
              <w:top w:w="110" w:type="dxa"/>
              <w:start w:w="120" w:type="dxa"/>
              <w:bottom w:w="110" w:type="dxa"/>
              <w:end w:w="120" w:type="dxa"/>
            </w:tcMar>
            <w:vAlign w:val="center"/>
          </w:tcPr>
          <w:p>
            <w:pPr>
              <w:spacing w:after="0"/>
            </w:pPr>
            <w:r>
              <w:rPr>
                <w:sz w:val="18"/>
              </w:rPr>
              <w:t>Shadows</w:t>
            </w:r>
          </w:p>
        </w:tc>
        <w:tc>
          <w:tcPr>
            <w:tcW w:type="dxa" w:w="4968"/>
            <w:tcMar>
              <w:top w:w="110" w:type="dxa"/>
              <w:start w:w="120" w:type="dxa"/>
              <w:bottom w:w="110" w:type="dxa"/>
              <w:end w:w="120" w:type="dxa"/>
            </w:tcMar>
            <w:vAlign w:val="center"/>
          </w:tcPr>
          <w:p>
            <w:pPr>
              <w:spacing w:after="0"/>
            </w:pPr>
            <w:r>
              <w:rPr>
                <w:sz w:val="18"/>
              </w:rPr>
              <w:t>blue, blue-green, violet, deep olive or burgundy depending on biome</w:t>
            </w:r>
          </w:p>
        </w:tc>
      </w:tr>
      <w:tr>
        <w:tc>
          <w:tcPr>
            <w:tcW w:type="dxa" w:w="4968"/>
            <w:tcMar>
              <w:top w:w="110" w:type="dxa"/>
              <w:start w:w="120" w:type="dxa"/>
              <w:bottom w:w="110" w:type="dxa"/>
              <w:end w:w="120" w:type="dxa"/>
            </w:tcMar>
            <w:vAlign w:val="center"/>
          </w:tcPr>
          <w:p>
            <w:pPr>
              <w:spacing w:after="0"/>
            </w:pPr>
            <w:r>
              <w:rPr>
                <w:sz w:val="18"/>
              </w:rPr>
              <w:t>Stone</w:t>
            </w:r>
          </w:p>
        </w:tc>
        <w:tc>
          <w:tcPr>
            <w:tcW w:type="dxa" w:w="4968"/>
            <w:tcMar>
              <w:top w:w="110" w:type="dxa"/>
              <w:start w:w="120" w:type="dxa"/>
              <w:bottom w:w="110" w:type="dxa"/>
              <w:end w:w="120" w:type="dxa"/>
            </w:tcMar>
            <w:vAlign w:val="center"/>
          </w:tcPr>
          <w:p>
            <w:pPr>
              <w:spacing w:after="0"/>
            </w:pPr>
            <w:r>
              <w:rPr>
                <w:sz w:val="18"/>
              </w:rPr>
              <w:t>avoid uniform neutral gray; introduce warm faces and cool shadow planes</w:t>
            </w:r>
          </w:p>
        </w:tc>
      </w:tr>
      <w:tr>
        <w:tc>
          <w:tcPr>
            <w:tcW w:type="dxa" w:w="4968"/>
            <w:tcMar>
              <w:top w:w="110" w:type="dxa"/>
              <w:start w:w="120" w:type="dxa"/>
              <w:bottom w:w="110" w:type="dxa"/>
              <w:end w:w="120" w:type="dxa"/>
            </w:tcMar>
            <w:vAlign w:val="center"/>
          </w:tcPr>
          <w:p>
            <w:pPr>
              <w:spacing w:after="0"/>
            </w:pPr>
            <w:r>
              <w:rPr>
                <w:sz w:val="18"/>
              </w:rPr>
              <w:t>Vegetation</w:t>
            </w:r>
          </w:p>
        </w:tc>
        <w:tc>
          <w:tcPr>
            <w:tcW w:type="dxa" w:w="4968"/>
            <w:tcMar>
              <w:top w:w="110" w:type="dxa"/>
              <w:start w:w="120" w:type="dxa"/>
              <w:bottom w:w="110" w:type="dxa"/>
              <w:end w:w="120" w:type="dxa"/>
            </w:tcMar>
            <w:vAlign w:val="center"/>
          </w:tcPr>
          <w:p>
            <w:pPr>
              <w:spacing w:after="0"/>
            </w:pPr>
            <w:r>
              <w:rPr>
                <w:sz w:val="18"/>
              </w:rPr>
              <w:t>large color masses with restrained microvariation; regional palette variants</w:t>
            </w:r>
          </w:p>
        </w:tc>
      </w:tr>
      <w:tr>
        <w:tc>
          <w:tcPr>
            <w:tcW w:type="dxa" w:w="4968"/>
            <w:tcMar>
              <w:top w:w="110" w:type="dxa"/>
              <w:start w:w="120" w:type="dxa"/>
              <w:bottom w:w="110" w:type="dxa"/>
              <w:end w:w="120" w:type="dxa"/>
            </w:tcMar>
            <w:vAlign w:val="center"/>
          </w:tcPr>
          <w:p>
            <w:pPr>
              <w:spacing w:after="0"/>
            </w:pPr>
            <w:r>
              <w:rPr>
                <w:sz w:val="18"/>
              </w:rPr>
              <w:t>Magic / anomalies</w:t>
            </w:r>
          </w:p>
        </w:tc>
        <w:tc>
          <w:tcPr>
            <w:tcW w:type="dxa" w:w="4968"/>
            <w:tcMar>
              <w:top w:w="110" w:type="dxa"/>
              <w:start w:w="120" w:type="dxa"/>
              <w:bottom w:w="110" w:type="dxa"/>
              <w:end w:w="120" w:type="dxa"/>
            </w:tcMar>
            <w:vAlign w:val="center"/>
          </w:tcPr>
          <w:p>
            <w:pPr>
              <w:spacing w:after="0"/>
            </w:pPr>
            <w:r>
              <w:rPr>
                <w:sz w:val="18"/>
              </w:rPr>
              <w:t>highly saturated accents used sparingly: cyan, magenta, red, amber</w:t>
            </w:r>
          </w:p>
        </w:tc>
      </w:tr>
      <w:tr>
        <w:tc>
          <w:tcPr>
            <w:tcW w:type="dxa" w:w="4968"/>
            <w:tcMar>
              <w:top w:w="110" w:type="dxa"/>
              <w:start w:w="120" w:type="dxa"/>
              <w:bottom w:w="110" w:type="dxa"/>
              <w:end w:w="120" w:type="dxa"/>
            </w:tcMar>
            <w:vAlign w:val="center"/>
          </w:tcPr>
          <w:p>
            <w:pPr>
              <w:spacing w:after="0"/>
            </w:pPr>
            <w:r>
              <w:rPr>
                <w:sz w:val="18"/>
              </w:rPr>
              <w:t>Atmosphere</w:t>
            </w:r>
          </w:p>
        </w:tc>
        <w:tc>
          <w:tcPr>
            <w:tcW w:type="dxa" w:w="4968"/>
            <w:tcMar>
              <w:top w:w="110" w:type="dxa"/>
              <w:start w:w="120" w:type="dxa"/>
              <w:bottom w:w="110" w:type="dxa"/>
              <w:end w:w="120" w:type="dxa"/>
            </w:tcMar>
            <w:vAlign w:val="center"/>
          </w:tcPr>
          <w:p>
            <w:pPr>
              <w:spacing w:after="0"/>
            </w:pPr>
            <w:r>
              <w:rPr>
                <w:sz w:val="18"/>
              </w:rPr>
              <w:t>distant values converge and shift toward haze color to create painted depth</w:t>
            </w:r>
          </w:p>
        </w:tc>
      </w:tr>
    </w:tbl>
    <w:p>
      <w:pPr>
        <w:spacing w:after="60"/>
      </w:pPr>
    </w:p>
    <w:p>
      <w:pPr>
        <w:pStyle w:val="Heading1"/>
      </w:pPr>
      <w:r>
        <w:t>4. Source asset strategy</w:t>
      </w:r>
    </w:p>
    <w:p>
      <w:r>
        <w:t>Do not require a perfect “80s fantasy” asset pack. Source ordinary, legally usable rocks, trees, ruins, buildings and props, then force them through a unified conversion pipeline. Geometry can be realistic or stylized; the final style should be established by silhouette selection, material processing, lighting and post.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6B4E2E"/>
            <w:tcMar>
              <w:top w:w="110" w:type="dxa"/>
              <w:start w:w="120" w:type="dxa"/>
              <w:bottom w:w="110" w:type="dxa"/>
              <w:end w:w="120" w:type="dxa"/>
            </w:tcMar>
          </w:tcPr>
          <w:p>
            <w:pPr>
              <w:jc w:val="center"/>
            </w:pPr>
            <w:r>
              <w:rPr>
                <w:b/>
                <w:color w:val="FFFFFF"/>
                <w:sz w:val="19"/>
              </w:rPr>
              <w:t>Source asset type</w:t>
            </w:r>
          </w:p>
        </w:tc>
        <w:tc>
          <w:tcPr>
            <w:tcW w:type="dxa" w:w="3312"/>
            <w:shd w:fill="6B4E2E"/>
            <w:tcMar>
              <w:top w:w="110" w:type="dxa"/>
              <w:start w:w="120" w:type="dxa"/>
              <w:bottom w:w="110" w:type="dxa"/>
              <w:end w:w="120" w:type="dxa"/>
            </w:tcMar>
          </w:tcPr>
          <w:p>
            <w:pPr>
              <w:jc w:val="center"/>
            </w:pPr>
            <w:r>
              <w:rPr>
                <w:b/>
                <w:color w:val="FFFFFF"/>
                <w:sz w:val="19"/>
              </w:rPr>
              <w:t>Good use</w:t>
            </w:r>
          </w:p>
        </w:tc>
        <w:tc>
          <w:tcPr>
            <w:tcW w:type="dxa" w:w="3312"/>
            <w:shd w:fill="6B4E2E"/>
            <w:tcMar>
              <w:top w:w="110" w:type="dxa"/>
              <w:start w:w="120" w:type="dxa"/>
              <w:bottom w:w="110" w:type="dxa"/>
              <w:end w:w="120" w:type="dxa"/>
            </w:tcMar>
          </w:tcPr>
          <w:p>
            <w:pPr>
              <w:jc w:val="center"/>
            </w:pPr>
            <w:r>
              <w:rPr>
                <w:b/>
                <w:color w:val="FFFFFF"/>
                <w:sz w:val="19"/>
              </w:rPr>
              <w:t>Typical conversion</w:t>
            </w:r>
          </w:p>
        </w:tc>
      </w:tr>
      <w:tr>
        <w:tc>
          <w:tcPr>
            <w:tcW w:type="dxa" w:w="3312"/>
            <w:tcMar>
              <w:top w:w="110" w:type="dxa"/>
              <w:start w:w="120" w:type="dxa"/>
              <w:bottom w:w="110" w:type="dxa"/>
              <w:end w:w="120" w:type="dxa"/>
            </w:tcMar>
            <w:vAlign w:val="center"/>
          </w:tcPr>
          <w:p>
            <w:pPr>
              <w:spacing w:after="0"/>
            </w:pPr>
            <w:r>
              <w:rPr>
                <w:sz w:val="18"/>
              </w:rPr>
              <w:t>CC0/public-domain nature</w:t>
            </w:r>
          </w:p>
        </w:tc>
        <w:tc>
          <w:tcPr>
            <w:tcW w:type="dxa" w:w="3312"/>
            <w:tcMar>
              <w:top w:w="110" w:type="dxa"/>
              <w:start w:w="120" w:type="dxa"/>
              <w:bottom w:w="110" w:type="dxa"/>
              <w:end w:w="120" w:type="dxa"/>
            </w:tcMar>
            <w:vAlign w:val="center"/>
          </w:tcPr>
          <w:p>
            <w:pPr>
              <w:spacing w:after="0"/>
            </w:pPr>
            <w:r>
              <w:rPr>
                <w:sz w:val="18"/>
              </w:rPr>
              <w:t>trees, rocks, ground props</w:t>
            </w:r>
          </w:p>
        </w:tc>
        <w:tc>
          <w:tcPr>
            <w:tcW w:type="dxa" w:w="3312"/>
            <w:tcMar>
              <w:top w:w="110" w:type="dxa"/>
              <w:start w:w="120" w:type="dxa"/>
              <w:bottom w:w="110" w:type="dxa"/>
              <w:end w:w="120" w:type="dxa"/>
            </w:tcMar>
            <w:vAlign w:val="center"/>
          </w:tcPr>
          <w:p>
            <w:pPr>
              <w:spacing w:after="0"/>
            </w:pPr>
            <w:r>
              <w:rPr>
                <w:sz w:val="18"/>
              </w:rPr>
              <w:t>simplify, recolor, reduce micro-normal noise, generate palette variants</w:t>
            </w:r>
          </w:p>
        </w:tc>
      </w:tr>
      <w:tr>
        <w:tc>
          <w:tcPr>
            <w:tcW w:type="dxa" w:w="3312"/>
            <w:tcMar>
              <w:top w:w="110" w:type="dxa"/>
              <w:start w:w="120" w:type="dxa"/>
              <w:bottom w:w="110" w:type="dxa"/>
              <w:end w:w="120" w:type="dxa"/>
            </w:tcMar>
            <w:vAlign w:val="center"/>
          </w:tcPr>
          <w:p>
            <w:pPr>
              <w:spacing w:after="0"/>
            </w:pPr>
            <w:r>
              <w:rPr>
                <w:sz w:val="18"/>
              </w:rPr>
              <w:t>Photogrammetry</w:t>
            </w:r>
          </w:p>
        </w:tc>
        <w:tc>
          <w:tcPr>
            <w:tcW w:type="dxa" w:w="3312"/>
            <w:tcMar>
              <w:top w:w="110" w:type="dxa"/>
              <w:start w:w="120" w:type="dxa"/>
              <w:bottom w:w="110" w:type="dxa"/>
              <w:end w:w="120" w:type="dxa"/>
            </w:tcMar>
            <w:vAlign w:val="center"/>
          </w:tcPr>
          <w:p>
            <w:pPr>
              <w:spacing w:after="0"/>
            </w:pPr>
            <w:r>
              <w:rPr>
                <w:sz w:val="18"/>
              </w:rPr>
              <w:t>hero rocks and cliffs</w:t>
            </w:r>
          </w:p>
        </w:tc>
        <w:tc>
          <w:tcPr>
            <w:tcW w:type="dxa" w:w="3312"/>
            <w:tcMar>
              <w:top w:w="110" w:type="dxa"/>
              <w:start w:w="120" w:type="dxa"/>
              <w:bottom w:w="110" w:type="dxa"/>
              <w:end w:w="120" w:type="dxa"/>
            </w:tcMar>
            <w:vAlign w:val="center"/>
          </w:tcPr>
          <w:p>
            <w:pPr>
              <w:spacing w:after="0"/>
            </w:pPr>
            <w:r>
              <w:rPr>
                <w:sz w:val="18"/>
              </w:rPr>
              <w:t>aggressive texture cleanup, macro-color repaint, normal suppression, roughness simplification</w:t>
            </w:r>
          </w:p>
        </w:tc>
      </w:tr>
      <w:tr>
        <w:tc>
          <w:tcPr>
            <w:tcW w:type="dxa" w:w="3312"/>
            <w:tcMar>
              <w:top w:w="110" w:type="dxa"/>
              <w:start w:w="120" w:type="dxa"/>
              <w:bottom w:w="110" w:type="dxa"/>
              <w:end w:w="120" w:type="dxa"/>
            </w:tcMar>
            <w:vAlign w:val="center"/>
          </w:tcPr>
          <w:p>
            <w:pPr>
              <w:spacing w:after="0"/>
            </w:pPr>
            <w:r>
              <w:rPr>
                <w:sz w:val="18"/>
              </w:rPr>
              <w:t>Low-poly / retro packs</w:t>
            </w:r>
          </w:p>
        </w:tc>
        <w:tc>
          <w:tcPr>
            <w:tcW w:type="dxa" w:w="3312"/>
            <w:tcMar>
              <w:top w:w="110" w:type="dxa"/>
              <w:start w:w="120" w:type="dxa"/>
              <w:bottom w:w="110" w:type="dxa"/>
              <w:end w:w="120" w:type="dxa"/>
            </w:tcMar>
            <w:vAlign w:val="center"/>
          </w:tcPr>
          <w:p>
            <w:pPr>
              <w:spacing w:after="0"/>
            </w:pPr>
            <w:r>
              <w:rPr>
                <w:sz w:val="18"/>
              </w:rPr>
              <w:t>buildings, ruins, props</w:t>
            </w:r>
          </w:p>
        </w:tc>
        <w:tc>
          <w:tcPr>
            <w:tcW w:type="dxa" w:w="3312"/>
            <w:tcMar>
              <w:top w:w="110" w:type="dxa"/>
              <w:start w:w="120" w:type="dxa"/>
              <w:bottom w:w="110" w:type="dxa"/>
              <w:end w:w="120" w:type="dxa"/>
            </w:tcMar>
            <w:vAlign w:val="center"/>
          </w:tcPr>
          <w:p>
            <w:pPr>
              <w:spacing w:after="0"/>
            </w:pPr>
            <w:r>
              <w:rPr>
                <w:sz w:val="18"/>
              </w:rPr>
              <w:t>selectively keep coarse geometry, repaint materials to match world palette</w:t>
            </w:r>
          </w:p>
        </w:tc>
      </w:tr>
      <w:tr>
        <w:tc>
          <w:tcPr>
            <w:tcW w:type="dxa" w:w="3312"/>
            <w:tcMar>
              <w:top w:w="110" w:type="dxa"/>
              <w:start w:w="120" w:type="dxa"/>
              <w:bottom w:w="110" w:type="dxa"/>
              <w:end w:w="120" w:type="dxa"/>
            </w:tcMar>
            <w:vAlign w:val="center"/>
          </w:tcPr>
          <w:p>
            <w:pPr>
              <w:spacing w:after="0"/>
            </w:pPr>
            <w:r>
              <w:rPr>
                <w:sz w:val="18"/>
              </w:rPr>
              <w:t>Custom kitbash</w:t>
            </w:r>
          </w:p>
        </w:tc>
        <w:tc>
          <w:tcPr>
            <w:tcW w:type="dxa" w:w="3312"/>
            <w:tcMar>
              <w:top w:w="110" w:type="dxa"/>
              <w:start w:w="120" w:type="dxa"/>
              <w:bottom w:w="110" w:type="dxa"/>
              <w:end w:w="120" w:type="dxa"/>
            </w:tcMar>
            <w:vAlign w:val="center"/>
          </w:tcPr>
          <w:p>
            <w:pPr>
              <w:spacing w:after="0"/>
            </w:pPr>
            <w:r>
              <w:rPr>
                <w:sz w:val="18"/>
              </w:rPr>
              <w:t>spires, cliffs, ruins</w:t>
            </w:r>
          </w:p>
        </w:tc>
        <w:tc>
          <w:tcPr>
            <w:tcW w:type="dxa" w:w="3312"/>
            <w:tcMar>
              <w:top w:w="110" w:type="dxa"/>
              <w:start w:w="120" w:type="dxa"/>
              <w:bottom w:w="110" w:type="dxa"/>
              <w:end w:w="120" w:type="dxa"/>
            </w:tcMar>
            <w:vAlign w:val="center"/>
          </w:tcPr>
          <w:p>
            <w:pPr>
              <w:spacing w:after="0"/>
            </w:pPr>
            <w:r>
              <w:rPr>
                <w:sz w:val="18"/>
              </w:rPr>
              <w:t>use as deformation-friendly modules for procedural feature recipes</w:t>
            </w:r>
          </w:p>
        </w:tc>
      </w:tr>
      <w:tr>
        <w:tc>
          <w:tcPr>
            <w:tcW w:type="dxa" w:w="3312"/>
            <w:tcMar>
              <w:top w:w="110" w:type="dxa"/>
              <w:start w:w="120" w:type="dxa"/>
              <w:bottom w:w="110" w:type="dxa"/>
              <w:end w:w="120" w:type="dxa"/>
            </w:tcMar>
            <w:vAlign w:val="center"/>
          </w:tcPr>
          <w:p>
            <w:pPr>
              <w:spacing w:after="0"/>
            </w:pPr>
            <w:r>
              <w:rPr>
                <w:sz w:val="18"/>
              </w:rPr>
              <w:t>Procedural meshes</w:t>
            </w:r>
          </w:p>
        </w:tc>
        <w:tc>
          <w:tcPr>
            <w:tcW w:type="dxa" w:w="3312"/>
            <w:tcMar>
              <w:top w:w="110" w:type="dxa"/>
              <w:start w:w="120" w:type="dxa"/>
              <w:bottom w:w="110" w:type="dxa"/>
              <w:end w:w="120" w:type="dxa"/>
            </w:tcMar>
            <w:vAlign w:val="center"/>
          </w:tcPr>
          <w:p>
            <w:pPr>
              <w:spacing w:after="0"/>
            </w:pPr>
            <w:r>
              <w:rPr>
                <w:sz w:val="18"/>
              </w:rPr>
              <w:t>fantasy macroforms</w:t>
            </w:r>
          </w:p>
        </w:tc>
        <w:tc>
          <w:tcPr>
            <w:tcW w:type="dxa" w:w="3312"/>
            <w:tcMar>
              <w:top w:w="110" w:type="dxa"/>
              <w:start w:w="120" w:type="dxa"/>
              <w:bottom w:w="110" w:type="dxa"/>
              <w:end w:w="120" w:type="dxa"/>
            </w:tcMar>
            <w:vAlign w:val="center"/>
          </w:tcPr>
          <w:p>
            <w:pPr>
              <w:spacing w:after="0"/>
            </w:pPr>
            <w:r>
              <w:rPr>
                <w:sz w:val="18"/>
              </w:rPr>
              <w:t>generate silhouette-driven spires, shelves, arches and cliff structures</w:t>
            </w:r>
          </w:p>
        </w:tc>
      </w:tr>
    </w:tbl>
    <w:p>
      <w:pPr>
        <w:spacing w:after="60"/>
      </w:pPr>
    </w:p>
    <w:p>
      <w:r>
        <w:t>Licensing rule: every imported asset must retain source, author, license, modification notes and redistribution constraints in asset metadata. Prefer CC0/public-domain for maximum freedom, but attribution-compatible licenses can also be supported if tracked.</w:t>
      </w:r>
    </w:p>
    <w:p>
      <w:pPr>
        <w:pStyle w:val="Heading1"/>
      </w:pPr>
      <w:r>
        <w:t>5. Asset ingestion pipeline</w:t>
      </w:r>
    </w:p>
    <w:p>
      <w:pPr>
        <w:pStyle w:val="Code"/>
      </w:pPr>
      <w:r>
        <w:t>Recommended automated path:</w:t>
      </w:r>
      <w:r>
        <w:t>Source -&gt; classify -&gt; geometry cleanup -&gt; texture normalization -&gt; palette transform -&gt; material preset -&gt; variant generation -&gt; LOD/impostor build -&gt; runtime asset</w:t>
      </w:r>
    </w:p>
    <w:p>
      <w:pPr>
        <w:pStyle w:val="ListNumber"/>
        <w:spacing w:after="40"/>
      </w:pPr>
      <w:r>
        <w:t>Classify asset category and biome compatibility.</w:t>
      </w:r>
    </w:p>
    <w:p>
      <w:pPr>
        <w:pStyle w:val="ListNumber"/>
        <w:spacing w:after="40"/>
      </w:pPr>
      <w:r>
        <w:t>Normalize scale, pivot, orientation and bounding metadata.</w:t>
      </w:r>
    </w:p>
    <w:p>
      <w:pPr>
        <w:pStyle w:val="ListNumber"/>
        <w:spacing w:after="40"/>
      </w:pPr>
      <w:r>
        <w:t>Clean or simplify geometry while preserving silhouette.</w:t>
      </w:r>
    </w:p>
    <w:p>
      <w:pPr>
        <w:pStyle w:val="ListNumber"/>
        <w:spacing w:after="40"/>
      </w:pPr>
      <w:r>
        <w:t>Generate or validate UVs and tangent basis as needed.</w:t>
      </w:r>
    </w:p>
    <w:p>
      <w:pPr>
        <w:pStyle w:val="ListNumber"/>
        <w:spacing w:after="40"/>
      </w:pPr>
      <w:r>
        <w:t>Downscale or resample textures to a deliberate resolution budget.</w:t>
      </w:r>
    </w:p>
    <w:p>
      <w:pPr>
        <w:pStyle w:val="ListNumber"/>
        <w:spacing w:after="40"/>
      </w:pPr>
      <w:r>
        <w:t>Apply stylization preset to albedo, normal, roughness and AO.</w:t>
      </w:r>
    </w:p>
    <w:p>
      <w:pPr>
        <w:pStyle w:val="ListNumber"/>
        <w:spacing w:after="40"/>
      </w:pPr>
      <w:r>
        <w:t>Generate regional color/material variants.</w:t>
      </w:r>
    </w:p>
    <w:p>
      <w:pPr>
        <w:pStyle w:val="ListNumber"/>
        <w:spacing w:after="40"/>
      </w:pPr>
      <w:r>
        <w:t>Create LOD, cluster and impostor representations for the custom renderer.</w:t>
      </w:r>
    </w:p>
    <w:p>
      <w:pPr>
        <w:pStyle w:val="ListNumber"/>
        <w:spacing w:after="40"/>
      </w:pPr>
      <w:r>
        <w:t>Attach placement tags for procedural environment recipes.</w:t>
      </w:r>
    </w:p>
    <w:p>
      <w:pPr>
        <w:pStyle w:val="Heading1"/>
      </w:pPr>
      <w:r>
        <w:t>6. Texture stylization</w:t>
      </w:r>
    </w:p>
    <w:p>
      <w:pPr>
        <w:pStyle w:val="ListBullet"/>
        <w:spacing w:after="40"/>
      </w:pPr>
      <w:r>
        <w:t>Reduce photographic microcontrast and high-frequency noise that makes assets look scanned.</w:t>
      </w:r>
    </w:p>
    <w:p>
      <w:pPr>
        <w:pStyle w:val="ListBullet"/>
        <w:spacing w:after="40"/>
      </w:pPr>
      <w:r>
        <w:t>Lower normal-map intensity, especially for foliage, soil and broad stone surfaces.</w:t>
      </w:r>
    </w:p>
    <w:p>
      <w:pPr>
        <w:pStyle w:val="ListBullet"/>
        <w:spacing w:after="40"/>
      </w:pPr>
      <w:r>
        <w:t>Preserve large structural normal forms while suppressing tiny modern-PBR pores.</w:t>
      </w:r>
    </w:p>
    <w:p>
      <w:pPr>
        <w:pStyle w:val="ListBullet"/>
        <w:spacing w:after="40"/>
      </w:pPr>
      <w:r>
        <w:t>Use macro color variation in broad patches rather than random per-pixel noise.</w:t>
      </w:r>
    </w:p>
    <w:p>
      <w:pPr>
        <w:pStyle w:val="ListBullet"/>
        <w:spacing w:after="40"/>
      </w:pPr>
      <w:r>
        <w:t>Optionally posterize or compress selected albedo ranges very lightly to get a painted/printed feel without turning the game into pixel art.</w:t>
      </w:r>
    </w:p>
    <w:p>
      <w:pPr>
        <w:pStyle w:val="ListBullet"/>
        <w:spacing w:after="40"/>
      </w:pPr>
      <w:r>
        <w:t>Repaint overly neutral assets into biome palettes: warm ochre highlights, cool violet/blue shadows, olive or desaturated vegetation masses.</w:t>
      </w:r>
    </w:p>
    <w:p>
      <w:pPr>
        <w:pStyle w:val="ListBullet"/>
        <w:spacing w:after="40"/>
      </w:pPr>
      <w:r>
        <w:t>Use controlled roughness regions instead of noisy full-frequency roughness maps.</w:t>
      </w:r>
    </w:p>
    <w:p>
      <w:pPr>
        <w:pStyle w:val="Heading1"/>
      </w:pPr>
      <w:r>
        <w:t>7. “Painted / slightly pixel-like” finish</w:t>
      </w:r>
    </w:p>
    <w:p>
      <w:r>
        <w:t>The desired reference feel is closer to scanned/printed fantasy artwork than to literal low-resolution pixel art. Therefore the effect should come from texture treatment and final-image structure, not from an obvious full-screen pixelation filter.</w:t>
      </w:r>
    </w:p>
    <w:p>
      <w:pPr>
        <w:pStyle w:val="ListBullet"/>
        <w:spacing w:after="40"/>
      </w:pPr>
      <w:r>
        <w:t>Use moderately limited texture frequency and purposeful brush-like breakup.</w:t>
      </w:r>
    </w:p>
    <w:p>
      <w:pPr>
        <w:pStyle w:val="ListBullet"/>
        <w:spacing w:after="40"/>
      </w:pPr>
      <w:r>
        <w:t>Allow small blocky or dither-like transitions in distant/secondary detail, but keep hero silhouettes clean.</w:t>
      </w:r>
    </w:p>
    <w:p>
      <w:pPr>
        <w:pStyle w:val="ListBullet"/>
        <w:spacing w:after="40"/>
      </w:pPr>
      <w:r>
        <w:t>Avoid razor-sharp photoreal detail everywhere; reserve high contrast for focal forms.</w:t>
      </w:r>
    </w:p>
    <w:p>
      <w:pPr>
        <w:pStyle w:val="ListBullet"/>
        <w:spacing w:after="40"/>
      </w:pPr>
      <w:r>
        <w:t>Use grain and mild color quantization carefully to evoke print reproduction.</w:t>
      </w:r>
    </w:p>
    <w:p>
      <w:pPr>
        <w:pStyle w:val="ListBullet"/>
        <w:spacing w:after="40"/>
      </w:pPr>
      <w:r>
        <w:t>For distant impostors, intentionally simplify and merge foliage into painted masses.</w:t>
      </w:r>
    </w:p>
    <w:p>
      <w:pPr>
        <w:pStyle w:val="Heading1"/>
      </w:pPr>
      <w:r>
        <w:t>8. Material system</w:t>
      </w:r>
    </w:p>
    <w:p>
      <w:r>
        <w:t>Most world materials should pass through a shared stylization function so assets from different sources converge visually.</w:t>
      </w:r>
    </w:p>
    <w:p>
      <w:pPr>
        <w:pStyle w:val="Code"/>
      </w:pPr>
      <w:r>
        <w:t>Conceptual material flow:</w:t>
      </w:r>
      <w:r>
        <w:t>baseColor -&gt; palette shaping -&gt; shadow tint -&gt; highlight tint -&gt; macro variation -&gt; roughness shaping -&gt; optional print/grain response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6B4E2E"/>
            <w:tcMar>
              <w:top w:w="110" w:type="dxa"/>
              <w:start w:w="120" w:type="dxa"/>
              <w:bottom w:w="110" w:type="dxa"/>
              <w:end w:w="120" w:type="dxa"/>
            </w:tcMar>
          </w:tcPr>
          <w:p>
            <w:pPr>
              <w:jc w:val="center"/>
            </w:pPr>
            <w:r>
              <w:rPr>
                <w:b/>
                <w:color w:val="FFFFFF"/>
                <w:sz w:val="19"/>
              </w:rPr>
              <w:t>Material</w:t>
            </w:r>
          </w:p>
        </w:tc>
        <w:tc>
          <w:tcPr>
            <w:tcW w:type="dxa" w:w="4968"/>
            <w:shd w:fill="6B4E2E"/>
            <w:tcMar>
              <w:top w:w="110" w:type="dxa"/>
              <w:start w:w="120" w:type="dxa"/>
              <w:bottom w:w="110" w:type="dxa"/>
              <w:end w:w="120" w:type="dxa"/>
            </w:tcMar>
          </w:tcPr>
          <w:p>
            <w:pPr>
              <w:jc w:val="center"/>
            </w:pPr>
            <w:r>
              <w:rPr>
                <w:b/>
                <w:color w:val="FFFFFF"/>
                <w:sz w:val="19"/>
              </w:rPr>
              <w:t>Style direction</w:t>
            </w:r>
          </w:p>
        </w:tc>
      </w:tr>
      <w:tr>
        <w:tc>
          <w:tcPr>
            <w:tcW w:type="dxa" w:w="4968"/>
            <w:tcMar>
              <w:top w:w="110" w:type="dxa"/>
              <w:start w:w="120" w:type="dxa"/>
              <w:bottom w:w="110" w:type="dxa"/>
              <w:end w:w="120" w:type="dxa"/>
            </w:tcMar>
            <w:vAlign w:val="center"/>
          </w:tcPr>
          <w:p>
            <w:pPr>
              <w:spacing w:after="0"/>
            </w:pPr>
            <w:r>
              <w:rPr>
                <w:sz w:val="18"/>
              </w:rPr>
              <w:t>Rock</w:t>
            </w:r>
          </w:p>
        </w:tc>
        <w:tc>
          <w:tcPr>
            <w:tcW w:type="dxa" w:w="4968"/>
            <w:tcMar>
              <w:top w:w="110" w:type="dxa"/>
              <w:start w:w="120" w:type="dxa"/>
              <w:bottom w:w="110" w:type="dxa"/>
              <w:end w:w="120" w:type="dxa"/>
            </w:tcMar>
            <w:vAlign w:val="center"/>
          </w:tcPr>
          <w:p>
            <w:pPr>
              <w:spacing w:after="0"/>
            </w:pPr>
            <w:r>
              <w:rPr>
                <w:sz w:val="18"/>
              </w:rPr>
              <w:t>large planar value changes, reduced micro-normal, warm/cool split, moss/lichen macro patches</w:t>
            </w:r>
          </w:p>
        </w:tc>
      </w:tr>
      <w:tr>
        <w:tc>
          <w:tcPr>
            <w:tcW w:type="dxa" w:w="4968"/>
            <w:tcMar>
              <w:top w:w="110" w:type="dxa"/>
              <w:start w:w="120" w:type="dxa"/>
              <w:bottom w:w="110" w:type="dxa"/>
              <w:end w:w="120" w:type="dxa"/>
            </w:tcMar>
            <w:vAlign w:val="center"/>
          </w:tcPr>
          <w:p>
            <w:pPr>
              <w:spacing w:after="0"/>
            </w:pPr>
            <w:r>
              <w:rPr>
                <w:sz w:val="18"/>
              </w:rPr>
              <w:t>Soil</w:t>
            </w:r>
          </w:p>
        </w:tc>
        <w:tc>
          <w:tcPr>
            <w:tcW w:type="dxa" w:w="4968"/>
            <w:tcMar>
              <w:top w:w="110" w:type="dxa"/>
              <w:start w:w="120" w:type="dxa"/>
              <w:bottom w:w="110" w:type="dxa"/>
              <w:end w:w="120" w:type="dxa"/>
            </w:tcMar>
            <w:vAlign w:val="center"/>
          </w:tcPr>
          <w:p>
            <w:pPr>
              <w:spacing w:after="0"/>
            </w:pPr>
            <w:r>
              <w:rPr>
                <w:sz w:val="18"/>
              </w:rPr>
              <w:t>broad pigment variation, low specular complexity, readable wet/dry states</w:t>
            </w:r>
          </w:p>
        </w:tc>
      </w:tr>
      <w:tr>
        <w:tc>
          <w:tcPr>
            <w:tcW w:type="dxa" w:w="4968"/>
            <w:tcMar>
              <w:top w:w="110" w:type="dxa"/>
              <w:start w:w="120" w:type="dxa"/>
              <w:bottom w:w="110" w:type="dxa"/>
              <w:end w:w="120" w:type="dxa"/>
            </w:tcMar>
            <w:vAlign w:val="center"/>
          </w:tcPr>
          <w:p>
            <w:pPr>
              <w:spacing w:after="0"/>
            </w:pPr>
            <w:r>
              <w:rPr>
                <w:sz w:val="18"/>
              </w:rPr>
              <w:t>Wood</w:t>
            </w:r>
          </w:p>
        </w:tc>
        <w:tc>
          <w:tcPr>
            <w:tcW w:type="dxa" w:w="4968"/>
            <w:tcMar>
              <w:top w:w="110" w:type="dxa"/>
              <w:start w:w="120" w:type="dxa"/>
              <w:bottom w:w="110" w:type="dxa"/>
              <w:end w:w="120" w:type="dxa"/>
            </w:tcMar>
            <w:vAlign w:val="center"/>
          </w:tcPr>
          <w:p>
            <w:pPr>
              <w:spacing w:after="0"/>
            </w:pPr>
            <w:r>
              <w:rPr>
                <w:sz w:val="18"/>
              </w:rPr>
              <w:t>strong directional grain at medium scale, simplified small detail, dark creases</w:t>
            </w:r>
          </w:p>
        </w:tc>
      </w:tr>
      <w:tr>
        <w:tc>
          <w:tcPr>
            <w:tcW w:type="dxa" w:w="4968"/>
            <w:tcMar>
              <w:top w:w="110" w:type="dxa"/>
              <w:start w:w="120" w:type="dxa"/>
              <w:bottom w:w="110" w:type="dxa"/>
              <w:end w:w="120" w:type="dxa"/>
            </w:tcMar>
            <w:vAlign w:val="center"/>
          </w:tcPr>
          <w:p>
            <w:pPr>
              <w:spacing w:after="0"/>
            </w:pPr>
            <w:r>
              <w:rPr>
                <w:sz w:val="18"/>
              </w:rPr>
              <w:t>Leaves</w:t>
            </w:r>
          </w:p>
        </w:tc>
        <w:tc>
          <w:tcPr>
            <w:tcW w:type="dxa" w:w="4968"/>
            <w:tcMar>
              <w:top w:w="110" w:type="dxa"/>
              <w:start w:w="120" w:type="dxa"/>
              <w:bottom w:w="110" w:type="dxa"/>
              <w:end w:w="120" w:type="dxa"/>
            </w:tcMar>
            <w:vAlign w:val="center"/>
          </w:tcPr>
          <w:p>
            <w:pPr>
              <w:spacing w:after="0"/>
            </w:pPr>
            <w:r>
              <w:rPr>
                <w:sz w:val="18"/>
              </w:rPr>
              <w:t>species silhouette and canopy mass more important than leaf-level fidelity</w:t>
            </w:r>
          </w:p>
        </w:tc>
      </w:tr>
      <w:tr>
        <w:tc>
          <w:tcPr>
            <w:tcW w:type="dxa" w:w="4968"/>
            <w:tcMar>
              <w:top w:w="110" w:type="dxa"/>
              <w:start w:w="120" w:type="dxa"/>
              <w:bottom w:w="110" w:type="dxa"/>
              <w:end w:w="120" w:type="dxa"/>
            </w:tcMar>
            <w:vAlign w:val="center"/>
          </w:tcPr>
          <w:p>
            <w:pPr>
              <w:spacing w:after="0"/>
            </w:pPr>
            <w:r>
              <w:rPr>
                <w:sz w:val="18"/>
              </w:rPr>
              <w:t>Metal</w:t>
            </w:r>
          </w:p>
        </w:tc>
        <w:tc>
          <w:tcPr>
            <w:tcW w:type="dxa" w:w="4968"/>
            <w:tcMar>
              <w:top w:w="110" w:type="dxa"/>
              <w:start w:w="120" w:type="dxa"/>
              <w:bottom w:w="110" w:type="dxa"/>
              <w:end w:w="120" w:type="dxa"/>
            </w:tcMar>
            <w:vAlign w:val="center"/>
          </w:tcPr>
          <w:p>
            <w:pPr>
              <w:spacing w:after="0"/>
            </w:pPr>
            <w:r>
              <w:rPr>
                <w:sz w:val="18"/>
              </w:rPr>
              <w:t>controlled highlights; avoid excessively clean modern reflections</w:t>
            </w:r>
          </w:p>
        </w:tc>
      </w:tr>
      <w:tr>
        <w:tc>
          <w:tcPr>
            <w:tcW w:type="dxa" w:w="4968"/>
            <w:tcMar>
              <w:top w:w="110" w:type="dxa"/>
              <w:start w:w="120" w:type="dxa"/>
              <w:bottom w:w="110" w:type="dxa"/>
              <w:end w:w="120" w:type="dxa"/>
            </w:tcMar>
            <w:vAlign w:val="center"/>
          </w:tcPr>
          <w:p>
            <w:pPr>
              <w:spacing w:after="0"/>
            </w:pPr>
            <w:r>
              <w:rPr>
                <w:sz w:val="18"/>
              </w:rPr>
              <w:t>Water</w:t>
            </w:r>
          </w:p>
        </w:tc>
        <w:tc>
          <w:tcPr>
            <w:tcW w:type="dxa" w:w="4968"/>
            <w:tcMar>
              <w:top w:w="110" w:type="dxa"/>
              <w:start w:w="120" w:type="dxa"/>
              <w:bottom w:w="110" w:type="dxa"/>
              <w:end w:w="120" w:type="dxa"/>
            </w:tcMar>
            <w:vAlign w:val="center"/>
          </w:tcPr>
          <w:p>
            <w:pPr>
              <w:spacing w:after="0"/>
            </w:pPr>
            <w:r>
              <w:rPr>
                <w:sz w:val="18"/>
              </w:rPr>
              <w:t>clear reflection and color contribution; can become a major palette anchor in fantasy biomes</w:t>
            </w:r>
          </w:p>
        </w:tc>
      </w:tr>
    </w:tbl>
    <w:p>
      <w:pPr>
        <w:spacing w:after="60"/>
      </w:pPr>
    </w:p>
    <w:p>
      <w:pPr>
        <w:pStyle w:val="Heading1"/>
      </w:pPr>
      <w:r>
        <w:t>9. Foliage styling</w:t>
      </w:r>
    </w:p>
    <w:p>
      <w:pPr>
        <w:pStyle w:val="ListBullet"/>
        <w:spacing w:after="40"/>
      </w:pPr>
      <w:r>
        <w:t>Distant forests should read as large canopy masses rather than millions of individually perfect leaves.</w:t>
      </w:r>
    </w:p>
    <w:p>
      <w:pPr>
        <w:pStyle w:val="ListBullet"/>
        <w:spacing w:after="40"/>
      </w:pPr>
      <w:r>
        <w:t>Create palette variants by biome and season rather than relying only on physically derived leaf color.</w:t>
      </w:r>
    </w:p>
    <w:p>
      <w:pPr>
        <w:pStyle w:val="ListBullet"/>
        <w:spacing w:after="40"/>
      </w:pPr>
      <w:r>
        <w:t>Use species with clearly different silhouettes: oak mass, maple crown, conifer spikes, dead twisted trees, reeds, etc.</w:t>
      </w:r>
    </w:p>
    <w:p>
      <w:pPr>
        <w:pStyle w:val="ListBullet"/>
        <w:spacing w:after="40"/>
      </w:pPr>
      <w:r>
        <w:t>Ground cover remains ecological, but art direction controls dominant color families and patch rhythm.</w:t>
      </w:r>
    </w:p>
    <w:p>
      <w:pPr>
        <w:pStyle w:val="ListBullet"/>
        <w:spacing w:after="40"/>
      </w:pPr>
      <w:r>
        <w:t>Hero trees can be intentionally oversized, twisted or ancient to reinforce fantasy scale.</w:t>
      </w:r>
    </w:p>
    <w:p>
      <w:pPr>
        <w:pStyle w:val="Heading1"/>
      </w:pPr>
      <w:r>
        <w:t>10. Lighting and atmosphere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6B4E2E"/>
            <w:tcMar>
              <w:top w:w="110" w:type="dxa"/>
              <w:start w:w="120" w:type="dxa"/>
              <w:bottom w:w="110" w:type="dxa"/>
              <w:end w:w="120" w:type="dxa"/>
            </w:tcMar>
          </w:tcPr>
          <w:p>
            <w:pPr>
              <w:jc w:val="center"/>
            </w:pPr>
            <w:r>
              <w:rPr>
                <w:b/>
                <w:color w:val="FFFFFF"/>
                <w:sz w:val="19"/>
              </w:rPr>
              <w:t>Component</w:t>
            </w:r>
          </w:p>
        </w:tc>
        <w:tc>
          <w:tcPr>
            <w:tcW w:type="dxa" w:w="4968"/>
            <w:shd w:fill="6B4E2E"/>
            <w:tcMar>
              <w:top w:w="110" w:type="dxa"/>
              <w:start w:w="120" w:type="dxa"/>
              <w:bottom w:w="110" w:type="dxa"/>
              <w:end w:w="120" w:type="dxa"/>
            </w:tcMar>
          </w:tcPr>
          <w:p>
            <w:pPr>
              <w:jc w:val="center"/>
            </w:pPr>
            <w:r>
              <w:rPr>
                <w:b/>
                <w:color w:val="FFFFFF"/>
                <w:sz w:val="19"/>
              </w:rPr>
              <w:t>Direction</w:t>
            </w:r>
          </w:p>
        </w:tc>
      </w:tr>
      <w:tr>
        <w:tc>
          <w:tcPr>
            <w:tcW w:type="dxa" w:w="4968"/>
            <w:tcMar>
              <w:top w:w="110" w:type="dxa"/>
              <w:start w:w="120" w:type="dxa"/>
              <w:bottom w:w="110" w:type="dxa"/>
              <w:end w:w="120" w:type="dxa"/>
            </w:tcMar>
            <w:vAlign w:val="center"/>
          </w:tcPr>
          <w:p>
            <w:pPr>
              <w:spacing w:after="0"/>
            </w:pPr>
            <w:r>
              <w:rPr>
                <w:sz w:val="18"/>
              </w:rPr>
              <w:t>Sun / key light</w:t>
            </w:r>
          </w:p>
        </w:tc>
        <w:tc>
          <w:tcPr>
            <w:tcW w:type="dxa" w:w="4968"/>
            <w:tcMar>
              <w:top w:w="110" w:type="dxa"/>
              <w:start w:w="120" w:type="dxa"/>
              <w:bottom w:w="110" w:type="dxa"/>
              <w:end w:w="120" w:type="dxa"/>
            </w:tcMar>
            <w:vAlign w:val="center"/>
          </w:tcPr>
          <w:p>
            <w:pPr>
              <w:spacing w:after="0"/>
            </w:pPr>
            <w:r>
              <w:rPr>
                <w:sz w:val="18"/>
              </w:rPr>
              <w:t>clear directional modeling with readable warm highlights</w:t>
            </w:r>
          </w:p>
        </w:tc>
      </w:tr>
      <w:tr>
        <w:tc>
          <w:tcPr>
            <w:tcW w:type="dxa" w:w="4968"/>
            <w:tcMar>
              <w:top w:w="110" w:type="dxa"/>
              <w:start w:w="120" w:type="dxa"/>
              <w:bottom w:w="110" w:type="dxa"/>
              <w:end w:w="120" w:type="dxa"/>
            </w:tcMar>
            <w:vAlign w:val="center"/>
          </w:tcPr>
          <w:p>
            <w:pPr>
              <w:spacing w:after="0"/>
            </w:pPr>
            <w:r>
              <w:rPr>
                <w:sz w:val="18"/>
              </w:rPr>
              <w:t>Sky / fill</w:t>
            </w:r>
          </w:p>
        </w:tc>
        <w:tc>
          <w:tcPr>
            <w:tcW w:type="dxa" w:w="4968"/>
            <w:tcMar>
              <w:top w:w="110" w:type="dxa"/>
              <w:start w:w="120" w:type="dxa"/>
              <w:bottom w:w="110" w:type="dxa"/>
              <w:end w:w="120" w:type="dxa"/>
            </w:tcMar>
            <w:vAlign w:val="center"/>
          </w:tcPr>
          <w:p>
            <w:pPr>
              <w:spacing w:after="0"/>
            </w:pPr>
            <w:r>
              <w:rPr>
                <w:sz w:val="18"/>
              </w:rPr>
              <w:t>cooler fill to separate planes and create illustrated depth</w:t>
            </w:r>
          </w:p>
        </w:tc>
      </w:tr>
      <w:tr>
        <w:tc>
          <w:tcPr>
            <w:tcW w:type="dxa" w:w="4968"/>
            <w:tcMar>
              <w:top w:w="110" w:type="dxa"/>
              <w:start w:w="120" w:type="dxa"/>
              <w:bottom w:w="110" w:type="dxa"/>
              <w:end w:w="120" w:type="dxa"/>
            </w:tcMar>
            <w:vAlign w:val="center"/>
          </w:tcPr>
          <w:p>
            <w:pPr>
              <w:spacing w:after="0"/>
            </w:pPr>
            <w:r>
              <w:rPr>
                <w:sz w:val="18"/>
              </w:rPr>
              <w:t>Fog</w:t>
            </w:r>
          </w:p>
        </w:tc>
        <w:tc>
          <w:tcPr>
            <w:tcW w:type="dxa" w:w="4968"/>
            <w:tcMar>
              <w:top w:w="110" w:type="dxa"/>
              <w:start w:w="120" w:type="dxa"/>
              <w:bottom w:w="110" w:type="dxa"/>
              <w:end w:w="120" w:type="dxa"/>
            </w:tcMar>
            <w:vAlign w:val="center"/>
          </w:tcPr>
          <w:p>
            <w:pPr>
              <w:spacing w:after="0"/>
            </w:pPr>
            <w:r>
              <w:rPr>
                <w:sz w:val="18"/>
              </w:rPr>
              <w:t>colored atmospheric perspective, often blue/lavender/gray-green</w:t>
            </w:r>
          </w:p>
        </w:tc>
      </w:tr>
      <w:tr>
        <w:tc>
          <w:tcPr>
            <w:tcW w:type="dxa" w:w="4968"/>
            <w:tcMar>
              <w:top w:w="110" w:type="dxa"/>
              <w:start w:w="120" w:type="dxa"/>
              <w:bottom w:w="110" w:type="dxa"/>
              <w:end w:w="120" w:type="dxa"/>
            </w:tcMar>
            <w:vAlign w:val="center"/>
          </w:tcPr>
          <w:p>
            <w:pPr>
              <w:spacing w:after="0"/>
            </w:pPr>
            <w:r>
              <w:rPr>
                <w:sz w:val="18"/>
              </w:rPr>
              <w:t>Volumetrics</w:t>
            </w:r>
          </w:p>
        </w:tc>
        <w:tc>
          <w:tcPr>
            <w:tcW w:type="dxa" w:w="4968"/>
            <w:tcMar>
              <w:top w:w="110" w:type="dxa"/>
              <w:start w:w="120" w:type="dxa"/>
              <w:bottom w:w="110" w:type="dxa"/>
              <w:end w:w="120" w:type="dxa"/>
            </w:tcMar>
            <w:vAlign w:val="center"/>
          </w:tcPr>
          <w:p>
            <w:pPr>
              <w:spacing w:after="0"/>
            </w:pPr>
            <w:r>
              <w:rPr>
                <w:sz w:val="18"/>
              </w:rPr>
              <w:t>use selectively for shafts, valleys, forest depth and mystical regions</w:t>
            </w:r>
          </w:p>
        </w:tc>
      </w:tr>
      <w:tr>
        <w:tc>
          <w:tcPr>
            <w:tcW w:type="dxa" w:w="4968"/>
            <w:tcMar>
              <w:top w:w="110" w:type="dxa"/>
              <w:start w:w="120" w:type="dxa"/>
              <w:bottom w:w="110" w:type="dxa"/>
              <w:end w:w="120" w:type="dxa"/>
            </w:tcMar>
            <w:vAlign w:val="center"/>
          </w:tcPr>
          <w:p>
            <w:pPr>
              <w:spacing w:after="0"/>
            </w:pPr>
            <w:r>
              <w:rPr>
                <w:sz w:val="18"/>
              </w:rPr>
              <w:t>Local contrast</w:t>
            </w:r>
          </w:p>
        </w:tc>
        <w:tc>
          <w:tcPr>
            <w:tcW w:type="dxa" w:w="4968"/>
            <w:tcMar>
              <w:top w:w="110" w:type="dxa"/>
              <w:start w:w="120" w:type="dxa"/>
              <w:bottom w:w="110" w:type="dxa"/>
              <w:end w:w="120" w:type="dxa"/>
            </w:tcMar>
            <w:vAlign w:val="center"/>
          </w:tcPr>
          <w:p>
            <w:pPr>
              <w:spacing w:after="0"/>
            </w:pPr>
            <w:r>
              <w:rPr>
                <w:sz w:val="18"/>
              </w:rPr>
              <w:t>keep focal foreground more contrasted than distant terrain</w:t>
            </w:r>
          </w:p>
        </w:tc>
      </w:tr>
      <w:tr>
        <w:tc>
          <w:tcPr>
            <w:tcW w:type="dxa" w:w="4968"/>
            <w:tcMar>
              <w:top w:w="110" w:type="dxa"/>
              <w:start w:w="120" w:type="dxa"/>
              <w:bottom w:w="110" w:type="dxa"/>
              <w:end w:w="120" w:type="dxa"/>
            </w:tcMar>
            <w:vAlign w:val="center"/>
          </w:tcPr>
          <w:p>
            <w:pPr>
              <w:spacing w:after="0"/>
            </w:pPr>
            <w:r>
              <w:rPr>
                <w:sz w:val="18"/>
              </w:rPr>
              <w:t>Night / dark scenes</w:t>
            </w:r>
          </w:p>
        </w:tc>
        <w:tc>
          <w:tcPr>
            <w:tcW w:type="dxa" w:w="4968"/>
            <w:tcMar>
              <w:top w:w="110" w:type="dxa"/>
              <w:start w:w="120" w:type="dxa"/>
              <w:bottom w:w="110" w:type="dxa"/>
              <w:end w:w="120" w:type="dxa"/>
            </w:tcMar>
            <w:vAlign w:val="center"/>
          </w:tcPr>
          <w:p>
            <w:pPr>
              <w:spacing w:after="0"/>
            </w:pPr>
            <w:r>
              <w:rPr>
                <w:sz w:val="18"/>
              </w:rPr>
              <w:t>retain readable color separation; avoid collapsing everything to black</w:t>
            </w:r>
          </w:p>
        </w:tc>
      </w:tr>
    </w:tbl>
    <w:p>
      <w:pPr>
        <w:spacing w:after="60"/>
      </w:pPr>
    </w:p>
    <w:p>
      <w:pPr>
        <w:pStyle w:val="Heading1"/>
      </w:pPr>
      <w:r>
        <w:t>11. Post-processing</w:t>
      </w:r>
    </w:p>
    <w:p>
      <w:pPr>
        <w:pStyle w:val="ListBullet"/>
        <w:spacing w:after="40"/>
      </w:pPr>
      <w:r>
        <w:t>Filmic contrast with deliberate black and highlight rolloff.</w:t>
      </w:r>
    </w:p>
    <w:p>
      <w:pPr>
        <w:pStyle w:val="ListBullet"/>
        <w:spacing w:after="40"/>
      </w:pPr>
      <w:r>
        <w:t>Regional LUT or grading profile rather than one global grade for all biomes.</w:t>
      </w:r>
    </w:p>
    <w:p>
      <w:pPr>
        <w:pStyle w:val="ListBullet"/>
        <w:spacing w:after="40"/>
      </w:pPr>
      <w:r>
        <w:t>Warm highlight / cool shadow bias where appropriate.</w:t>
      </w:r>
    </w:p>
    <w:p>
      <w:pPr>
        <w:pStyle w:val="ListBullet"/>
        <w:spacing w:after="40"/>
      </w:pPr>
      <w:r>
        <w:t>Subtle grain to reduce digital cleanliness.</w:t>
      </w:r>
    </w:p>
    <w:p>
      <w:pPr>
        <w:pStyle w:val="ListBullet"/>
        <w:spacing w:after="40"/>
      </w:pPr>
      <w:r>
        <w:t>Mild bloom and halation on sun, water reflections, magic and bright atmospheric edges.</w:t>
      </w:r>
    </w:p>
    <w:p>
      <w:pPr>
        <w:pStyle w:val="ListBullet"/>
        <w:spacing w:after="40"/>
      </w:pPr>
      <w:r>
        <w:t>Selective saturation: concentrated color in focal regions, calmer peripheral/background color.</w:t>
      </w:r>
    </w:p>
    <w:p>
      <w:pPr>
        <w:pStyle w:val="ListBullet"/>
        <w:spacing w:after="40"/>
      </w:pPr>
      <w:r>
        <w:t>Very restrained vignette; never use it as the main style device.</w:t>
      </w:r>
    </w:p>
    <w:p>
      <w:pPr>
        <w:pStyle w:val="ListBullet"/>
        <w:spacing w:after="40"/>
      </w:pPr>
      <w:r>
        <w:t>Optional mild resolution/print-response pass for a painted reproduction feel, but avoid obvious retro-screen gimmicks.</w:t>
      </w:r>
    </w:p>
    <w:p>
      <w:pPr>
        <w:pStyle w:val="Heading1"/>
      </w:pPr>
      <w:r>
        <w:t>12. Environment and procedural integration</w:t>
      </w:r>
    </w:p>
    <w:p>
      <w:r>
        <w:t>Art style must be encoded into procedural generation, not applied only after geometry is placed. Feature recipes should carry stylistic presets that affect asset selection, palette, material, density, silhouette and atmospheric behavior.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6B4E2E"/>
            <w:tcMar>
              <w:top w:w="110" w:type="dxa"/>
              <w:start w:w="120" w:type="dxa"/>
              <w:bottom w:w="110" w:type="dxa"/>
              <w:end w:w="120" w:type="dxa"/>
            </w:tcMar>
          </w:tcPr>
          <w:p>
            <w:pPr>
              <w:jc w:val="center"/>
            </w:pPr>
            <w:r>
              <w:rPr>
                <w:b/>
                <w:color w:val="FFFFFF"/>
                <w:sz w:val="19"/>
              </w:rPr>
              <w:t>Procedural context</w:t>
            </w:r>
          </w:p>
        </w:tc>
        <w:tc>
          <w:tcPr>
            <w:tcW w:type="dxa" w:w="4968"/>
            <w:shd w:fill="6B4E2E"/>
            <w:tcMar>
              <w:top w:w="110" w:type="dxa"/>
              <w:start w:w="120" w:type="dxa"/>
              <w:bottom w:w="110" w:type="dxa"/>
              <w:end w:w="120" w:type="dxa"/>
            </w:tcMar>
          </w:tcPr>
          <w:p>
            <w:pPr>
              <w:jc w:val="center"/>
            </w:pPr>
            <w:r>
              <w:rPr>
                <w:b/>
                <w:color w:val="FFFFFF"/>
                <w:sz w:val="19"/>
              </w:rPr>
              <w:t>Art-style response</w:t>
            </w:r>
          </w:p>
        </w:tc>
      </w:tr>
      <w:tr>
        <w:tc>
          <w:tcPr>
            <w:tcW w:type="dxa" w:w="4968"/>
            <w:tcMar>
              <w:top w:w="110" w:type="dxa"/>
              <w:start w:w="120" w:type="dxa"/>
              <w:bottom w:w="110" w:type="dxa"/>
              <w:end w:w="120" w:type="dxa"/>
            </w:tcMar>
            <w:vAlign w:val="center"/>
          </w:tcPr>
          <w:p>
            <w:pPr>
              <w:spacing w:after="0"/>
            </w:pPr>
            <w:r>
              <w:rPr>
                <w:sz w:val="18"/>
              </w:rPr>
              <w:t>Old-growth forest</w:t>
            </w:r>
          </w:p>
        </w:tc>
        <w:tc>
          <w:tcPr>
            <w:tcW w:type="dxa" w:w="4968"/>
            <w:tcMar>
              <w:top w:w="110" w:type="dxa"/>
              <w:start w:w="120" w:type="dxa"/>
              <w:bottom w:w="110" w:type="dxa"/>
              <w:end w:w="120" w:type="dxa"/>
            </w:tcMar>
            <w:vAlign w:val="center"/>
          </w:tcPr>
          <w:p>
            <w:pPr>
              <w:spacing w:after="0"/>
            </w:pPr>
            <w:r>
              <w:rPr>
                <w:sz w:val="18"/>
              </w:rPr>
              <w:t>dark canopy mass, warm leaf highlights, strong trunk silhouettes, low noisy grass</w:t>
            </w:r>
          </w:p>
        </w:tc>
      </w:tr>
      <w:tr>
        <w:tc>
          <w:tcPr>
            <w:tcW w:type="dxa" w:w="4968"/>
            <w:tcMar>
              <w:top w:w="110" w:type="dxa"/>
              <w:start w:w="120" w:type="dxa"/>
              <w:bottom w:w="110" w:type="dxa"/>
              <w:end w:w="120" w:type="dxa"/>
            </w:tcMar>
            <w:vAlign w:val="center"/>
          </w:tcPr>
          <w:p>
            <w:pPr>
              <w:spacing w:after="0"/>
            </w:pPr>
            <w:r>
              <w:rPr>
                <w:sz w:val="18"/>
              </w:rPr>
              <w:t>Rocky cliff</w:t>
            </w:r>
          </w:p>
        </w:tc>
        <w:tc>
          <w:tcPr>
            <w:tcW w:type="dxa" w:w="4968"/>
            <w:tcMar>
              <w:top w:w="110" w:type="dxa"/>
              <w:start w:w="120" w:type="dxa"/>
              <w:bottom w:w="110" w:type="dxa"/>
              <w:end w:w="120" w:type="dxa"/>
            </w:tcMar>
            <w:vAlign w:val="center"/>
          </w:tcPr>
          <w:p>
            <w:pPr>
              <w:spacing w:after="0"/>
            </w:pPr>
            <w:r>
              <w:rPr>
                <w:sz w:val="18"/>
              </w:rPr>
              <w:t>large dark rock masses, highlighted edges, simplified surface noise, talus transition</w:t>
            </w:r>
          </w:p>
        </w:tc>
      </w:tr>
      <w:tr>
        <w:tc>
          <w:tcPr>
            <w:tcW w:type="dxa" w:w="4968"/>
            <w:tcMar>
              <w:top w:w="110" w:type="dxa"/>
              <w:start w:w="120" w:type="dxa"/>
              <w:bottom w:w="110" w:type="dxa"/>
              <w:end w:w="120" w:type="dxa"/>
            </w:tcMar>
            <w:vAlign w:val="center"/>
          </w:tcPr>
          <w:p>
            <w:pPr>
              <w:spacing w:after="0"/>
            </w:pPr>
            <w:r>
              <w:rPr>
                <w:sz w:val="18"/>
              </w:rPr>
              <w:t>Fantasy spire field</w:t>
            </w:r>
          </w:p>
        </w:tc>
        <w:tc>
          <w:tcPr>
            <w:tcW w:type="dxa" w:w="4968"/>
            <w:tcMar>
              <w:top w:w="110" w:type="dxa"/>
              <w:start w:w="120" w:type="dxa"/>
              <w:bottom w:w="110" w:type="dxa"/>
              <w:end w:w="120" w:type="dxa"/>
            </w:tcMar>
            <w:vAlign w:val="center"/>
          </w:tcPr>
          <w:p>
            <w:pPr>
              <w:spacing w:after="0"/>
            </w:pPr>
            <w:r>
              <w:rPr>
                <w:sz w:val="18"/>
              </w:rPr>
              <w:t>extreme vertical silhouettes, low clutter near bases, haze separation between layers</w:t>
            </w:r>
          </w:p>
        </w:tc>
      </w:tr>
      <w:tr>
        <w:tc>
          <w:tcPr>
            <w:tcW w:type="dxa" w:w="4968"/>
            <w:tcMar>
              <w:top w:w="110" w:type="dxa"/>
              <w:start w:w="120" w:type="dxa"/>
              <w:bottom w:w="110" w:type="dxa"/>
              <w:end w:w="120" w:type="dxa"/>
            </w:tcMar>
            <w:vAlign w:val="center"/>
          </w:tcPr>
          <w:p>
            <w:pPr>
              <w:spacing w:after="0"/>
            </w:pPr>
            <w:r>
              <w:rPr>
                <w:sz w:val="18"/>
              </w:rPr>
              <w:t>Wetland</w:t>
            </w:r>
          </w:p>
        </w:tc>
        <w:tc>
          <w:tcPr>
            <w:tcW w:type="dxa" w:w="4968"/>
            <w:tcMar>
              <w:top w:w="110" w:type="dxa"/>
              <w:start w:w="120" w:type="dxa"/>
              <w:bottom w:w="110" w:type="dxa"/>
              <w:end w:w="120" w:type="dxa"/>
            </w:tcMar>
            <w:vAlign w:val="center"/>
          </w:tcPr>
          <w:p>
            <w:pPr>
              <w:spacing w:after="0"/>
            </w:pPr>
            <w:r>
              <w:rPr>
                <w:sz w:val="18"/>
              </w:rPr>
              <w:t>broad reflective water shapes, reeds as grouped masses, fog and low-value tree silhouettes</w:t>
            </w:r>
          </w:p>
        </w:tc>
      </w:tr>
      <w:tr>
        <w:tc>
          <w:tcPr>
            <w:tcW w:type="dxa" w:w="4968"/>
            <w:tcMar>
              <w:top w:w="110" w:type="dxa"/>
              <w:start w:w="120" w:type="dxa"/>
              <w:bottom w:w="110" w:type="dxa"/>
              <w:end w:w="120" w:type="dxa"/>
            </w:tcMar>
            <w:vAlign w:val="center"/>
          </w:tcPr>
          <w:p>
            <w:pPr>
              <w:spacing w:after="0"/>
            </w:pPr>
            <w:r>
              <w:rPr>
                <w:sz w:val="18"/>
              </w:rPr>
              <w:t>Open meadow</w:t>
            </w:r>
          </w:p>
        </w:tc>
        <w:tc>
          <w:tcPr>
            <w:tcW w:type="dxa" w:w="4968"/>
            <w:tcMar>
              <w:top w:w="110" w:type="dxa"/>
              <w:start w:w="120" w:type="dxa"/>
              <w:bottom w:w="110" w:type="dxa"/>
              <w:end w:w="120" w:type="dxa"/>
            </w:tcMar>
            <w:vAlign w:val="center"/>
          </w:tcPr>
          <w:p>
            <w:pPr>
              <w:spacing w:after="0"/>
            </w:pPr>
            <w:r>
              <w:rPr>
                <w:sz w:val="18"/>
              </w:rPr>
              <w:t>large quiet color field with clustered flowers and sparse hero trees</w:t>
            </w:r>
          </w:p>
        </w:tc>
      </w:tr>
    </w:tbl>
    <w:p>
      <w:pPr>
        <w:spacing w:after="60"/>
      </w:pPr>
    </w:p>
    <w:p>
      <w:pPr>
        <w:pStyle w:val="Heading1"/>
      </w:pPr>
      <w:r>
        <w:t>13. Current biome-specific style notes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6B4E2E"/>
            <w:tcMar>
              <w:top w:w="110" w:type="dxa"/>
              <w:start w:w="120" w:type="dxa"/>
              <w:bottom w:w="110" w:type="dxa"/>
              <w:end w:w="120" w:type="dxa"/>
            </w:tcMar>
          </w:tcPr>
          <w:p>
            <w:pPr>
              <w:jc w:val="center"/>
            </w:pPr>
            <w:r>
              <w:rPr>
                <w:b/>
                <w:color w:val="FFFFFF"/>
                <w:sz w:val="19"/>
              </w:rPr>
              <w:t>Biome</w:t>
            </w:r>
          </w:p>
        </w:tc>
        <w:tc>
          <w:tcPr>
            <w:tcW w:type="dxa" w:w="4968"/>
            <w:shd w:fill="6B4E2E"/>
            <w:tcMar>
              <w:top w:w="110" w:type="dxa"/>
              <w:start w:w="120" w:type="dxa"/>
              <w:bottom w:w="110" w:type="dxa"/>
              <w:end w:w="120" w:type="dxa"/>
            </w:tcMar>
          </w:tcPr>
          <w:p>
            <w:pPr>
              <w:jc w:val="center"/>
            </w:pPr>
            <w:r>
              <w:rPr>
                <w:b/>
                <w:color w:val="FFFFFF"/>
                <w:sz w:val="19"/>
              </w:rPr>
              <w:t>Visual specification</w:t>
            </w:r>
          </w:p>
        </w:tc>
      </w:tr>
      <w:tr>
        <w:tc>
          <w:tcPr>
            <w:tcW w:type="dxa" w:w="4968"/>
            <w:tcMar>
              <w:top w:w="110" w:type="dxa"/>
              <w:start w:w="120" w:type="dxa"/>
              <w:bottom w:w="110" w:type="dxa"/>
              <w:end w:w="120" w:type="dxa"/>
            </w:tcMar>
            <w:vAlign w:val="center"/>
          </w:tcPr>
          <w:p>
            <w:pPr>
              <w:spacing w:after="0"/>
            </w:pPr>
            <w:r>
              <w:rPr>
                <w:sz w:val="18"/>
              </w:rPr>
              <w:t>Amber Grove</w:t>
            </w:r>
          </w:p>
        </w:tc>
        <w:tc>
          <w:tcPr>
            <w:tcW w:type="dxa" w:w="4968"/>
            <w:tcMar>
              <w:top w:w="110" w:type="dxa"/>
              <w:start w:w="120" w:type="dxa"/>
              <w:bottom w:w="110" w:type="dxa"/>
              <w:end w:w="120" w:type="dxa"/>
            </w:tcMar>
            <w:vAlign w:val="center"/>
          </w:tcPr>
          <w:p>
            <w:pPr>
              <w:spacing w:after="0"/>
            </w:pPr>
            <w:r>
              <w:rPr>
                <w:sz w:val="18"/>
              </w:rPr>
              <w:t>Permanent amber autumn; mostly maple and oak; orange-red canopy and leaf carpet; cool mist and dark stone provide contrast; no need for cities or high-fantasy architecture in the natural biome itself; slight dark-fantasy mood.</w:t>
            </w:r>
          </w:p>
        </w:tc>
      </w:tr>
      <w:tr>
        <w:tc>
          <w:tcPr>
            <w:tcW w:type="dxa" w:w="4968"/>
            <w:tcMar>
              <w:top w:w="110" w:type="dxa"/>
              <w:start w:w="120" w:type="dxa"/>
              <w:bottom w:w="110" w:type="dxa"/>
              <w:end w:w="120" w:type="dxa"/>
            </w:tcMar>
            <w:vAlign w:val="center"/>
          </w:tcPr>
          <w:p>
            <w:pPr>
              <w:spacing w:after="0"/>
            </w:pPr>
            <w:r>
              <w:rPr>
                <w:sz w:val="18"/>
              </w:rPr>
              <w:t>Flower Valley</w:t>
            </w:r>
          </w:p>
        </w:tc>
        <w:tc>
          <w:tcPr>
            <w:tcW w:type="dxa" w:w="4968"/>
            <w:tcMar>
              <w:top w:w="110" w:type="dxa"/>
              <w:start w:w="120" w:type="dxa"/>
              <w:bottom w:w="110" w:type="dxa"/>
              <w:end w:w="120" w:type="dxa"/>
            </w:tcMar>
            <w:vAlign w:val="center"/>
          </w:tcPr>
          <w:p>
            <w:pPr>
              <w:spacing w:after="0"/>
            </w:pPr>
            <w:r>
              <w:rPr>
                <w:sz w:val="18"/>
              </w:rPr>
              <w:t>Valley enclosed by mountains around a bright reflective lake; dominant white/pale grass and flowers crossed by red poppy fields; calm animals at the shore; luminous water mirrors the meadow; serene 80s fantasy-art atmosphere with slightly coarse painted texture.</w:t>
            </w:r>
          </w:p>
        </w:tc>
      </w:tr>
      <w:tr>
        <w:tc>
          <w:tcPr>
            <w:tcW w:type="dxa" w:w="4968"/>
            <w:tcMar>
              <w:top w:w="110" w:type="dxa"/>
              <w:start w:w="120" w:type="dxa"/>
              <w:bottom w:w="110" w:type="dxa"/>
              <w:end w:w="120" w:type="dxa"/>
            </w:tcMar>
            <w:vAlign w:val="center"/>
          </w:tcPr>
          <w:p>
            <w:pPr>
              <w:spacing w:after="0"/>
            </w:pPr>
            <w:r>
              <w:rPr>
                <w:sz w:val="18"/>
              </w:rPr>
              <w:t>Remaining fantasy biomes</w:t>
            </w:r>
          </w:p>
        </w:tc>
        <w:tc>
          <w:tcPr>
            <w:tcW w:type="dxa" w:w="4968"/>
            <w:tcMar>
              <w:top w:w="110" w:type="dxa"/>
              <w:start w:w="120" w:type="dxa"/>
              <w:bottom w:w="110" w:type="dxa"/>
              <w:end w:w="120" w:type="dxa"/>
            </w:tcMar>
            <w:vAlign w:val="center"/>
          </w:tcPr>
          <w:p>
            <w:pPr>
              <w:spacing w:after="0"/>
            </w:pPr>
            <w:r>
              <w:rPr>
                <w:sz w:val="18"/>
              </w:rPr>
              <w:t>Define only after reference review: Silver Valley, Dark Forest, Eternal Marshes, Golden Desert, Black Coast, Black Crag.</w:t>
            </w:r>
          </w:p>
        </w:tc>
      </w:tr>
    </w:tbl>
    <w:p>
      <w:pPr>
        <w:spacing w:after="60"/>
      </w:pPr>
    </w:p>
    <w:p>
      <w:pPr>
        <w:pStyle w:val="Heading1"/>
      </w:pPr>
      <w:r>
        <w:t>14. Quality bar / rejection criteria</w:t>
      </w:r>
    </w:p>
    <w:p>
      <w:pPr>
        <w:pStyle w:val="ListBullet"/>
        <w:spacing w:after="40"/>
      </w:pPr>
      <w:r>
        <w:t>Reject assets that retain obviously inconsistent photogrammetry color, scale or material response after conversion.</w:t>
      </w:r>
    </w:p>
    <w:p>
      <w:pPr>
        <w:pStyle w:val="ListBullet"/>
        <w:spacing w:after="40"/>
      </w:pPr>
      <w:r>
        <w:t>Reject uniform PCG scatter with no clustering, negative space or environmental cause.</w:t>
      </w:r>
    </w:p>
    <w:p>
      <w:pPr>
        <w:pStyle w:val="ListBullet"/>
        <w:spacing w:after="40"/>
      </w:pPr>
      <w:r>
        <w:t>Reject clean neutral “demo scene” lighting lacking palette and atmospheric depth.</w:t>
      </w:r>
    </w:p>
    <w:p>
      <w:pPr>
        <w:pStyle w:val="ListBullet"/>
        <w:spacing w:after="40"/>
      </w:pPr>
      <w:r>
        <w:t>Reject full-screen filters that attempt to create the style without changing materials, composition and silhouettes.</w:t>
      </w:r>
    </w:p>
    <w:p>
      <w:pPr>
        <w:pStyle w:val="ListBullet"/>
        <w:spacing w:after="40"/>
      </w:pPr>
      <w:r>
        <w:t>Reject fantasy features that are only amplified noise; they need authored archetypes and memorable silhouettes.</w:t>
      </w:r>
    </w:p>
    <w:p>
      <w:pPr>
        <w:pStyle w:val="ListBullet"/>
        <w:spacing w:after="40"/>
      </w:pPr>
      <w:r>
        <w:t>Reject environments where every square meter has equal detail density.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21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6B4E2E"/>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8B6A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21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6B4E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360" w:right="360"/>
    </w:pPr>
    <w:rPr>
      <w:rFonts w:ascii="Aptos Mono" w:hAnsi="Aptos Mono"/>
      <w:color w:val="3B34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