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83" w:lineRule="auto"/>
        <w:jc w:val="center"/>
      </w:pPr>
      <w:r>
        <w:rPr>
          <w:rFonts w:ascii="Aptos" w:hAnsi="Aptos"/>
          <w:b/>
          <w:i w:val="0"/>
          <w:color w:val="FF6A1A"/>
          <w:sz w:val="18"/>
        </w:rPr>
        <w:t>PLAYBOOK COMMERCIAL</w:t>
      </w:r>
    </w:p>
    <w:p>
      <w:pPr>
        <w:spacing w:before="0" w:after="160" w:line="245" w:lineRule="auto"/>
        <w:jc w:val="center"/>
      </w:pPr>
      <w:r>
        <w:rPr>
          <w:rFonts w:ascii="Georgia" w:hAnsi="Georgia"/>
          <w:b/>
          <w:i w:val="0"/>
          <w:color w:val="21314B"/>
          <w:sz w:val="56"/>
        </w:rPr>
        <w:t>La bonne table,</w:t>
        <w:br/>
        <w:t>pas la blabla.</w:t>
      </w:r>
    </w:p>
    <w:p>
      <w:pPr>
        <w:spacing w:before="0" w:after="120" w:line="283" w:lineRule="auto"/>
        <w:jc w:val="center"/>
      </w:pPr>
      <w:r>
        <w:rPr>
          <w:rFonts w:ascii="Aptos" w:hAnsi="Aptos"/>
          <w:b/>
          <w:i w:val="0"/>
          <w:color w:val="0B1220"/>
          <w:sz w:val="24"/>
        </w:rPr>
        <w:t>Guide terrain pour vendre TOK aux restaurateurs : plus clair, plus vivant, plus facile à sortir en rendez-vous.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6720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d f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67208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2E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Objectif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Remplir les bons créneaux.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CFDF5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Promesse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Moins de commission floue, plus de contrôle.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AF6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Ton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Direct, premium, souriant.</w:t>
            </w:r>
          </w:p>
        </w:tc>
      </w:tr>
    </w:tbl>
    <w:p>
      <w:pPr>
        <w:spacing w:after="140"/>
      </w:pPr>
    </w:p>
    <w:p>
      <w:pPr>
        <w:spacing w:before="0" w:after="120" w:line="283" w:lineRule="auto"/>
        <w:jc w:val="center"/>
      </w:pPr>
      <w:r>
        <w:rPr>
          <w:rFonts w:ascii="Aptos" w:hAnsi="Aptos"/>
          <w:b w:val="0"/>
          <w:i w:val="0"/>
          <w:color w:val="64748B"/>
          <w:sz w:val="17"/>
        </w:rPr>
        <w:t>Version V2 digest - 7 juin 2026</w:t>
      </w:r>
    </w:p>
    <w:p>
      <w:r>
        <w:br w:type="page"/>
      </w:r>
    </w:p>
    <w:p>
      <w:pPr>
        <w:spacing w:before="160" w:after="40" w:line="240" w:lineRule="auto"/>
      </w:pPr>
      <w:r>
        <w:rPr>
          <w:rFonts w:ascii="Aptos" w:hAnsi="Aptos"/>
          <w:b/>
          <w:i w:val="0"/>
          <w:color w:val="FF6A1A"/>
          <w:sz w:val="17"/>
        </w:rPr>
        <w:t>À DIRE SIMPLEMENT</w:t>
      </w:r>
    </w:p>
    <w:p>
      <w:pPr>
        <w:spacing w:before="160" w:after="120" w:line="252" w:lineRule="auto"/>
      </w:pPr>
      <w:r>
        <w:rPr>
          <w:rFonts w:ascii="Georgia" w:hAnsi="Georgia"/>
          <w:b/>
          <w:i w:val="0"/>
          <w:color w:val="21314B"/>
          <w:sz w:val="36"/>
        </w:rPr>
        <w:t>1. Le pitch qui tient entre deux services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c>
          <w:tcPr>
            <w:tcW w:type="dxa" w:w="15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6A1A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15 SEC</w:t>
            </w:r>
          </w:p>
        </w:tc>
        <w:tc>
          <w:tcPr>
            <w:tcW w:type="dxa" w:w="784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2E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TOK aide les restaurants genevois à remplir leurs tables et leurs créneaux utiles.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On combine réservation, offres locales, photos, dashboard et pilotage. Pas une vitrine de plus : un outil pour vendre mieux.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1F2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Ce qu'on ne vend pas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Une app magique ou une promo permanente.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CFDF5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Ce qu'on vend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Un plan d'activation restaurant par restaurant.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7D6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Le bon mot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Marge, tables, contrôle, simplicité.</w:t>
            </w:r>
          </w:p>
        </w:tc>
      </w:tr>
    </w:tbl>
    <w:p>
      <w:pPr>
        <w:spacing w:after="140"/>
      </w:pPr>
    </w:p>
    <w:p>
      <w:pPr>
        <w:spacing w:before="160" w:after="40" w:line="240" w:lineRule="auto"/>
      </w:pPr>
      <w:r>
        <w:rPr>
          <w:rFonts w:ascii="Aptos" w:hAnsi="Aptos"/>
          <w:b/>
          <w:i w:val="0"/>
          <w:color w:val="FF6A1A"/>
          <w:sz w:val="17"/>
        </w:rPr>
        <w:t>PRIORITÉ TERRAIN</w:t>
      </w:r>
    </w:p>
    <w:p>
      <w:pPr>
        <w:spacing w:before="160" w:after="120" w:line="252" w:lineRule="auto"/>
      </w:pPr>
      <w:r>
        <w:rPr>
          <w:rFonts w:ascii="Georgia" w:hAnsi="Georgia"/>
          <w:b/>
          <w:i w:val="0"/>
          <w:color w:val="21314B"/>
          <w:sz w:val="36"/>
        </w:rPr>
        <w:t>2. Les prospects croustillants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672"/>
        <w:gridCol w:w="3456"/>
      </w:tblGrid>
      <w:tr>
        <w:tc>
          <w:tcPr>
            <w:tcW w:type="dxa" w:w="223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Cible</w:t>
            </w:r>
          </w:p>
        </w:tc>
        <w:tc>
          <w:tcPr>
            <w:tcW w:type="dxa" w:w="367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Douleur visible</w:t>
            </w:r>
          </w:p>
        </w:tc>
        <w:tc>
          <w:tcPr>
            <w:tcW w:type="dxa" w:w="3456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Angle TOK</w:t>
            </w:r>
          </w:p>
        </w:tc>
      </w:tr>
      <w:tr>
        <w:tc>
          <w:tcPr>
            <w:tcW w:type="dxa" w:w="223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Salle irrégulière</w:t>
            </w:r>
          </w:p>
        </w:tc>
        <w:tc>
          <w:tcPr>
            <w:tcW w:type="dxa" w:w="367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Mardi midi vide, dimanche mou, fin de service molle.</w:t>
            </w:r>
          </w:p>
        </w:tc>
        <w:tc>
          <w:tcPr>
            <w:tcW w:type="dxa" w:w="3456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Réservation + offres ciblées.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Belle carte, peu de digital</w:t>
            </w:r>
          </w:p>
        </w:tc>
        <w:tc>
          <w:tcPr>
            <w:tcW w:type="dxa" w:w="367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Plats forts mais photos / page peu vendeuses.</w:t>
            </w:r>
          </w:p>
        </w:tc>
        <w:tc>
          <w:tcPr>
            <w:tcW w:type="dxa" w:w="3456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Pack Essentiel ou Pro.</w:t>
            </w:r>
          </w:p>
        </w:tc>
      </w:tr>
      <w:tr>
        <w:tc>
          <w:tcPr>
            <w:tcW w:type="dxa" w:w="223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Déjà livré ailleurs</w:t>
            </w:r>
          </w:p>
        </w:tc>
        <w:tc>
          <w:tcPr>
            <w:tcW w:type="dxa" w:w="367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Marge compressée, relation client captée.</w:t>
            </w:r>
          </w:p>
        </w:tc>
        <w:tc>
          <w:tcPr>
            <w:tcW w:type="dxa" w:w="3456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Modèle plus lisible + dashboard.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Nouveau lieu</w:t>
            </w:r>
          </w:p>
        </w:tc>
        <w:tc>
          <w:tcPr>
            <w:tcW w:type="dxa" w:w="367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Besoin de notoriété et d'un lancement propre.</w:t>
            </w:r>
          </w:p>
        </w:tc>
        <w:tc>
          <w:tcPr>
            <w:tcW w:type="dxa" w:w="3456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Pack Pro / Premium.</w:t>
            </w:r>
          </w:p>
        </w:tc>
      </w:tr>
    </w:tbl>
    <w:p>
      <w:pPr>
        <w:spacing w:after="1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c>
          <w:tcPr>
            <w:tcW w:type="dxa" w:w="15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16A874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SCORE</w:t>
            </w:r>
          </w:p>
        </w:tc>
        <w:tc>
          <w:tcPr>
            <w:tcW w:type="dxa" w:w="784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CFDF5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7/10 ou plus = on fonce.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Besoin clair, décideur identifié, urgence sous 30 jours, capacité à activer vite, fit TOK visible.</w:t>
            </w:r>
          </w:p>
        </w:tc>
      </w:tr>
    </w:tbl>
    <w:p>
      <w:pPr>
        <w:spacing w:after="100"/>
      </w:pPr>
    </w:p>
    <w:p>
      <w:pPr>
        <w:spacing w:before="160" w:after="40" w:line="240" w:lineRule="auto"/>
      </w:pPr>
      <w:r>
        <w:rPr>
          <w:rFonts w:ascii="Aptos" w:hAnsi="Aptos"/>
          <w:b/>
          <w:i w:val="0"/>
          <w:color w:val="FF6A1A"/>
          <w:sz w:val="17"/>
        </w:rPr>
        <w:t>RYTHME RECOMMANDÉ</w:t>
      </w:r>
    </w:p>
    <w:p>
      <w:pPr>
        <w:spacing w:before="160" w:after="120" w:line="252" w:lineRule="auto"/>
      </w:pPr>
      <w:r>
        <w:rPr>
          <w:rFonts w:ascii="Georgia" w:hAnsi="Georgia"/>
          <w:b/>
          <w:i w:val="0"/>
          <w:color w:val="21314B"/>
          <w:sz w:val="36"/>
        </w:rPr>
        <w:t>3. La démo en mode menu dégustation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3024"/>
        <w:gridCol w:w="5184"/>
      </w:tblGrid>
      <w:tr>
        <w:tc>
          <w:tcPr>
            <w:tcW w:type="dxa" w:w="115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Minute</w:t>
            </w:r>
          </w:p>
        </w:tc>
        <w:tc>
          <w:tcPr>
            <w:tcW w:type="dxa" w:w="3024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Plat à servir</w:t>
            </w:r>
          </w:p>
        </w:tc>
        <w:tc>
          <w:tcPr>
            <w:tcW w:type="dxa" w:w="5184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Phrase courte</w:t>
            </w:r>
          </w:p>
        </w:tc>
      </w:tr>
      <w:tr>
        <w:tc>
          <w:tcPr>
            <w:tcW w:type="dxa" w:w="115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0-2</w:t>
            </w:r>
          </w:p>
        </w:tc>
        <w:tc>
          <w:tcPr>
            <w:tcW w:type="dxa" w:w="3024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Douleur du resto</w:t>
            </w:r>
          </w:p>
        </w:tc>
        <w:tc>
          <w:tcPr>
            <w:tcW w:type="dxa" w:w="5184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On part de votre service à remplir.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2-5</w:t>
            </w:r>
          </w:p>
        </w:tc>
        <w:tc>
          <w:tcPr>
            <w:tcW w:type="dxa" w:w="3024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Simulateur</w:t>
            </w:r>
          </w:p>
        </w:tc>
        <w:tc>
          <w:tcPr>
            <w:tcW w:type="dxa" w:w="5184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Voilà ce qu'une table change vraiment.</w:t>
            </w:r>
          </w:p>
        </w:tc>
      </w:tr>
      <w:tr>
        <w:tc>
          <w:tcPr>
            <w:tcW w:type="dxa" w:w="115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5-9</w:t>
            </w:r>
          </w:p>
        </w:tc>
        <w:tc>
          <w:tcPr>
            <w:tcW w:type="dxa" w:w="3024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Packs</w:t>
            </w:r>
          </w:p>
        </w:tc>
        <w:tc>
          <w:tcPr>
            <w:tcW w:type="dxa" w:w="5184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On choisit l'effort d'activation juste.</w:t>
            </w:r>
          </w:p>
        </w:tc>
      </w:tr>
      <w:tr>
        <w:tc>
          <w:tcPr>
            <w:tcW w:type="dxa" w:w="115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9-14</w:t>
            </w:r>
          </w:p>
        </w:tc>
        <w:tc>
          <w:tcPr>
            <w:tcW w:type="dxa" w:w="3024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Dashboard</w:t>
            </w:r>
          </w:p>
        </w:tc>
        <w:tc>
          <w:tcPr>
            <w:tcW w:type="dxa" w:w="5184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Vous gardez la main sur menu, offres, avis, factures.</w:t>
            </w:r>
          </w:p>
        </w:tc>
      </w:tr>
      <w:tr>
        <w:tc>
          <w:tcPr>
            <w:tcW w:type="dxa" w:w="115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14-18</w:t>
            </w:r>
          </w:p>
        </w:tc>
        <w:tc>
          <w:tcPr>
            <w:tcW w:type="dxa" w:w="3024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Next step</w:t>
            </w:r>
          </w:p>
        </w:tc>
        <w:tc>
          <w:tcPr>
            <w:tcW w:type="dxa" w:w="5184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On bloque le prochain service à améliorer.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160" w:after="40" w:line="240" w:lineRule="auto"/>
      </w:pPr>
      <w:r>
        <w:rPr>
          <w:rFonts w:ascii="Aptos" w:hAnsi="Aptos"/>
          <w:b/>
          <w:i w:val="0"/>
          <w:color w:val="FF6A1A"/>
          <w:sz w:val="17"/>
        </w:rPr>
        <w:t>PRIX LISIBLES</w:t>
      </w:r>
    </w:p>
    <w:p>
      <w:pPr>
        <w:spacing w:before="160" w:after="120" w:line="252" w:lineRule="auto"/>
      </w:pPr>
      <w:r>
        <w:rPr>
          <w:rFonts w:ascii="Georgia" w:hAnsi="Georgia"/>
          <w:b/>
          <w:i w:val="0"/>
          <w:color w:val="21314B"/>
          <w:sz w:val="36"/>
        </w:rPr>
        <w:t>4. L'offre sans prise de tête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2E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9"/>
              </w:rPr>
              <w:t>Découverte</w:t>
              <w:br/>
              <w:t>490 CHF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19"/>
              </w:rPr>
              <w:t>Socle, compte, menu, démarrage propre.</w:t>
            </w:r>
          </w:p>
        </w:tc>
        <w:tc>
          <w:tcPr>
            <w:tcW w:type="dxa" w:w="234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AF6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9"/>
              </w:rPr>
              <w:t>Essentiel</w:t>
              <w:br/>
              <w:t>990 CHF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19"/>
              </w:rPr>
              <w:t>Photos, présence digitale, premières offres.</w:t>
            </w:r>
          </w:p>
        </w:tc>
        <w:tc>
          <w:tcPr>
            <w:tcW w:type="dxa" w:w="234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7D6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9"/>
              </w:rPr>
              <w:t>Pro</w:t>
              <w:br/>
              <w:t>1'990 CHF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19"/>
              </w:rPr>
              <w:t>Lancement complet, campagne, plan de salle.</w:t>
            </w:r>
          </w:p>
        </w:tc>
        <w:tc>
          <w:tcPr>
            <w:tcW w:type="dxa" w:w="234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CFDF5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9"/>
              </w:rPr>
              <w:t>Premium</w:t>
              <w:br/>
              <w:t>3'490 CHF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19"/>
              </w:rPr>
              <w:t>VIP, multi-leviers, accompagnement renforcé.</w:t>
            </w:r>
          </w:p>
        </w:tc>
      </w:tr>
    </w:tbl>
    <w:p>
      <w:pPr>
        <w:spacing w:after="1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CFDF5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5 CHF/table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Réservation confirmée, coût lisible.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AF6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Campagnes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CPM/CPC/CPA selon objectif.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7D6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Tok One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Récurrence client et avantages.</w:t>
            </w:r>
          </w:p>
        </w:tc>
      </w:tr>
    </w:tbl>
    <w:p>
      <w:pPr>
        <w:spacing w:after="1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c>
          <w:tcPr>
            <w:tcW w:type="dxa" w:w="15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6A1A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RÈGLE</w:t>
            </w:r>
          </w:p>
        </w:tc>
        <w:tc>
          <w:tcPr>
            <w:tcW w:type="dxa" w:w="784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8F1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On ne vend pas tout le buffet au premier rendez-vous.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On choisit le levier qui règle le vrai problème du restaurateur : table, visibilité, marge, contenu ou pilotage.</w:t>
            </w:r>
          </w:p>
        </w:tc>
      </w:tr>
    </w:tbl>
    <w:p>
      <w:pPr>
        <w:spacing w:after="100"/>
      </w:pPr>
    </w:p>
    <w:p>
      <w:pPr>
        <w:spacing w:before="160" w:after="40" w:line="240" w:lineRule="auto"/>
      </w:pPr>
      <w:r>
        <w:rPr>
          <w:rFonts w:ascii="Aptos" w:hAnsi="Aptos"/>
          <w:b/>
          <w:i w:val="0"/>
          <w:color w:val="FF6A1A"/>
          <w:sz w:val="17"/>
        </w:rPr>
        <w:t>RÉPONSES COURTES</w:t>
      </w:r>
    </w:p>
    <w:p>
      <w:pPr>
        <w:spacing w:before="160" w:after="120" w:line="252" w:lineRule="auto"/>
      </w:pPr>
      <w:r>
        <w:rPr>
          <w:rFonts w:ascii="Georgia" w:hAnsi="Georgia"/>
          <w:b/>
          <w:i w:val="0"/>
          <w:color w:val="21314B"/>
          <w:sz w:val="36"/>
        </w:rPr>
        <w:t>5. Objections qui passent crème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672"/>
        <w:gridCol w:w="3456"/>
      </w:tblGrid>
      <w:tr>
        <w:tc>
          <w:tcPr>
            <w:tcW w:type="dxa" w:w="223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Objection</w:t>
            </w:r>
          </w:p>
        </w:tc>
        <w:tc>
          <w:tcPr>
            <w:tcW w:type="dxa" w:w="367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Réponse TOK</w:t>
            </w:r>
          </w:p>
        </w:tc>
        <w:tc>
          <w:tcPr>
            <w:tcW w:type="dxa" w:w="3456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Relance</w:t>
            </w:r>
          </w:p>
        </w:tc>
      </w:tr>
      <w:tr>
        <w:tc>
          <w:tcPr>
            <w:tcW w:type="dxa" w:w="223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Je suis déjà sur d'autres plateformes.</w:t>
            </w:r>
          </w:p>
        </w:tc>
        <w:tc>
          <w:tcPr>
            <w:tcW w:type="dxa" w:w="367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Justement : TOK remet la marge et la relation client dans vos mains.</w:t>
            </w:r>
          </w:p>
        </w:tc>
        <w:tc>
          <w:tcPr>
            <w:tcW w:type="dxa" w:w="3456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Quel canal vous coûte le plus cher aujourd'hui ?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Je n'ai pas le temps.</w:t>
            </w:r>
          </w:p>
        </w:tc>
        <w:tc>
          <w:tcPr>
            <w:tcW w:type="dxa" w:w="367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Les packs absorbent la mise en place. Vous validez, on structure.</w:t>
            </w:r>
          </w:p>
        </w:tc>
        <w:tc>
          <w:tcPr>
            <w:tcW w:type="dxa" w:w="3456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Qu'est-ce qui vous prend le plus de temps ?</w:t>
            </w:r>
          </w:p>
        </w:tc>
      </w:tr>
      <w:tr>
        <w:tc>
          <w:tcPr>
            <w:tcW w:type="dxa" w:w="223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Je ne veux pas faire des promos.</w:t>
            </w:r>
          </w:p>
        </w:tc>
        <w:tc>
          <w:tcPr>
            <w:tcW w:type="dxa" w:w="367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On active les bons créneaux, pas une braderie permanente.</w:t>
            </w:r>
          </w:p>
        </w:tc>
        <w:tc>
          <w:tcPr>
            <w:tcW w:type="dxa" w:w="3456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Quel service mérite un coup de pouce ?</w:t>
            </w:r>
          </w:p>
        </w:tc>
      </w:tr>
      <w:tr>
        <w:tc>
          <w:tcPr>
            <w:tcW w:type="dxa" w:w="223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Je veux voir avant de payer.</w:t>
            </w:r>
          </w:p>
        </w:tc>
        <w:tc>
          <w:tcPr>
            <w:tcW w:type="dxa" w:w="367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On peut cadrer un plan clair : menu publié, offre lancée, premières tables suivies.</w:t>
            </w:r>
          </w:p>
        </w:tc>
        <w:tc>
          <w:tcPr>
            <w:tcW w:type="dxa" w:w="3456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Quel résultat rendrait l'essai sérieux ?</w:t>
            </w:r>
          </w:p>
        </w:tc>
      </w:tr>
      <w:tr>
        <w:tc>
          <w:tcPr>
            <w:tcW w:type="dxa" w:w="223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Combien ça coûte vraiment ?</w:t>
            </w:r>
          </w:p>
        </w:tc>
        <w:tc>
          <w:tcPr>
            <w:tcW w:type="dxa" w:w="367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Pack si accompagnement, 5 CHF/table côté réservation, campagnes mesurées.</w:t>
            </w:r>
          </w:p>
        </w:tc>
        <w:tc>
          <w:tcPr>
            <w:tcW w:type="dxa" w:w="3456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Vous préférez coût fixe, par table ou budget campagne ?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160" w:after="40" w:line="240" w:lineRule="auto"/>
      </w:pPr>
      <w:r>
        <w:rPr>
          <w:rFonts w:ascii="Aptos" w:hAnsi="Aptos"/>
          <w:b/>
          <w:i w:val="0"/>
          <w:color w:val="FF6A1A"/>
          <w:sz w:val="17"/>
        </w:rPr>
        <w:t>COPIER, ADAPTER, ENVOYER</w:t>
      </w:r>
    </w:p>
    <w:p>
      <w:pPr>
        <w:spacing w:before="160" w:after="120" w:line="252" w:lineRule="auto"/>
      </w:pPr>
      <w:r>
        <w:rPr>
          <w:rFonts w:ascii="Georgia" w:hAnsi="Georgia"/>
          <w:b/>
          <w:i w:val="0"/>
          <w:color w:val="21314B"/>
          <w:sz w:val="36"/>
        </w:rPr>
        <w:t>6. Scripts prêts à sortir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c>
          <w:tcPr>
            <w:tcW w:type="dxa" w:w="15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6A1A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APPEL</w:t>
            </w:r>
          </w:p>
        </w:tc>
        <w:tc>
          <w:tcPr>
            <w:tcW w:type="dxa" w:w="784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2E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Bonjour, je vous appelle de TOK.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On aide les restaurants genevois à remplir leurs tables et leurs créneaux creux avec un modèle plus lisible : réservation, offres locales, photos et pilotage. Aujourd'hui, votre sujet principal, c'est plutôt visibilité, marge ou réservations ?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c>
          <w:tcPr>
            <w:tcW w:type="dxa" w:w="15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2A3FF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EMAIL</w:t>
            </w:r>
          </w:p>
        </w:tc>
        <w:tc>
          <w:tcPr>
            <w:tcW w:type="dxa" w:w="784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AF6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Suite à notre échange, j'ai retenu trois priorités.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Remplir [créneau], améliorer [levier] et garder un coût maîtrisé. Je vous propose une démo de 20 minutes : simulateur, packs, dashboard, puis décision sur le plan le plus simple.</w:t>
            </w:r>
          </w:p>
        </w:tc>
      </w:tr>
    </w:tbl>
    <w:p>
      <w:pPr>
        <w:spacing w:after="10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c>
          <w:tcPr>
            <w:tcW w:type="dxa" w:w="15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16A874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RELANCE</w:t>
            </w:r>
          </w:p>
        </w:tc>
        <w:tc>
          <w:tcPr>
            <w:tcW w:type="dxa" w:w="784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CFDF5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Je vous relance sans vous rajouter un service de plus.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Si le sujet n'est pas prioritaire ce mois-ci, on reprend au moment de votre prochain temps fort : nouvelle carte, terrasse, service du dimanche ou période creuse.</w:t>
            </w:r>
          </w:p>
        </w:tc>
      </w:tr>
    </w:tbl>
    <w:p>
      <w:pPr>
        <w:spacing w:after="100"/>
      </w:pPr>
    </w:p>
    <w:p>
      <w:pPr>
        <w:spacing w:before="160" w:after="40" w:line="240" w:lineRule="auto"/>
      </w:pPr>
      <w:r>
        <w:rPr>
          <w:rFonts w:ascii="Aptos" w:hAnsi="Aptos"/>
          <w:b/>
          <w:i w:val="0"/>
          <w:color w:val="FF6A1A"/>
          <w:sz w:val="17"/>
        </w:rPr>
        <w:t>PAS DE SAUCE FLOUE</w:t>
      </w:r>
    </w:p>
    <w:p>
      <w:pPr>
        <w:spacing w:before="160" w:after="120" w:line="252" w:lineRule="auto"/>
      </w:pPr>
      <w:r>
        <w:rPr>
          <w:rFonts w:ascii="Georgia" w:hAnsi="Georgia"/>
          <w:b/>
          <w:i w:val="0"/>
          <w:color w:val="21314B"/>
          <w:sz w:val="36"/>
        </w:rPr>
        <w:t>7. Discipline CRM : simple mais carrée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3960"/>
      </w:tblGrid>
      <w:tr>
        <w:tc>
          <w:tcPr>
            <w:tcW w:type="dxa" w:w="172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Statut</w:t>
            </w:r>
          </w:p>
        </w:tc>
        <w:tc>
          <w:tcPr>
            <w:tcW w:type="dxa" w:w="367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Définition</w:t>
            </w:r>
          </w:p>
        </w:tc>
        <w:tc>
          <w:tcPr>
            <w:tcW w:type="dxa" w:w="39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Sortie attendue</w:t>
            </w:r>
          </w:p>
        </w:tc>
      </w:tr>
      <w:tr>
        <w:tc>
          <w:tcPr>
            <w:tcW w:type="dxa" w:w="1728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Nouveau</w:t>
            </w:r>
          </w:p>
        </w:tc>
        <w:tc>
          <w:tcPr>
            <w:tcW w:type="dxa" w:w="367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Lead identifié.</w:t>
            </w:r>
          </w:p>
        </w:tc>
        <w:tc>
          <w:tcPr>
            <w:tcW w:type="dxa" w:w="3960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Contact sous 24h.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Contacté</w:t>
            </w:r>
          </w:p>
        </w:tc>
        <w:tc>
          <w:tcPr>
            <w:tcW w:type="dxa" w:w="367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Réponse ou conversation.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Douleur + prochaine date.</w:t>
            </w:r>
          </w:p>
        </w:tc>
      </w:tr>
      <w:tr>
        <w:tc>
          <w:tcPr>
            <w:tcW w:type="dxa" w:w="1728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Démo</w:t>
            </w:r>
          </w:p>
        </w:tc>
        <w:tc>
          <w:tcPr>
            <w:tcW w:type="dxa" w:w="367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Créneau fixé ou démo faite.</w:t>
            </w:r>
          </w:p>
        </w:tc>
        <w:tc>
          <w:tcPr>
            <w:tcW w:type="dxa" w:w="3960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Décideur + offre recommandée.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Signé</w:t>
            </w:r>
          </w:p>
        </w:tc>
        <w:tc>
          <w:tcPr>
            <w:tcW w:type="dxa" w:w="367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Pack ou accord choisi.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Paiement / onboarding.</w:t>
            </w:r>
          </w:p>
        </w:tc>
      </w:tr>
      <w:tr>
        <w:tc>
          <w:tcPr>
            <w:tcW w:type="dxa" w:w="1728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Activé</w:t>
            </w:r>
          </w:p>
        </w:tc>
        <w:tc>
          <w:tcPr>
            <w:tcW w:type="dxa" w:w="3672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Menu, offre ou réservation live.</w:t>
            </w:r>
          </w:p>
        </w:tc>
        <w:tc>
          <w:tcPr>
            <w:tcW w:type="dxa" w:w="3960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Objectif 30/60/90 jours.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Perdu</w:t>
            </w:r>
          </w:p>
        </w:tc>
        <w:tc>
          <w:tcPr>
            <w:tcW w:type="dxa" w:w="3672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No-fit ou refus.</w:t>
            </w:r>
          </w:p>
        </w:tc>
        <w:tc>
          <w:tcPr>
            <w:tcW w:type="dxa" w:w="3960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Raison claire + relance éventuelle.</w:t>
            </w:r>
          </w:p>
        </w:tc>
      </w:tr>
    </w:tbl>
    <w:p>
      <w:pPr>
        <w:spacing w:after="16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7848"/>
      </w:tblGrid>
      <w:tr>
        <w:tc>
          <w:tcPr>
            <w:tcW w:type="dxa" w:w="1512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B02A"/>
          </w:tcPr>
          <w:p>
            <w:pPr>
              <w:spacing w:before="0" w:after="40" w:line="264" w:lineRule="auto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20"/>
              </w:rPr>
              <w:t>RITUEL</w:t>
            </w:r>
          </w:p>
        </w:tc>
        <w:tc>
          <w:tcPr>
            <w:tcW w:type="dxa" w:w="7848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7D6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Lundi on choisit les tables à gagner. Vendredi on vérifie ce qui a bougé.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Nouveaux leads, démos, deals bloqués, raisons de perte, restaurants activés et preuves terrain.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spacing w:before="160" w:after="40" w:line="240" w:lineRule="auto"/>
      </w:pPr>
      <w:r>
        <w:rPr>
          <w:rFonts w:ascii="Aptos" w:hAnsi="Aptos"/>
          <w:b/>
          <w:i w:val="0"/>
          <w:color w:val="FF6A1A"/>
          <w:sz w:val="17"/>
        </w:rPr>
        <w:t>À GARDER SOUS LA MAIN</w:t>
      </w:r>
    </w:p>
    <w:p>
      <w:pPr>
        <w:spacing w:before="160" w:after="120" w:line="252" w:lineRule="auto"/>
      </w:pPr>
      <w:r>
        <w:rPr>
          <w:rFonts w:ascii="Georgia" w:hAnsi="Georgia"/>
          <w:b/>
          <w:i w:val="0"/>
          <w:color w:val="21314B"/>
          <w:sz w:val="36"/>
        </w:rPr>
        <w:t>8. La checklist avant rendez-vous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2E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Avant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Quartier, type de resto, créneau faible, ticket moyen, pack probable.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AF6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Pendant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Partir de la douleur. Faire parler les chiffres. Choisir un seul levier.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CFDF5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Après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Prochaine date, assets nécessaires, pack, responsable, activation J+14.</w:t>
            </w:r>
          </w:p>
        </w:tc>
      </w:tr>
    </w:tbl>
    <w:p>
      <w:pPr>
        <w:spacing w:after="140"/>
      </w:pPr>
    </w:p>
    <w:p>
      <w:pPr>
        <w:spacing w:before="160" w:after="40" w:line="240" w:lineRule="auto"/>
      </w:pPr>
      <w:r>
        <w:rPr>
          <w:rFonts w:ascii="Aptos" w:hAnsi="Aptos"/>
          <w:b/>
          <w:i w:val="0"/>
          <w:color w:val="FF6A1A"/>
          <w:sz w:val="17"/>
        </w:rPr>
        <w:t>À ÉVITER</w:t>
      </w:r>
    </w:p>
    <w:p>
      <w:pPr>
        <w:spacing w:before="160" w:after="120" w:line="252" w:lineRule="auto"/>
      </w:pPr>
      <w:r>
        <w:rPr>
          <w:rFonts w:ascii="Georgia" w:hAnsi="Georgia"/>
          <w:b/>
          <w:i w:val="0"/>
          <w:color w:val="21314B"/>
          <w:sz w:val="36"/>
        </w:rPr>
        <w:t>9. Phrases interdites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960"/>
        <w:gridCol w:w="5400"/>
      </w:tblGrid>
      <w:tr>
        <w:tc>
          <w:tcPr>
            <w:tcW w:type="dxa" w:w="39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Ne pas dire</w:t>
            </w:r>
          </w:p>
        </w:tc>
        <w:tc>
          <w:tcPr>
            <w:tcW w:type="dxa" w:w="540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21314B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Dire plutôt</w:t>
            </w:r>
          </w:p>
        </w:tc>
      </w:tr>
      <w:tr>
        <w:tc>
          <w:tcPr>
            <w:tcW w:type="dxa" w:w="3960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On va vous ramener beaucoup de clients.</w:t>
            </w:r>
          </w:p>
        </w:tc>
        <w:tc>
          <w:tcPr>
            <w:tcW w:type="dxa" w:w="5400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On cadre un objectif mesurable de tables, offres ou visibilité.</w:t>
            </w:r>
          </w:p>
        </w:tc>
      </w:tr>
      <w:tr>
        <w:tc>
          <w:tcPr>
            <w:tcW w:type="dxa" w:w="3960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C'est comme les plateformes, mais moins cher.</w:t>
            </w:r>
          </w:p>
        </w:tc>
        <w:tc>
          <w:tcPr>
            <w:tcW w:type="dxa" w:w="5400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TOK combine réservation, offres, relation client et outils restaurateur.</w:t>
            </w:r>
          </w:p>
        </w:tc>
      </w:tr>
      <w:tr>
        <w:tc>
          <w:tcPr>
            <w:tcW w:type="dxa" w:w="3960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Tout est automatisé.</w:t>
            </w:r>
          </w:p>
        </w:tc>
        <w:tc>
          <w:tcPr>
            <w:tcW w:type="dxa" w:w="5400"/>
            <w:shd w:fill="FFFDF8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On outille les modules clés et on accompagne selon le pack.</w:t>
            </w:r>
          </w:p>
        </w:tc>
      </w:tr>
      <w:tr>
        <w:tc>
          <w:tcPr>
            <w:tcW w:type="dxa" w:w="3960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18"/>
              </w:rPr>
              <w:t>Aucun effort de votre côté.</w:t>
            </w:r>
          </w:p>
        </w:tc>
        <w:tc>
          <w:tcPr>
            <w:tcW w:type="dxa" w:w="5400"/>
            <w:shd w:fill="FFFF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 w:val="0"/>
                <w:i w:val="0"/>
                <w:color w:val="0B1220"/>
                <w:sz w:val="18"/>
              </w:rPr>
              <w:t>On réduit l'effort, puis on active vite avec votre validation.</w:t>
            </w:r>
          </w:p>
        </w:tc>
      </w:tr>
    </w:tbl>
    <w:p>
      <w:pPr>
        <w:spacing w:after="160"/>
      </w:pPr>
    </w:p>
    <w:p>
      <w:pPr>
        <w:spacing w:before="160" w:after="40" w:line="240" w:lineRule="auto"/>
      </w:pPr>
      <w:r>
        <w:rPr>
          <w:rFonts w:ascii="Aptos" w:hAnsi="Aptos"/>
          <w:b/>
          <w:i w:val="0"/>
          <w:color w:val="FF6A1A"/>
          <w:sz w:val="17"/>
        </w:rPr>
        <w:t>AVANT DIFFUSION EXTERNE</w:t>
      </w:r>
    </w:p>
    <w:p>
      <w:pPr>
        <w:spacing w:before="160" w:after="120" w:line="252" w:lineRule="auto"/>
      </w:pPr>
      <w:r>
        <w:rPr>
          <w:rFonts w:ascii="Georgia" w:hAnsi="Georgia"/>
          <w:b/>
          <w:i w:val="0"/>
          <w:color w:val="21314B"/>
          <w:sz w:val="36"/>
        </w:rPr>
        <w:t>10. Sources et données à compléter</w:t>
      </w:r>
    </w:p>
    <w:p>
      <w:pPr>
        <w:spacing w:before="0" w:after="120" w:line="283" w:lineRule="auto"/>
      </w:pPr>
      <w:r>
        <w:rPr>
          <w:rFonts w:ascii="Aptos" w:hAnsi="Aptos"/>
          <w:b w:val="0"/>
          <w:i w:val="0"/>
          <w:color w:val="0B1220"/>
          <w:sz w:val="19"/>
        </w:rPr>
        <w:t>Base locale utilisée : modules restaurateurs Genève, packs de lancement, gouvernance commerciale, audit produit et contexte TOK. Compléter avant envoi externe avec les preuves réelles : restaurants signés, taux de démo, activation J+14, tables générées, CAC, churn, revenus et marge.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CFDF5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À garder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Ton direct, premium, souriant.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FFF7D6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À ajouter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Cas clients, screenshots validés, chiffres terrain.</w:t>
            </w:r>
          </w:p>
        </w:tc>
        <w:tc>
          <w:tcPr>
            <w:tcW w:type="dxa" w:w="312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shd w:fill="EAF6FF"/>
          </w:tcPr>
          <w:p>
            <w:pPr>
              <w:spacing w:before="0" w:after="40" w:line="264" w:lineRule="auto"/>
              <w:jc w:val="left"/>
            </w:pPr>
            <w:r/>
            <w:r>
              <w:rPr>
                <w:rFonts w:ascii="Aptos" w:hAnsi="Aptos"/>
                <w:b/>
                <w:i w:val="0"/>
                <w:color w:val="0B1220"/>
                <w:sz w:val="20"/>
              </w:rPr>
              <w:t>À mesurer</w:t>
            </w:r>
          </w:p>
          <w:p>
            <w:pPr>
              <w:spacing w:before="0" w:after="40" w:line="264" w:lineRule="auto"/>
              <w:jc w:val="left"/>
            </w:pPr>
            <w:r>
              <w:rPr>
                <w:rFonts w:ascii="Aptos" w:hAnsi="Aptos"/>
                <w:b w:val="0"/>
                <w:i w:val="0"/>
                <w:color w:val="0B1220"/>
                <w:sz w:val="20"/>
              </w:rPr>
              <w:t>Démo -&gt; signé -&gt; activé -&gt; tables.</w:t>
            </w:r>
          </w:p>
        </w:tc>
      </w:tr>
    </w:tbl>
    <w:p>
      <w:pPr>
        <w:spacing w:after="140"/>
      </w:pPr>
    </w:p>
    <w:sectPr w:rsidR="00FC693F" w:rsidRPr="0006063C" w:rsidSect="00034616">
      <w:headerReference w:type="default" r:id="rId9"/>
      <w:pgSz w:w="12240" w:h="15840"/>
      <w:pgMar w:top="1008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4748B"/>
        <w:sz w:val="17"/>
      </w:rPr>
      <w:t>TOK - Playbook commercial digest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12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0B122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