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line="240" w:lineRule="auto"/>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280160" cy="1280160"/>
                    </a:xfrm>
                    <a:prstGeom prst="rect"/>
                  </pic:spPr>
                </pic:pic>
              </a:graphicData>
            </a:graphic>
          </wp:inline>
        </w:drawing>
      </w:r>
    </w:p>
    <w:p>
      <w:pPr>
        <w:spacing w:before="0" w:after="40" w:line="240" w:lineRule="auto"/>
        <w:jc w:val="center"/>
      </w:pPr>
      <w:r>
        <w:rPr>
          <w:rFonts w:ascii="Georgia" w:hAnsi="Georgia"/>
          <w:b/>
          <w:color w:val="21314B"/>
          <w:sz w:val="50"/>
        </w:rPr>
        <w:t>PLAYBOOK COMMERCIAL</w:t>
      </w:r>
    </w:p>
    <w:p>
      <w:pPr>
        <w:spacing w:before="0" w:after="240" w:line="264" w:lineRule="auto"/>
        <w:jc w:val="center"/>
      </w:pPr>
      <w:r>
        <w:rPr>
          <w:rFonts w:ascii="Calibri" w:hAnsi="Calibri"/>
          <w:b/>
          <w:color w:val="FF6A1A"/>
          <w:sz w:val="26"/>
        </w:rPr>
        <w:t>Guide de vente restaurateurs - TOK / TheTok</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160" w:type="dxa"/>
              <w:start w:w="220" w:type="dxa"/>
              <w:bottom w:w="160" w:type="dxa"/>
              <w:end w:w="220" w:type="dxa"/>
            </w:tcMar>
            <w:shd w:fill="FFF2E8"/>
          </w:tcPr>
          <w:p>
            <w:pPr>
              <w:spacing w:before="0" w:after="60" w:line="276" w:lineRule="auto"/>
            </w:pPr>
            <w:r/>
            <w:r>
              <w:rPr>
                <w:rFonts w:ascii="Calibri" w:hAnsi="Calibri"/>
                <w:b/>
                <w:color w:val="FF6A1A"/>
                <w:sz w:val="17"/>
              </w:rPr>
              <w:t>POSITIONNEMENT À TENIR</w:t>
            </w:r>
          </w:p>
          <w:p>
            <w:pPr>
              <w:spacing w:before="0" w:after="0" w:line="288" w:lineRule="auto"/>
            </w:pPr>
            <w:r>
              <w:rPr>
                <w:rFonts w:ascii="Calibri" w:hAnsi="Calibri"/>
                <w:b/>
                <w:color w:val="0B1220"/>
                <w:sz w:val="21"/>
              </w:rPr>
              <w:t>TOK se vend comme une plateforme restaurateur-first : plus de marge protégée, plus de relation directe, plus d'outils opérationnels et plus d'offres locales pour remplir les bons créneaux.</w:t>
            </w:r>
          </w:p>
        </w:tc>
      </w:tr>
    </w:tbl>
    <w:p>
      <w:pPr>
        <w:spacing w:after="80"/>
      </w:pPr>
    </w:p>
    <w:tbl>
      <w:tblPr>
        <w:tblStyle w:val="TableGrid"/>
        <w:tblW w:type="dxa" w:w="9360"/>
        <w:tblLayout w:type="fixed"/>
        <w:tblLook w:firstColumn="1" w:firstRow="1" w:lastColumn="0" w:lastRow="0" w:noHBand="0" w:noVBand="1" w:val="04A0"/>
        <w:jc w:val="center"/>
        <w:tblInd w:w="120" w:type="dxa"/>
      </w:tblPr>
      <w:tblGrid>
        <w:gridCol w:w="2232"/>
        <w:gridCol w:w="7128"/>
      </w:tblGrid>
      <w:tr>
        <w:tc>
          <w:tcPr>
            <w:tcW w:type="dxa" w:w="2232"/>
            <w:vAlign w:val="center"/>
            <w:tcMar>
              <w:top w:w="100" w:type="dxa"/>
              <w:start w:w="140" w:type="dxa"/>
              <w:bottom w:w="100" w:type="dxa"/>
              <w:end w:w="140" w:type="dxa"/>
            </w:tcMar>
            <w:shd w:fill="FF6A1A"/>
          </w:tcPr>
          <w:p>
            <w:pPr>
              <w:spacing w:before="0" w:after="0" w:line="276" w:lineRule="auto"/>
              <w:jc w:val="left"/>
            </w:pPr>
            <w:r/>
            <w:r>
              <w:rPr>
                <w:rFonts w:ascii="Calibri" w:hAnsi="Calibri"/>
                <w:b/>
                <w:color w:val="FFFFFF"/>
                <w:sz w:val="17"/>
              </w:rPr>
              <w:t>Signal</w:t>
            </w:r>
          </w:p>
        </w:tc>
        <w:tc>
          <w:tcPr>
            <w:tcW w:type="dxa" w:w="7128"/>
            <w:vAlign w:val="center"/>
            <w:tcMar>
              <w:top w:w="100" w:type="dxa"/>
              <w:start w:w="140" w:type="dxa"/>
              <w:bottom w:w="100" w:type="dxa"/>
              <w:end w:w="140" w:type="dxa"/>
            </w:tcMar>
            <w:shd w:fill="FF6A1A"/>
          </w:tcPr>
          <w:p>
            <w:pPr>
              <w:spacing w:before="0" w:after="0" w:line="276" w:lineRule="auto"/>
              <w:jc w:val="left"/>
            </w:pPr>
            <w:r/>
            <w:r>
              <w:rPr>
                <w:rFonts w:ascii="Calibri" w:hAnsi="Calibri"/>
                <w:b/>
                <w:color w:val="FFFFFF"/>
                <w:sz w:val="17"/>
              </w:rPr>
              <w:t>Ce que le commercial doit retenir</w:t>
            </w:r>
          </w:p>
        </w:tc>
      </w:tr>
      <w:tr>
        <w:tc>
          <w:tcPr>
            <w:tcW w:type="dxa" w:w="2232"/>
            <w:shd w:fill="FFF8F1"/>
          </w:tcPr>
          <w:p>
            <w:pPr>
              <w:spacing w:before="0" w:after="0" w:line="276" w:lineRule="auto"/>
              <w:jc w:val="left"/>
            </w:pPr>
            <w:r/>
            <w:r>
              <w:rPr>
                <w:rFonts w:ascii="Calibri" w:hAnsi="Calibri"/>
                <w:b/>
                <w:color w:val="21314B"/>
                <w:sz w:val="18"/>
              </w:rPr>
              <w:t>Marché cible</w:t>
            </w:r>
          </w:p>
        </w:tc>
        <w:tc>
          <w:tcPr>
            <w:tcW w:type="dxa" w:w="7128"/>
          </w:tcPr>
          <w:p>
            <w:pPr>
              <w:spacing w:before="0" w:after="0" w:line="276" w:lineRule="auto"/>
              <w:jc w:val="left"/>
            </w:pPr>
            <w:r/>
            <w:r>
              <w:rPr>
                <w:rFonts w:ascii="Calibri" w:hAnsi="Calibri"/>
                <w:b w:val="0"/>
                <w:color w:val="0B1220"/>
                <w:sz w:val="18"/>
              </w:rPr>
              <w:t>Restaurants suisses francophones, avec Genève comme zone d'attaque prioritaire.</w:t>
            </w:r>
          </w:p>
        </w:tc>
      </w:tr>
      <w:tr>
        <w:tc>
          <w:tcPr>
            <w:tcW w:type="dxa" w:w="2232"/>
            <w:shd w:fill="FFF8F1"/>
          </w:tcPr>
          <w:p>
            <w:pPr>
              <w:spacing w:before="0" w:after="0" w:line="276" w:lineRule="auto"/>
              <w:jc w:val="left"/>
            </w:pPr>
            <w:r/>
            <w:r>
              <w:rPr>
                <w:rFonts w:ascii="Calibri" w:hAnsi="Calibri"/>
                <w:b/>
                <w:color w:val="21314B"/>
                <w:sz w:val="18"/>
              </w:rPr>
              <w:t>Promesse B2B</w:t>
            </w:r>
          </w:p>
        </w:tc>
        <w:tc>
          <w:tcPr>
            <w:tcW w:type="dxa" w:w="7128"/>
          </w:tcPr>
          <w:p>
            <w:pPr>
              <w:spacing w:before="0" w:after="0" w:line="276" w:lineRule="auto"/>
              <w:jc w:val="left"/>
            </w:pPr>
            <w:r/>
            <w:r>
              <w:rPr>
                <w:rFonts w:ascii="Calibri" w:hAnsi="Calibri"/>
                <w:b w:val="0"/>
                <w:color w:val="0B1220"/>
                <w:sz w:val="18"/>
              </w:rPr>
              <w:t>Remplir les tables, vendre les heures creuses, améliorer la visibilité et garder une lecture claire des coûts.</w:t>
            </w:r>
          </w:p>
        </w:tc>
      </w:tr>
      <w:tr>
        <w:tc>
          <w:tcPr>
            <w:tcW w:type="dxa" w:w="2232"/>
            <w:shd w:fill="FFF8F1"/>
          </w:tcPr>
          <w:p>
            <w:pPr>
              <w:spacing w:before="0" w:after="0" w:line="276" w:lineRule="auto"/>
              <w:jc w:val="left"/>
            </w:pPr>
            <w:r/>
            <w:r>
              <w:rPr>
                <w:rFonts w:ascii="Calibri" w:hAnsi="Calibri"/>
                <w:b/>
                <w:color w:val="21314B"/>
                <w:sz w:val="18"/>
              </w:rPr>
              <w:t>Preuves produit</w:t>
            </w:r>
          </w:p>
        </w:tc>
        <w:tc>
          <w:tcPr>
            <w:tcW w:type="dxa" w:w="7128"/>
          </w:tcPr>
          <w:p>
            <w:pPr>
              <w:spacing w:before="0" w:after="0" w:line="276" w:lineRule="auto"/>
              <w:jc w:val="left"/>
            </w:pPr>
            <w:r/>
            <w:r>
              <w:rPr>
                <w:rFonts w:ascii="Calibri" w:hAnsi="Calibri"/>
                <w:b w:val="0"/>
                <w:color w:val="0B1220"/>
                <w:sz w:val="18"/>
              </w:rPr>
              <w:t>Dashboard restaurateur, packs de lancement, photos IA, offres anti-gaspi, ventes flash, campagnes, factures, plan de salle et support.</w:t>
            </w:r>
          </w:p>
        </w:tc>
      </w:tr>
      <w:tr>
        <w:tc>
          <w:tcPr>
            <w:tcW w:type="dxa" w:w="2232"/>
            <w:shd w:fill="FFF8F1"/>
          </w:tcPr>
          <w:p>
            <w:pPr>
              <w:spacing w:before="0" w:after="0" w:line="276" w:lineRule="auto"/>
              <w:jc w:val="left"/>
            </w:pPr>
            <w:r/>
            <w:r>
              <w:rPr>
                <w:rFonts w:ascii="Calibri" w:hAnsi="Calibri"/>
                <w:b/>
                <w:color w:val="21314B"/>
                <w:sz w:val="18"/>
              </w:rPr>
              <w:t>Modèle lisible</w:t>
            </w:r>
          </w:p>
        </w:tc>
        <w:tc>
          <w:tcPr>
            <w:tcW w:type="dxa" w:w="7128"/>
          </w:tcPr>
          <w:p>
            <w:pPr>
              <w:spacing w:before="0" w:after="0" w:line="276" w:lineRule="auto"/>
              <w:jc w:val="left"/>
            </w:pPr>
            <w:r/>
            <w:r>
              <w:rPr>
                <w:rFonts w:ascii="Calibri" w:hAnsi="Calibri"/>
                <w:b w:val="0"/>
                <w:color w:val="0B1220"/>
                <w:sz w:val="18"/>
              </w:rPr>
              <w:t>5 CHF/table côté réservation, packs payants, campagnes sponsorisées, Tok One et modules IA selon activation.</w:t>
            </w:r>
          </w:p>
        </w:tc>
      </w:tr>
      <w:tr>
        <w:tc>
          <w:tcPr>
            <w:tcW w:type="dxa" w:w="2232"/>
            <w:shd w:fill="FFF8F1"/>
          </w:tcPr>
          <w:p>
            <w:pPr>
              <w:spacing w:before="0" w:after="0" w:line="276" w:lineRule="auto"/>
              <w:jc w:val="left"/>
            </w:pPr>
            <w:r/>
            <w:r>
              <w:rPr>
                <w:rFonts w:ascii="Calibri" w:hAnsi="Calibri"/>
                <w:b/>
                <w:color w:val="21314B"/>
                <w:sz w:val="18"/>
              </w:rPr>
              <w:t>Règle de vente</w:t>
            </w:r>
          </w:p>
        </w:tc>
        <w:tc>
          <w:tcPr>
            <w:tcW w:type="dxa" w:w="7128"/>
          </w:tcPr>
          <w:p>
            <w:pPr>
              <w:spacing w:before="0" w:after="0" w:line="276" w:lineRule="auto"/>
              <w:jc w:val="left"/>
            </w:pPr>
            <w:r/>
            <w:r>
              <w:rPr>
                <w:rFonts w:ascii="Calibri" w:hAnsi="Calibri"/>
                <w:b w:val="0"/>
                <w:color w:val="0B1220"/>
                <w:sz w:val="18"/>
              </w:rPr>
              <w:t>Ne jamais promettre une automatisation non disponible en production ; vendre le plan d'activation et la trajectoire.</w:t>
            </w:r>
          </w:p>
        </w:tc>
      </w:tr>
    </w:tbl>
    <w:p>
      <w:pPr>
        <w:spacing w:after="120"/>
      </w:pPr>
    </w:p>
    <w:p>
      <w:pPr>
        <w:spacing w:before="0" w:after="0" w:line="300" w:lineRule="auto"/>
        <w:jc w:val="center"/>
      </w:pPr>
      <w:r>
        <w:rPr>
          <w:rFonts w:ascii="Calibri" w:hAnsi="Calibri"/>
          <w:b w:val="0"/>
          <w:i w:val="0"/>
          <w:color w:val="64748B"/>
          <w:sz w:val="18"/>
        </w:rPr>
        <w:t>Version de travail - 07/06/2026</w:t>
      </w:r>
    </w:p>
    <w:p>
      <w:r>
        <w:br w:type="page"/>
      </w:r>
    </w:p>
    <w:p>
      <w:pPr>
        <w:pStyle w:val="Heading1"/>
        <w:spacing w:before="360" w:after="200" w:line="276" w:lineRule="auto"/>
      </w:pPr>
      <w:r>
        <w:rPr>
          <w:rFonts w:ascii="Georgia" w:hAnsi="Georgia"/>
          <w:b/>
          <w:color w:val="21314B"/>
          <w:sz w:val="32"/>
        </w:rPr>
        <w:t>1. Thèse commerciale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160" w:type="dxa"/>
              <w:start w:w="220" w:type="dxa"/>
              <w:bottom w:w="160" w:type="dxa"/>
              <w:end w:w="220" w:type="dxa"/>
            </w:tcMar>
            <w:shd w:fill="FFF2E8"/>
          </w:tcPr>
          <w:p>
            <w:pPr>
              <w:spacing w:before="0" w:after="60" w:line="276" w:lineRule="auto"/>
            </w:pPr>
            <w:r/>
            <w:r>
              <w:rPr>
                <w:rFonts w:ascii="Calibri" w:hAnsi="Calibri"/>
                <w:b/>
                <w:color w:val="FF6A1A"/>
                <w:sz w:val="17"/>
              </w:rPr>
              <w:t>LA PHRASE D'OUVERTURE</w:t>
            </w:r>
          </w:p>
          <w:p>
            <w:pPr>
              <w:spacing w:before="0" w:after="0" w:line="288" w:lineRule="auto"/>
            </w:pPr>
            <w:r>
              <w:rPr>
                <w:rFonts w:ascii="Calibri" w:hAnsi="Calibri"/>
                <w:b/>
                <w:color w:val="0B1220"/>
                <w:sz w:val="21"/>
              </w:rPr>
              <w:t>Nous aidons les restaurants genevois à remplir les tables et créneaux creux sans dépendre d'une plateforme qui capte la marge et la relation client.</w:t>
            </w:r>
          </w:p>
        </w:tc>
      </w:tr>
    </w:tbl>
    <w:p>
      <w:pPr>
        <w:spacing w:after="80"/>
      </w:pPr>
    </w:p>
    <w:p>
      <w:pPr>
        <w:spacing w:before="0" w:after="120" w:line="300" w:lineRule="auto"/>
      </w:pPr>
      <w:r>
        <w:rPr>
          <w:rFonts w:ascii="Calibri" w:hAnsi="Calibri"/>
          <w:b w:val="0"/>
          <w:i w:val="0"/>
          <w:color w:val="0B1220"/>
          <w:sz w:val="22"/>
        </w:rPr>
        <w:t>Le commercial ne vend pas seulement une présence sur une app. Il vend un système : acquisition locale, conversion client, outils de pilotage, contenu premium et discipline financière.</w:t>
      </w:r>
    </w:p>
    <w:p>
      <w:pPr>
        <w:pStyle w:val="ListBullet"/>
        <w:spacing w:before="0" w:after="80" w:line="300" w:lineRule="auto"/>
      </w:pPr>
      <w:r>
        <w:rPr>
          <w:rFonts w:ascii="Calibri" w:hAnsi="Calibri"/>
          <w:color w:val="0B1220"/>
          <w:sz w:val="21"/>
        </w:rPr>
        <w:t>Restaurateur indépendant : priorité au remplissage salle, à la marge et à la visibilité locale.</w:t>
      </w:r>
    </w:p>
    <w:p>
      <w:pPr>
        <w:pStyle w:val="ListBullet"/>
        <w:spacing w:before="0" w:after="80" w:line="300" w:lineRule="auto"/>
      </w:pPr>
      <w:r>
        <w:rPr>
          <w:rFonts w:ascii="Calibri" w:hAnsi="Calibri"/>
          <w:color w:val="0B1220"/>
          <w:sz w:val="21"/>
        </w:rPr>
        <w:t>Restaurant déjà présent sur des plateformes : priorité au coût, à la dépendance et à la relation client.</w:t>
      </w:r>
    </w:p>
    <w:p>
      <w:pPr>
        <w:pStyle w:val="ListBullet"/>
        <w:spacing w:before="0" w:after="80" w:line="300" w:lineRule="auto"/>
      </w:pPr>
      <w:r>
        <w:rPr>
          <w:rFonts w:ascii="Calibri" w:hAnsi="Calibri"/>
          <w:color w:val="0B1220"/>
          <w:sz w:val="21"/>
        </w:rPr>
        <w:t>Restaurant avec belle salle mais creux horaires : priorité aux réservations, offres ciblées, zéro attente et anti-gaspi.</w:t>
      </w:r>
    </w:p>
    <w:p>
      <w:pPr>
        <w:pStyle w:val="ListBullet"/>
        <w:spacing w:before="0" w:after="80" w:line="300" w:lineRule="auto"/>
      </w:pPr>
      <w:r>
        <w:rPr>
          <w:rFonts w:ascii="Calibri" w:hAnsi="Calibri"/>
          <w:color w:val="0B1220"/>
          <w:sz w:val="21"/>
        </w:rPr>
        <w:t>Restaurant avec mauvaise photo/menu : priorité au pack de lancement, menu digital, studio photo IA et campagnes.</w:t>
      </w:r>
    </w:p>
    <w:p>
      <w:pPr>
        <w:pStyle w:val="Heading1"/>
        <w:spacing w:before="360" w:after="200" w:line="276" w:lineRule="auto"/>
      </w:pPr>
      <w:r>
        <w:rPr>
          <w:rFonts w:ascii="Georgia" w:hAnsi="Georgia"/>
          <w:b/>
          <w:color w:val="21314B"/>
          <w:sz w:val="32"/>
        </w:rPr>
        <w:t>2. Cibles prioritaires</w:t>
      </w:r>
    </w:p>
    <w:tbl>
      <w:tblPr>
        <w:tblStyle w:val="TableGrid"/>
        <w:tblW w:type="dxa" w:w="9360"/>
        <w:jc w:val="center"/>
        <w:tblLayout w:type="fixed"/>
        <w:tblLook w:firstColumn="1" w:firstRow="1" w:lastColumn="0" w:lastRow="0" w:noHBand="0" w:noVBand="1" w:val="04A0"/>
        <w:tblInd w:w="120" w:type="dxa"/>
      </w:tblPr>
      <w:tblGrid>
        <w:gridCol w:w="1944"/>
        <w:gridCol w:w="2376"/>
        <w:gridCol w:w="2664"/>
        <w:gridCol w:w="2376"/>
      </w:tblGrid>
      <w:tr>
        <w:tc>
          <w:tcPr>
            <w:tcW w:type="dxa" w:w="1944"/>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Segment</w:t>
            </w:r>
          </w:p>
        </w:tc>
        <w:tc>
          <w:tcPr>
            <w:tcW w:type="dxa" w:w="2376"/>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Douleur probable</w:t>
            </w:r>
          </w:p>
        </w:tc>
        <w:tc>
          <w:tcPr>
            <w:tcW w:type="dxa" w:w="2664"/>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Angle de vente</w:t>
            </w:r>
          </w:p>
        </w:tc>
        <w:tc>
          <w:tcPr>
            <w:tcW w:type="dxa" w:w="2376"/>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Premier produit à montrer</w:t>
            </w:r>
          </w:p>
        </w:tc>
      </w:tr>
      <w:tr>
        <w:tc>
          <w:tcPr>
            <w:tcW w:type="dxa" w:w="1944"/>
            <w:shd w:fill="FFF8F1"/>
          </w:tcPr>
          <w:p>
            <w:pPr>
              <w:spacing w:before="0" w:after="0" w:line="276" w:lineRule="auto"/>
              <w:jc w:val="left"/>
            </w:pPr>
            <w:r/>
            <w:r>
              <w:rPr>
                <w:rFonts w:ascii="Calibri" w:hAnsi="Calibri"/>
                <w:b/>
                <w:color w:val="21314B"/>
                <w:sz w:val="18"/>
              </w:rPr>
              <w:t>Bistrot / brasserie</w:t>
            </w:r>
          </w:p>
        </w:tc>
        <w:tc>
          <w:tcPr>
            <w:tcW w:type="dxa" w:w="2376"/>
          </w:tcPr>
          <w:p>
            <w:pPr>
              <w:spacing w:before="0" w:after="0" w:line="276" w:lineRule="auto"/>
              <w:jc w:val="left"/>
            </w:pPr>
            <w:r/>
            <w:r>
              <w:rPr>
                <w:rFonts w:ascii="Calibri" w:hAnsi="Calibri"/>
                <w:b w:val="0"/>
                <w:color w:val="0B1220"/>
                <w:sz w:val="18"/>
              </w:rPr>
              <w:t>Creux en semaine, dépendance aux habitués</w:t>
            </w:r>
          </w:p>
        </w:tc>
        <w:tc>
          <w:tcPr>
            <w:tcW w:type="dxa" w:w="2664"/>
          </w:tcPr>
          <w:p>
            <w:pPr>
              <w:spacing w:before="0" w:after="0" w:line="276" w:lineRule="auto"/>
              <w:jc w:val="left"/>
            </w:pPr>
            <w:r/>
            <w:r>
              <w:rPr>
                <w:rFonts w:ascii="Calibri" w:hAnsi="Calibri"/>
                <w:b w:val="0"/>
                <w:color w:val="0B1220"/>
                <w:sz w:val="18"/>
              </w:rPr>
              <w:t>Remplissage table + offres horaires</w:t>
            </w:r>
          </w:p>
        </w:tc>
        <w:tc>
          <w:tcPr>
            <w:tcW w:type="dxa" w:w="2376"/>
          </w:tcPr>
          <w:p>
            <w:pPr>
              <w:spacing w:before="0" w:after="0" w:line="276" w:lineRule="auto"/>
              <w:jc w:val="left"/>
            </w:pPr>
            <w:r/>
            <w:r>
              <w:rPr>
                <w:rFonts w:ascii="Calibri" w:hAnsi="Calibri"/>
                <w:b w:val="0"/>
                <w:color w:val="0B1220"/>
                <w:sz w:val="18"/>
              </w:rPr>
              <w:t>Page B2B Genève + simulateur</w:t>
            </w:r>
          </w:p>
        </w:tc>
      </w:tr>
      <w:tr>
        <w:tc>
          <w:tcPr>
            <w:tcW w:type="dxa" w:w="1944"/>
            <w:shd w:fill="FFF8F1"/>
          </w:tcPr>
          <w:p>
            <w:pPr>
              <w:spacing w:before="0" w:after="0" w:line="276" w:lineRule="auto"/>
              <w:jc w:val="left"/>
            </w:pPr>
            <w:r/>
            <w:r>
              <w:rPr>
                <w:rFonts w:ascii="Calibri" w:hAnsi="Calibri"/>
                <w:b/>
                <w:color w:val="21314B"/>
                <w:sz w:val="18"/>
              </w:rPr>
              <w:t>Cuisine rapide premium</w:t>
            </w:r>
          </w:p>
        </w:tc>
        <w:tc>
          <w:tcPr>
            <w:tcW w:type="dxa" w:w="2376"/>
          </w:tcPr>
          <w:p>
            <w:pPr>
              <w:spacing w:before="0" w:after="0" w:line="276" w:lineRule="auto"/>
              <w:jc w:val="left"/>
            </w:pPr>
            <w:r/>
            <w:r>
              <w:rPr>
                <w:rFonts w:ascii="Calibri" w:hAnsi="Calibri"/>
                <w:b w:val="0"/>
                <w:color w:val="0B1220"/>
                <w:sz w:val="18"/>
              </w:rPr>
              <w:t>Visibilité, photos, panier moyen</w:t>
            </w:r>
          </w:p>
        </w:tc>
        <w:tc>
          <w:tcPr>
            <w:tcW w:type="dxa" w:w="2664"/>
          </w:tcPr>
          <w:p>
            <w:pPr>
              <w:spacing w:before="0" w:after="0" w:line="276" w:lineRule="auto"/>
              <w:jc w:val="left"/>
            </w:pPr>
            <w:r/>
            <w:r>
              <w:rPr>
                <w:rFonts w:ascii="Calibri" w:hAnsi="Calibri"/>
                <w:b w:val="0"/>
                <w:color w:val="0B1220"/>
                <w:sz w:val="18"/>
              </w:rPr>
              <w:t>Photos IA + ventes flash + campagnes</w:t>
            </w:r>
          </w:p>
        </w:tc>
        <w:tc>
          <w:tcPr>
            <w:tcW w:type="dxa" w:w="2376"/>
          </w:tcPr>
          <w:p>
            <w:pPr>
              <w:spacing w:before="0" w:after="0" w:line="276" w:lineRule="auto"/>
              <w:jc w:val="left"/>
            </w:pPr>
            <w:r/>
            <w:r>
              <w:rPr>
                <w:rFonts w:ascii="Calibri" w:hAnsi="Calibri"/>
                <w:b w:val="0"/>
                <w:color w:val="0B1220"/>
                <w:sz w:val="18"/>
              </w:rPr>
              <w:t>Dashboard photos et campagnes</w:t>
            </w:r>
          </w:p>
        </w:tc>
      </w:tr>
      <w:tr>
        <w:tc>
          <w:tcPr>
            <w:tcW w:type="dxa" w:w="1944"/>
            <w:shd w:fill="FFF8F1"/>
          </w:tcPr>
          <w:p>
            <w:pPr>
              <w:spacing w:before="0" w:after="0" w:line="276" w:lineRule="auto"/>
              <w:jc w:val="left"/>
            </w:pPr>
            <w:r/>
            <w:r>
              <w:rPr>
                <w:rFonts w:ascii="Calibri" w:hAnsi="Calibri"/>
                <w:b/>
                <w:color w:val="21314B"/>
                <w:sz w:val="18"/>
              </w:rPr>
              <w:t>Restaurant gastronomique accessible</w:t>
            </w:r>
          </w:p>
        </w:tc>
        <w:tc>
          <w:tcPr>
            <w:tcW w:type="dxa" w:w="2376"/>
          </w:tcPr>
          <w:p>
            <w:pPr>
              <w:spacing w:before="0" w:after="0" w:line="276" w:lineRule="auto"/>
              <w:jc w:val="left"/>
            </w:pPr>
            <w:r/>
            <w:r>
              <w:rPr>
                <w:rFonts w:ascii="Calibri" w:hAnsi="Calibri"/>
                <w:b w:val="0"/>
                <w:color w:val="0B1220"/>
                <w:sz w:val="18"/>
              </w:rPr>
              <w:t>Réservation, no-show, expérience</w:t>
            </w:r>
          </w:p>
        </w:tc>
        <w:tc>
          <w:tcPr>
            <w:tcW w:type="dxa" w:w="2664"/>
          </w:tcPr>
          <w:p>
            <w:pPr>
              <w:spacing w:before="0" w:after="0" w:line="276" w:lineRule="auto"/>
              <w:jc w:val="left"/>
            </w:pPr>
            <w:r/>
            <w:r>
              <w:rPr>
                <w:rFonts w:ascii="Calibri" w:hAnsi="Calibri"/>
                <w:b w:val="0"/>
                <w:color w:val="0B1220"/>
                <w:sz w:val="18"/>
              </w:rPr>
              <w:t>Zéro attente + Table du Chef</w:t>
            </w:r>
          </w:p>
        </w:tc>
        <w:tc>
          <w:tcPr>
            <w:tcW w:type="dxa" w:w="2376"/>
          </w:tcPr>
          <w:p>
            <w:pPr>
              <w:spacing w:before="0" w:after="0" w:line="276" w:lineRule="auto"/>
              <w:jc w:val="left"/>
            </w:pPr>
            <w:r/>
            <w:r>
              <w:rPr>
                <w:rFonts w:ascii="Calibri" w:hAnsi="Calibri"/>
                <w:b w:val="0"/>
                <w:color w:val="0B1220"/>
                <w:sz w:val="18"/>
              </w:rPr>
              <w:t>Parcours réservation prépayée</w:t>
            </w:r>
          </w:p>
        </w:tc>
      </w:tr>
      <w:tr>
        <w:tc>
          <w:tcPr>
            <w:tcW w:type="dxa" w:w="1944"/>
            <w:shd w:fill="FFF8F1"/>
          </w:tcPr>
          <w:p>
            <w:pPr>
              <w:spacing w:before="0" w:after="0" w:line="276" w:lineRule="auto"/>
              <w:jc w:val="left"/>
            </w:pPr>
            <w:r/>
            <w:r>
              <w:rPr>
                <w:rFonts w:ascii="Calibri" w:hAnsi="Calibri"/>
                <w:b/>
                <w:color w:val="21314B"/>
                <w:sz w:val="18"/>
              </w:rPr>
              <w:t>Nouveau restaurant</w:t>
            </w:r>
          </w:p>
        </w:tc>
        <w:tc>
          <w:tcPr>
            <w:tcW w:type="dxa" w:w="2376"/>
          </w:tcPr>
          <w:p>
            <w:pPr>
              <w:spacing w:before="0" w:after="0" w:line="276" w:lineRule="auto"/>
              <w:jc w:val="left"/>
            </w:pPr>
            <w:r/>
            <w:r>
              <w:rPr>
                <w:rFonts w:ascii="Calibri" w:hAnsi="Calibri"/>
                <w:b w:val="0"/>
                <w:color w:val="0B1220"/>
                <w:sz w:val="18"/>
              </w:rPr>
              <w:t>Lancement, carte, notoriété</w:t>
            </w:r>
          </w:p>
        </w:tc>
        <w:tc>
          <w:tcPr>
            <w:tcW w:type="dxa" w:w="2664"/>
          </w:tcPr>
          <w:p>
            <w:pPr>
              <w:spacing w:before="0" w:after="0" w:line="276" w:lineRule="auto"/>
              <w:jc w:val="left"/>
            </w:pPr>
            <w:r/>
            <w:r>
              <w:rPr>
                <w:rFonts w:ascii="Calibri" w:hAnsi="Calibri"/>
                <w:b w:val="0"/>
                <w:color w:val="0B1220"/>
                <w:sz w:val="18"/>
              </w:rPr>
              <w:t>Pack Pro ou Premium</w:t>
            </w:r>
          </w:p>
        </w:tc>
        <w:tc>
          <w:tcPr>
            <w:tcW w:type="dxa" w:w="2376"/>
          </w:tcPr>
          <w:p>
            <w:pPr>
              <w:spacing w:before="0" w:after="0" w:line="276" w:lineRule="auto"/>
              <w:jc w:val="left"/>
            </w:pPr>
            <w:r/>
            <w:r>
              <w:rPr>
                <w:rFonts w:ascii="Calibri" w:hAnsi="Calibri"/>
                <w:b w:val="0"/>
                <w:color w:val="0B1220"/>
                <w:sz w:val="18"/>
              </w:rPr>
              <w:t>Packs de lancement</w:t>
            </w:r>
          </w:p>
        </w:tc>
      </w:tr>
      <w:tr>
        <w:tc>
          <w:tcPr>
            <w:tcW w:type="dxa" w:w="1944"/>
            <w:shd w:fill="FFF8F1"/>
          </w:tcPr>
          <w:p>
            <w:pPr>
              <w:spacing w:before="0" w:after="0" w:line="276" w:lineRule="auto"/>
              <w:jc w:val="left"/>
            </w:pPr>
            <w:r/>
            <w:r>
              <w:rPr>
                <w:rFonts w:ascii="Calibri" w:hAnsi="Calibri"/>
                <w:b/>
                <w:color w:val="21314B"/>
                <w:sz w:val="18"/>
              </w:rPr>
              <w:t>Restaurant déjà livré</w:t>
            </w:r>
          </w:p>
        </w:tc>
        <w:tc>
          <w:tcPr>
            <w:tcW w:type="dxa" w:w="2376"/>
          </w:tcPr>
          <w:p>
            <w:pPr>
              <w:spacing w:before="0" w:after="0" w:line="276" w:lineRule="auto"/>
              <w:jc w:val="left"/>
            </w:pPr>
            <w:r/>
            <w:r>
              <w:rPr>
                <w:rFonts w:ascii="Calibri" w:hAnsi="Calibri"/>
                <w:b w:val="0"/>
                <w:color w:val="0B1220"/>
                <w:sz w:val="18"/>
              </w:rPr>
              <w:t>Commission et relation client captée</w:t>
            </w:r>
          </w:p>
        </w:tc>
        <w:tc>
          <w:tcPr>
            <w:tcW w:type="dxa" w:w="2664"/>
          </w:tcPr>
          <w:p>
            <w:pPr>
              <w:spacing w:before="0" w:after="0" w:line="276" w:lineRule="auto"/>
              <w:jc w:val="left"/>
            </w:pPr>
            <w:r/>
            <w:r>
              <w:rPr>
                <w:rFonts w:ascii="Calibri" w:hAnsi="Calibri"/>
                <w:b w:val="0"/>
                <w:color w:val="0B1220"/>
                <w:sz w:val="18"/>
              </w:rPr>
              <w:t>Modèle plus lisible + CRM local</w:t>
            </w:r>
          </w:p>
        </w:tc>
        <w:tc>
          <w:tcPr>
            <w:tcW w:type="dxa" w:w="2376"/>
          </w:tcPr>
          <w:p>
            <w:pPr>
              <w:spacing w:before="0" w:after="0" w:line="276" w:lineRule="auto"/>
              <w:jc w:val="left"/>
            </w:pPr>
            <w:r/>
            <w:r>
              <w:rPr>
                <w:rFonts w:ascii="Calibri" w:hAnsi="Calibri"/>
                <w:b w:val="0"/>
                <w:color w:val="0B1220"/>
                <w:sz w:val="18"/>
              </w:rPr>
              <w:t>Comparatif TOK vs plateformes classiques</w:t>
            </w:r>
          </w:p>
        </w:tc>
      </w:tr>
    </w:tbl>
    <w:p>
      <w:pPr>
        <w:spacing w:after="120"/>
      </w:pPr>
    </w:p>
    <w:p>
      <w:pPr>
        <w:pStyle w:val="Heading1"/>
        <w:spacing w:before="360" w:after="200" w:line="276" w:lineRule="auto"/>
      </w:pPr>
      <w:r>
        <w:rPr>
          <w:rFonts w:ascii="Georgia" w:hAnsi="Georgia"/>
          <w:b/>
          <w:color w:val="21314B"/>
          <w:sz w:val="32"/>
        </w:rPr>
        <w:t>3. Qualification en 7 minutes</w:t>
      </w:r>
    </w:p>
    <w:p>
      <w:pPr>
        <w:pStyle w:val="ListNumber"/>
        <w:spacing w:before="0" w:after="80" w:line="300" w:lineRule="auto"/>
      </w:pPr>
      <w:r>
        <w:rPr>
          <w:rFonts w:ascii="Calibri" w:hAnsi="Calibri"/>
          <w:color w:val="0B1220"/>
          <w:sz w:val="21"/>
        </w:rPr>
        <w:t>Quel service est le plus difficile à remplir aujourd'hui : midi, soir, semaine, dimanche ou fin de service ?</w:t>
      </w:r>
    </w:p>
    <w:p>
      <w:pPr>
        <w:pStyle w:val="ListNumber"/>
        <w:spacing w:before="0" w:after="80" w:line="300" w:lineRule="auto"/>
      </w:pPr>
      <w:r>
        <w:rPr>
          <w:rFonts w:ascii="Calibri" w:hAnsi="Calibri"/>
          <w:color w:val="0B1220"/>
          <w:sz w:val="21"/>
        </w:rPr>
        <w:t>Combien de tables couverts par mois voulez-vous ajouter sans casser l'équipe ?</w:t>
      </w:r>
    </w:p>
    <w:p>
      <w:pPr>
        <w:pStyle w:val="ListNumber"/>
        <w:spacing w:before="0" w:after="80" w:line="300" w:lineRule="auto"/>
      </w:pPr>
      <w:r>
        <w:rPr>
          <w:rFonts w:ascii="Calibri" w:hAnsi="Calibri"/>
          <w:color w:val="0B1220"/>
          <w:sz w:val="21"/>
        </w:rPr>
        <w:t>Quel est votre ticket moyen et votre marge ressentie sur les plateformes actuelles ?</w:t>
      </w:r>
    </w:p>
    <w:p>
      <w:pPr>
        <w:pStyle w:val="ListNumber"/>
        <w:spacing w:before="0" w:after="80" w:line="300" w:lineRule="auto"/>
      </w:pPr>
      <w:r>
        <w:rPr>
          <w:rFonts w:ascii="Calibri" w:hAnsi="Calibri"/>
          <w:color w:val="0B1220"/>
          <w:sz w:val="21"/>
        </w:rPr>
        <w:t>Avez-vous des photos de plats suffisamment bonnes pour convertir en ligne ?</w:t>
      </w:r>
    </w:p>
    <w:p>
      <w:pPr>
        <w:pStyle w:val="ListNumber"/>
        <w:spacing w:before="0" w:after="80" w:line="300" w:lineRule="auto"/>
      </w:pPr>
      <w:r>
        <w:rPr>
          <w:rFonts w:ascii="Calibri" w:hAnsi="Calibri"/>
          <w:color w:val="0B1220"/>
          <w:sz w:val="21"/>
        </w:rPr>
        <w:t>Quels canaux vous apportent vraiment des clients récurrents aujourd'hui ?</w:t>
      </w:r>
    </w:p>
    <w:p>
      <w:pPr>
        <w:pStyle w:val="ListNumber"/>
        <w:spacing w:before="0" w:after="80" w:line="300" w:lineRule="auto"/>
      </w:pPr>
      <w:r>
        <w:rPr>
          <w:rFonts w:ascii="Calibri" w:hAnsi="Calibri"/>
          <w:color w:val="0B1220"/>
          <w:sz w:val="21"/>
        </w:rPr>
        <w:t>Qui gère les réservations, les offres et les avis dans l'équipe ?</w:t>
      </w:r>
    </w:p>
    <w:p>
      <w:pPr>
        <w:pStyle w:val="ListNumber"/>
        <w:spacing w:before="0" w:after="80" w:line="300" w:lineRule="auto"/>
      </w:pPr>
      <w:r>
        <w:rPr>
          <w:rFonts w:ascii="Calibri" w:hAnsi="Calibri"/>
          <w:color w:val="0B1220"/>
          <w:sz w:val="21"/>
        </w:rPr>
        <w:t>Si TOK vous apporte X tables qualifiées ce mois-ci, quel serait le coût acceptable ?</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160" w:type="dxa"/>
              <w:start w:w="220" w:type="dxa"/>
              <w:bottom w:w="160" w:type="dxa"/>
              <w:end w:w="220" w:type="dxa"/>
            </w:tcMar>
            <w:shd w:fill="ECFDF5"/>
          </w:tcPr>
          <w:p>
            <w:pPr>
              <w:spacing w:before="0" w:after="60" w:line="276" w:lineRule="auto"/>
            </w:pPr>
            <w:r/>
            <w:r>
              <w:rPr>
                <w:rFonts w:ascii="Calibri" w:hAnsi="Calibri"/>
                <w:b/>
                <w:color w:val="16A874"/>
                <w:sz w:val="17"/>
              </w:rPr>
              <w:t>RÈGLE MEDDIC SIMPLIFIÉE</w:t>
            </w:r>
          </w:p>
          <w:p>
            <w:pPr>
              <w:spacing w:before="0" w:after="0" w:line="288" w:lineRule="auto"/>
            </w:pPr>
            <w:r>
              <w:rPr>
                <w:rFonts w:ascii="Calibri" w:hAnsi="Calibri"/>
                <w:b/>
                <w:color w:val="0B1220"/>
                <w:sz w:val="21"/>
              </w:rPr>
              <w:t>Le deal est qualifié uniquement si le commercial identifie un besoin mesurable, un décideur, une contrainte opérationnelle et une prochaine étape datée.</w:t>
            </w:r>
          </w:p>
        </w:tc>
      </w:tr>
    </w:tbl>
    <w:p>
      <w:pPr>
        <w:spacing w:after="80"/>
      </w:pPr>
    </w:p>
    <w:p>
      <w:r>
        <w:br w:type="page"/>
      </w:r>
    </w:p>
    <w:p>
      <w:pPr>
        <w:pStyle w:val="Heading1"/>
        <w:spacing w:before="360" w:after="200" w:line="276" w:lineRule="auto"/>
      </w:pPr>
      <w:r>
        <w:rPr>
          <w:rFonts w:ascii="Georgia" w:hAnsi="Georgia"/>
          <w:b/>
          <w:color w:val="21314B"/>
          <w:sz w:val="32"/>
        </w:rPr>
        <w:t>4. Architecture de l'offre</w:t>
      </w:r>
    </w:p>
    <w:p>
      <w:pPr>
        <w:spacing w:before="0" w:after="120" w:line="300" w:lineRule="auto"/>
      </w:pPr>
      <w:r>
        <w:rPr>
          <w:rFonts w:ascii="Calibri" w:hAnsi="Calibri"/>
          <w:b w:val="0"/>
          <w:i w:val="0"/>
          <w:color w:val="0B1220"/>
          <w:sz w:val="22"/>
        </w:rPr>
        <w:t>L'offre se présente en escalier. Le but est d'éviter une vente trop large et de choisir un point d'entrée cohérent avec le besoin.</w:t>
      </w:r>
    </w:p>
    <w:tbl>
      <w:tblPr>
        <w:tblStyle w:val="TableGrid"/>
        <w:tblW w:type="dxa" w:w="9360"/>
        <w:jc w:val="center"/>
        <w:tblLayout w:type="fixed"/>
        <w:tblLook w:firstColumn="1" w:firstRow="1" w:lastColumn="0" w:lastRow="0" w:noHBand="0" w:noVBand="1" w:val="04A0"/>
        <w:tblInd w:w="120" w:type="dxa"/>
      </w:tblPr>
      <w:tblGrid>
        <w:gridCol w:w="1944"/>
        <w:gridCol w:w="1944"/>
        <w:gridCol w:w="2736"/>
        <w:gridCol w:w="2736"/>
      </w:tblGrid>
      <w:tr>
        <w:tc>
          <w:tcPr>
            <w:tcW w:type="dxa" w:w="1944"/>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Offre</w:t>
            </w:r>
          </w:p>
        </w:tc>
        <w:tc>
          <w:tcPr>
            <w:tcW w:type="dxa" w:w="1944"/>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Prix / logique</w:t>
            </w:r>
          </w:p>
        </w:tc>
        <w:tc>
          <w:tcPr>
            <w:tcW w:type="dxa" w:w="2736"/>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Quand la proposer</w:t>
            </w:r>
          </w:p>
        </w:tc>
        <w:tc>
          <w:tcPr>
            <w:tcW w:type="dxa" w:w="2736"/>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Message court</w:t>
            </w:r>
          </w:p>
        </w:tc>
      </w:tr>
      <w:tr>
        <w:tc>
          <w:tcPr>
            <w:tcW w:type="dxa" w:w="1944"/>
            <w:shd w:fill="FFF8F1"/>
          </w:tcPr>
          <w:p>
            <w:pPr>
              <w:spacing w:before="0" w:after="0" w:line="276" w:lineRule="auto"/>
              <w:jc w:val="left"/>
            </w:pPr>
            <w:r/>
            <w:r>
              <w:rPr>
                <w:rFonts w:ascii="Calibri" w:hAnsi="Calibri"/>
                <w:b/>
                <w:color w:val="21314B"/>
                <w:sz w:val="18"/>
              </w:rPr>
              <w:t>Pack Découverte</w:t>
            </w:r>
          </w:p>
        </w:tc>
        <w:tc>
          <w:tcPr>
            <w:tcW w:type="dxa" w:w="1944"/>
          </w:tcPr>
          <w:p>
            <w:pPr>
              <w:spacing w:before="0" w:after="0" w:line="276" w:lineRule="auto"/>
              <w:jc w:val="left"/>
            </w:pPr>
            <w:r/>
            <w:r>
              <w:rPr>
                <w:rFonts w:ascii="Calibri" w:hAnsi="Calibri"/>
                <w:b w:val="0"/>
                <w:color w:val="0B1220"/>
                <w:sz w:val="18"/>
              </w:rPr>
              <w:t>490 CHF - paiement unique</w:t>
            </w:r>
          </w:p>
        </w:tc>
        <w:tc>
          <w:tcPr>
            <w:tcW w:type="dxa" w:w="2736"/>
          </w:tcPr>
          <w:p>
            <w:pPr>
              <w:spacing w:before="0" w:after="0" w:line="276" w:lineRule="auto"/>
              <w:jc w:val="left"/>
            </w:pPr>
            <w:r/>
            <w:r>
              <w:rPr>
                <w:rFonts w:ascii="Calibri" w:hAnsi="Calibri"/>
                <w:b w:val="0"/>
                <w:color w:val="0B1220"/>
                <w:sz w:val="18"/>
              </w:rPr>
              <w:t>Restaurant qui veut tester la plateforme proprement</w:t>
            </w:r>
          </w:p>
        </w:tc>
        <w:tc>
          <w:tcPr>
            <w:tcW w:type="dxa" w:w="2736"/>
          </w:tcPr>
          <w:p>
            <w:pPr>
              <w:spacing w:before="0" w:after="0" w:line="276" w:lineRule="auto"/>
              <w:jc w:val="left"/>
            </w:pPr>
            <w:r/>
            <w:r>
              <w:rPr>
                <w:rFonts w:ascii="Calibri" w:hAnsi="Calibri"/>
                <w:b w:val="0"/>
                <w:color w:val="0B1220"/>
                <w:sz w:val="18"/>
              </w:rPr>
              <w:t>On met en place le socle et le menu digital.</w:t>
            </w:r>
          </w:p>
        </w:tc>
      </w:tr>
      <w:tr>
        <w:tc>
          <w:tcPr>
            <w:tcW w:type="dxa" w:w="1944"/>
            <w:shd w:fill="FFF8F1"/>
          </w:tcPr>
          <w:p>
            <w:pPr>
              <w:spacing w:before="0" w:after="0" w:line="276" w:lineRule="auto"/>
              <w:jc w:val="left"/>
            </w:pPr>
            <w:r/>
            <w:r>
              <w:rPr>
                <w:rFonts w:ascii="Calibri" w:hAnsi="Calibri"/>
                <w:b/>
                <w:color w:val="21314B"/>
                <w:sz w:val="18"/>
              </w:rPr>
              <w:t>Pack Essentiel</w:t>
            </w:r>
          </w:p>
        </w:tc>
        <w:tc>
          <w:tcPr>
            <w:tcW w:type="dxa" w:w="1944"/>
          </w:tcPr>
          <w:p>
            <w:pPr>
              <w:spacing w:before="0" w:after="0" w:line="276" w:lineRule="auto"/>
              <w:jc w:val="left"/>
            </w:pPr>
            <w:r/>
            <w:r>
              <w:rPr>
                <w:rFonts w:ascii="Calibri" w:hAnsi="Calibri"/>
                <w:b w:val="0"/>
                <w:color w:val="0B1220"/>
                <w:sz w:val="18"/>
              </w:rPr>
              <w:t>990 CHF - paiement unique</w:t>
            </w:r>
          </w:p>
        </w:tc>
        <w:tc>
          <w:tcPr>
            <w:tcW w:type="dxa" w:w="2736"/>
          </w:tcPr>
          <w:p>
            <w:pPr>
              <w:spacing w:before="0" w:after="0" w:line="276" w:lineRule="auto"/>
              <w:jc w:val="left"/>
            </w:pPr>
            <w:r/>
            <w:r>
              <w:rPr>
                <w:rFonts w:ascii="Calibri" w:hAnsi="Calibri"/>
                <w:b w:val="0"/>
                <w:color w:val="0B1220"/>
                <w:sz w:val="18"/>
              </w:rPr>
              <w:t>Restaurant qui manque de photos et présence digitale</w:t>
            </w:r>
          </w:p>
        </w:tc>
        <w:tc>
          <w:tcPr>
            <w:tcW w:type="dxa" w:w="2736"/>
          </w:tcPr>
          <w:p>
            <w:pPr>
              <w:spacing w:before="0" w:after="0" w:line="276" w:lineRule="auto"/>
              <w:jc w:val="left"/>
            </w:pPr>
            <w:r/>
            <w:r>
              <w:rPr>
                <w:rFonts w:ascii="Calibri" w:hAnsi="Calibri"/>
                <w:b w:val="0"/>
                <w:color w:val="0B1220"/>
                <w:sz w:val="18"/>
              </w:rPr>
              <w:t>On rend le restaurant présentable et vendable.</w:t>
            </w:r>
          </w:p>
        </w:tc>
      </w:tr>
      <w:tr>
        <w:tc>
          <w:tcPr>
            <w:tcW w:type="dxa" w:w="1944"/>
            <w:shd w:fill="FFF8F1"/>
          </w:tcPr>
          <w:p>
            <w:pPr>
              <w:spacing w:before="0" w:after="0" w:line="276" w:lineRule="auto"/>
              <w:jc w:val="left"/>
            </w:pPr>
            <w:r/>
            <w:r>
              <w:rPr>
                <w:rFonts w:ascii="Calibri" w:hAnsi="Calibri"/>
                <w:b/>
                <w:color w:val="21314B"/>
                <w:sz w:val="18"/>
              </w:rPr>
              <w:t>Pack Pro</w:t>
            </w:r>
          </w:p>
        </w:tc>
        <w:tc>
          <w:tcPr>
            <w:tcW w:type="dxa" w:w="1944"/>
          </w:tcPr>
          <w:p>
            <w:pPr>
              <w:spacing w:before="0" w:after="0" w:line="276" w:lineRule="auto"/>
              <w:jc w:val="left"/>
            </w:pPr>
            <w:r/>
            <w:r>
              <w:rPr>
                <w:rFonts w:ascii="Calibri" w:hAnsi="Calibri"/>
                <w:b w:val="0"/>
                <w:color w:val="0B1220"/>
                <w:sz w:val="18"/>
              </w:rPr>
              <w:t>1'990 CHF - populaire</w:t>
            </w:r>
          </w:p>
        </w:tc>
        <w:tc>
          <w:tcPr>
            <w:tcW w:type="dxa" w:w="2736"/>
          </w:tcPr>
          <w:p>
            <w:pPr>
              <w:spacing w:before="0" w:after="0" w:line="276" w:lineRule="auto"/>
              <w:jc w:val="left"/>
            </w:pPr>
            <w:r/>
            <w:r>
              <w:rPr>
                <w:rFonts w:ascii="Calibri" w:hAnsi="Calibri"/>
                <w:b w:val="0"/>
                <w:color w:val="0B1220"/>
                <w:sz w:val="18"/>
              </w:rPr>
              <w:t>Restaurant prêt à lancer visibilité + campagnes</w:t>
            </w:r>
          </w:p>
        </w:tc>
        <w:tc>
          <w:tcPr>
            <w:tcW w:type="dxa" w:w="2736"/>
          </w:tcPr>
          <w:p>
            <w:pPr>
              <w:spacing w:before="0" w:after="0" w:line="276" w:lineRule="auto"/>
              <w:jc w:val="left"/>
            </w:pPr>
            <w:r/>
            <w:r>
              <w:rPr>
                <w:rFonts w:ascii="Calibri" w:hAnsi="Calibri"/>
                <w:b w:val="0"/>
                <w:color w:val="0B1220"/>
                <w:sz w:val="18"/>
              </w:rPr>
              <w:t>On lance proprement : menu, photos, campagne, plan de salle.</w:t>
            </w:r>
          </w:p>
        </w:tc>
      </w:tr>
      <w:tr>
        <w:tc>
          <w:tcPr>
            <w:tcW w:type="dxa" w:w="1944"/>
            <w:shd w:fill="FFF8F1"/>
          </w:tcPr>
          <w:p>
            <w:pPr>
              <w:spacing w:before="0" w:after="0" w:line="276" w:lineRule="auto"/>
              <w:jc w:val="left"/>
            </w:pPr>
            <w:r/>
            <w:r>
              <w:rPr>
                <w:rFonts w:ascii="Calibri" w:hAnsi="Calibri"/>
                <w:b/>
                <w:color w:val="21314B"/>
                <w:sz w:val="18"/>
              </w:rPr>
              <w:t>Pack Premium</w:t>
            </w:r>
          </w:p>
        </w:tc>
        <w:tc>
          <w:tcPr>
            <w:tcW w:type="dxa" w:w="1944"/>
          </w:tcPr>
          <w:p>
            <w:pPr>
              <w:spacing w:before="0" w:after="0" w:line="276" w:lineRule="auto"/>
              <w:jc w:val="left"/>
            </w:pPr>
            <w:r/>
            <w:r>
              <w:rPr>
                <w:rFonts w:ascii="Calibri" w:hAnsi="Calibri"/>
                <w:b w:val="0"/>
                <w:color w:val="0B1220"/>
                <w:sz w:val="18"/>
              </w:rPr>
              <w:t>3'490 CHF - VIP</w:t>
            </w:r>
          </w:p>
        </w:tc>
        <w:tc>
          <w:tcPr>
            <w:tcW w:type="dxa" w:w="2736"/>
          </w:tcPr>
          <w:p>
            <w:pPr>
              <w:spacing w:before="0" w:after="0" w:line="276" w:lineRule="auto"/>
              <w:jc w:val="left"/>
            </w:pPr>
            <w:r/>
            <w:r>
              <w:rPr>
                <w:rFonts w:ascii="Calibri" w:hAnsi="Calibri"/>
                <w:b w:val="0"/>
                <w:color w:val="0B1220"/>
                <w:sz w:val="18"/>
              </w:rPr>
              <w:t>Restaurant à fort potentiel ou multi-sites</w:t>
            </w:r>
          </w:p>
        </w:tc>
        <w:tc>
          <w:tcPr>
            <w:tcW w:type="dxa" w:w="2736"/>
          </w:tcPr>
          <w:p>
            <w:pPr>
              <w:spacing w:before="0" w:after="0" w:line="276" w:lineRule="auto"/>
              <w:jc w:val="left"/>
            </w:pPr>
            <w:r/>
            <w:r>
              <w:rPr>
                <w:rFonts w:ascii="Calibri" w:hAnsi="Calibri"/>
                <w:b w:val="0"/>
                <w:color w:val="0B1220"/>
                <w:sz w:val="18"/>
              </w:rPr>
              <w:t>On traite le lancement comme une vraie opération commerciale.</w:t>
            </w:r>
          </w:p>
        </w:tc>
      </w:tr>
      <w:tr>
        <w:tc>
          <w:tcPr>
            <w:tcW w:type="dxa" w:w="1944"/>
            <w:shd w:fill="FFF8F1"/>
          </w:tcPr>
          <w:p>
            <w:pPr>
              <w:spacing w:before="0" w:after="0" w:line="276" w:lineRule="auto"/>
              <w:jc w:val="left"/>
            </w:pPr>
            <w:r/>
            <w:r>
              <w:rPr>
                <w:rFonts w:ascii="Calibri" w:hAnsi="Calibri"/>
                <w:b/>
                <w:color w:val="21314B"/>
                <w:sz w:val="18"/>
              </w:rPr>
              <w:t>Réservations</w:t>
            </w:r>
          </w:p>
        </w:tc>
        <w:tc>
          <w:tcPr>
            <w:tcW w:type="dxa" w:w="1944"/>
          </w:tcPr>
          <w:p>
            <w:pPr>
              <w:spacing w:before="0" w:after="0" w:line="276" w:lineRule="auto"/>
              <w:jc w:val="left"/>
            </w:pPr>
            <w:r/>
            <w:r>
              <w:rPr>
                <w:rFonts w:ascii="Calibri" w:hAnsi="Calibri"/>
                <w:b w:val="0"/>
                <w:color w:val="0B1220"/>
                <w:sz w:val="18"/>
              </w:rPr>
              <w:t>5 CHF/table confirmée</w:t>
            </w:r>
          </w:p>
        </w:tc>
        <w:tc>
          <w:tcPr>
            <w:tcW w:type="dxa" w:w="2736"/>
          </w:tcPr>
          <w:p>
            <w:pPr>
              <w:spacing w:before="0" w:after="0" w:line="276" w:lineRule="auto"/>
              <w:jc w:val="left"/>
            </w:pPr>
            <w:r/>
            <w:r>
              <w:rPr>
                <w:rFonts w:ascii="Calibri" w:hAnsi="Calibri"/>
                <w:b w:val="0"/>
                <w:color w:val="0B1220"/>
                <w:sz w:val="18"/>
              </w:rPr>
              <w:t>Salle à remplir, créneaux à valoriser</w:t>
            </w:r>
          </w:p>
        </w:tc>
        <w:tc>
          <w:tcPr>
            <w:tcW w:type="dxa" w:w="2736"/>
          </w:tcPr>
          <w:p>
            <w:pPr>
              <w:spacing w:before="0" w:after="0" w:line="276" w:lineRule="auto"/>
              <w:jc w:val="left"/>
            </w:pPr>
            <w:r/>
            <w:r>
              <w:rPr>
                <w:rFonts w:ascii="Calibri" w:hAnsi="Calibri"/>
                <w:b w:val="0"/>
                <w:color w:val="0B1220"/>
                <w:sz w:val="18"/>
              </w:rPr>
              <w:t>Coût lisible, lié à l'usage réel.</w:t>
            </w:r>
          </w:p>
        </w:tc>
      </w:tr>
      <w:tr>
        <w:tc>
          <w:tcPr>
            <w:tcW w:type="dxa" w:w="1944"/>
            <w:shd w:fill="FFF8F1"/>
          </w:tcPr>
          <w:p>
            <w:pPr>
              <w:spacing w:before="0" w:after="0" w:line="276" w:lineRule="auto"/>
              <w:jc w:val="left"/>
            </w:pPr>
            <w:r/>
            <w:r>
              <w:rPr>
                <w:rFonts w:ascii="Calibri" w:hAnsi="Calibri"/>
                <w:b/>
                <w:color w:val="21314B"/>
                <w:sz w:val="18"/>
              </w:rPr>
              <w:t>Campagnes</w:t>
            </w:r>
          </w:p>
        </w:tc>
        <w:tc>
          <w:tcPr>
            <w:tcW w:type="dxa" w:w="1944"/>
          </w:tcPr>
          <w:p>
            <w:pPr>
              <w:spacing w:before="0" w:after="0" w:line="276" w:lineRule="auto"/>
              <w:jc w:val="left"/>
            </w:pPr>
            <w:r/>
            <w:r>
              <w:rPr>
                <w:rFonts w:ascii="Calibri" w:hAnsi="Calibri"/>
                <w:b w:val="0"/>
                <w:color w:val="0B1220"/>
                <w:sz w:val="18"/>
              </w:rPr>
              <w:t>CPM/CPC/CPA selon stratégie</w:t>
            </w:r>
          </w:p>
        </w:tc>
        <w:tc>
          <w:tcPr>
            <w:tcW w:type="dxa" w:w="2736"/>
          </w:tcPr>
          <w:p>
            <w:pPr>
              <w:spacing w:before="0" w:after="0" w:line="276" w:lineRule="auto"/>
              <w:jc w:val="left"/>
            </w:pPr>
            <w:r/>
            <w:r>
              <w:rPr>
                <w:rFonts w:ascii="Calibri" w:hAnsi="Calibri"/>
                <w:b w:val="0"/>
                <w:color w:val="0B1220"/>
                <w:sz w:val="18"/>
              </w:rPr>
              <w:t>Besoin de trafic ou conversion</w:t>
            </w:r>
          </w:p>
        </w:tc>
        <w:tc>
          <w:tcPr>
            <w:tcW w:type="dxa" w:w="2736"/>
          </w:tcPr>
          <w:p>
            <w:pPr>
              <w:spacing w:before="0" w:after="0" w:line="276" w:lineRule="auto"/>
              <w:jc w:val="left"/>
            </w:pPr>
            <w:r/>
            <w:r>
              <w:rPr>
                <w:rFonts w:ascii="Calibri" w:hAnsi="Calibri"/>
                <w:b w:val="0"/>
                <w:color w:val="0B1220"/>
                <w:sz w:val="18"/>
              </w:rPr>
              <w:t>On teste, mesure et réalloue.</w:t>
            </w:r>
          </w:p>
        </w:tc>
      </w:tr>
    </w:tbl>
    <w:p>
      <w:pPr>
        <w:spacing w:after="120"/>
      </w:pPr>
    </w:p>
    <w:p>
      <w:pPr>
        <w:pStyle w:val="Heading1"/>
        <w:spacing w:before="360" w:after="200" w:line="276" w:lineRule="auto"/>
      </w:pPr>
      <w:r>
        <w:rPr>
          <w:rFonts w:ascii="Georgia" w:hAnsi="Georgia"/>
          <w:b/>
          <w:color w:val="21314B"/>
          <w:sz w:val="32"/>
        </w:rPr>
        <w:t>5. Ce qu'il faut démo en priorité</w:t>
      </w:r>
    </w:p>
    <w:tbl>
      <w:tblPr>
        <w:tblStyle w:val="TableGrid"/>
        <w:tblW w:type="dxa" w:w="9360"/>
        <w:jc w:val="center"/>
        <w:tblLayout w:type="fixed"/>
        <w:tblLook w:firstColumn="1" w:firstRow="1" w:lastColumn="0" w:lastRow="0" w:noHBand="0" w:noVBand="1" w:val="04A0"/>
        <w:tblInd w:w="120" w:type="dxa"/>
      </w:tblPr>
      <w:tblGrid>
        <w:gridCol w:w="1440"/>
        <w:gridCol w:w="2520"/>
        <w:gridCol w:w="5400"/>
      </w:tblGrid>
      <w:tr>
        <w:tc>
          <w:tcPr>
            <w:tcW w:type="dxa" w:w="1440"/>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Moment</w:t>
            </w:r>
          </w:p>
        </w:tc>
        <w:tc>
          <w:tcPr>
            <w:tcW w:type="dxa" w:w="2520"/>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Écran / module</w:t>
            </w:r>
          </w:p>
        </w:tc>
        <w:tc>
          <w:tcPr>
            <w:tcW w:type="dxa" w:w="5400"/>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Preuve à verbaliser</w:t>
            </w:r>
          </w:p>
        </w:tc>
      </w:tr>
      <w:tr>
        <w:tc>
          <w:tcPr>
            <w:tcW w:type="dxa" w:w="1440"/>
            <w:shd w:fill="FFF8F1"/>
          </w:tcPr>
          <w:p>
            <w:pPr>
              <w:spacing w:before="0" w:after="0" w:line="276" w:lineRule="auto"/>
              <w:jc w:val="left"/>
            </w:pPr>
            <w:r/>
            <w:r>
              <w:rPr>
                <w:rFonts w:ascii="Calibri" w:hAnsi="Calibri"/>
                <w:b/>
                <w:color w:val="21314B"/>
                <w:sz w:val="18"/>
              </w:rPr>
              <w:t>0-2 min</w:t>
            </w:r>
          </w:p>
        </w:tc>
        <w:tc>
          <w:tcPr>
            <w:tcW w:type="dxa" w:w="2520"/>
          </w:tcPr>
          <w:p>
            <w:pPr>
              <w:spacing w:before="0" w:after="0" w:line="276" w:lineRule="auto"/>
              <w:jc w:val="left"/>
            </w:pPr>
            <w:r/>
            <w:r>
              <w:rPr>
                <w:rFonts w:ascii="Calibri" w:hAnsi="Calibri"/>
                <w:b w:val="0"/>
                <w:color w:val="0B1220"/>
                <w:sz w:val="18"/>
              </w:rPr>
              <w:t>Page restaurateurs Genève</w:t>
            </w:r>
          </w:p>
        </w:tc>
        <w:tc>
          <w:tcPr>
            <w:tcW w:type="dxa" w:w="5400"/>
          </w:tcPr>
          <w:p>
            <w:pPr>
              <w:spacing w:before="0" w:after="0" w:line="276" w:lineRule="auto"/>
              <w:jc w:val="left"/>
            </w:pPr>
            <w:r/>
            <w:r>
              <w:rPr>
                <w:rFonts w:ascii="Calibri" w:hAnsi="Calibri"/>
                <w:b w:val="0"/>
                <w:color w:val="0B1220"/>
                <w:sz w:val="18"/>
              </w:rPr>
              <w:t>TOK a un discours B2B clair : marge, tables, photos et offres.</w:t>
            </w:r>
          </w:p>
        </w:tc>
      </w:tr>
      <w:tr>
        <w:tc>
          <w:tcPr>
            <w:tcW w:type="dxa" w:w="1440"/>
            <w:shd w:fill="FFF8F1"/>
          </w:tcPr>
          <w:p>
            <w:pPr>
              <w:spacing w:before="0" w:after="0" w:line="276" w:lineRule="auto"/>
              <w:jc w:val="left"/>
            </w:pPr>
            <w:r/>
            <w:r>
              <w:rPr>
                <w:rFonts w:ascii="Calibri" w:hAnsi="Calibri"/>
                <w:b/>
                <w:color w:val="21314B"/>
                <w:sz w:val="18"/>
              </w:rPr>
              <w:t>2-5 min</w:t>
            </w:r>
          </w:p>
        </w:tc>
        <w:tc>
          <w:tcPr>
            <w:tcW w:type="dxa" w:w="2520"/>
          </w:tcPr>
          <w:p>
            <w:pPr>
              <w:spacing w:before="0" w:after="0" w:line="276" w:lineRule="auto"/>
              <w:jc w:val="left"/>
            </w:pPr>
            <w:r/>
            <w:r>
              <w:rPr>
                <w:rFonts w:ascii="Calibri" w:hAnsi="Calibri"/>
                <w:b w:val="0"/>
                <w:color w:val="0B1220"/>
                <w:sz w:val="18"/>
              </w:rPr>
              <w:t>Simulateur de marge</w:t>
            </w:r>
          </w:p>
        </w:tc>
        <w:tc>
          <w:tcPr>
            <w:tcW w:type="dxa" w:w="5400"/>
          </w:tcPr>
          <w:p>
            <w:pPr>
              <w:spacing w:before="0" w:after="0" w:line="276" w:lineRule="auto"/>
              <w:jc w:val="left"/>
            </w:pPr>
            <w:r/>
            <w:r>
              <w:rPr>
                <w:rFonts w:ascii="Calibri" w:hAnsi="Calibri"/>
                <w:b w:val="0"/>
                <w:color w:val="0B1220"/>
                <w:sz w:val="18"/>
              </w:rPr>
              <w:t>Le restaurant comprend l'effet volume, coût TOK, marketing et marge.</w:t>
            </w:r>
          </w:p>
        </w:tc>
      </w:tr>
      <w:tr>
        <w:tc>
          <w:tcPr>
            <w:tcW w:type="dxa" w:w="1440"/>
            <w:shd w:fill="FFF8F1"/>
          </w:tcPr>
          <w:p>
            <w:pPr>
              <w:spacing w:before="0" w:after="0" w:line="276" w:lineRule="auto"/>
              <w:jc w:val="left"/>
            </w:pPr>
            <w:r/>
            <w:r>
              <w:rPr>
                <w:rFonts w:ascii="Calibri" w:hAnsi="Calibri"/>
                <w:b/>
                <w:color w:val="21314B"/>
                <w:sz w:val="18"/>
              </w:rPr>
              <w:t>5-8 min</w:t>
            </w:r>
          </w:p>
        </w:tc>
        <w:tc>
          <w:tcPr>
            <w:tcW w:type="dxa" w:w="2520"/>
          </w:tcPr>
          <w:p>
            <w:pPr>
              <w:spacing w:before="0" w:after="0" w:line="276" w:lineRule="auto"/>
              <w:jc w:val="left"/>
            </w:pPr>
            <w:r/>
            <w:r>
              <w:rPr>
                <w:rFonts w:ascii="Calibri" w:hAnsi="Calibri"/>
                <w:b w:val="0"/>
                <w:color w:val="0B1220"/>
                <w:sz w:val="18"/>
              </w:rPr>
              <w:t>Packs de lancement</w:t>
            </w:r>
          </w:p>
        </w:tc>
        <w:tc>
          <w:tcPr>
            <w:tcW w:type="dxa" w:w="5400"/>
          </w:tcPr>
          <w:p>
            <w:pPr>
              <w:spacing w:before="0" w:after="0" w:line="276" w:lineRule="auto"/>
              <w:jc w:val="left"/>
            </w:pPr>
            <w:r/>
            <w:r>
              <w:rPr>
                <w:rFonts w:ascii="Calibri" w:hAnsi="Calibri"/>
                <w:b w:val="0"/>
                <w:color w:val="0B1220"/>
                <w:sz w:val="18"/>
              </w:rPr>
              <w:t>L'accompagnement est tangible, pas une inscription vide.</w:t>
            </w:r>
          </w:p>
        </w:tc>
      </w:tr>
      <w:tr>
        <w:tc>
          <w:tcPr>
            <w:tcW w:type="dxa" w:w="1440"/>
            <w:shd w:fill="FFF8F1"/>
          </w:tcPr>
          <w:p>
            <w:pPr>
              <w:spacing w:before="0" w:after="0" w:line="276" w:lineRule="auto"/>
              <w:jc w:val="left"/>
            </w:pPr>
            <w:r/>
            <w:r>
              <w:rPr>
                <w:rFonts w:ascii="Calibri" w:hAnsi="Calibri"/>
                <w:b/>
                <w:color w:val="21314B"/>
                <w:sz w:val="18"/>
              </w:rPr>
              <w:t>8-12 min</w:t>
            </w:r>
          </w:p>
        </w:tc>
        <w:tc>
          <w:tcPr>
            <w:tcW w:type="dxa" w:w="2520"/>
          </w:tcPr>
          <w:p>
            <w:pPr>
              <w:spacing w:before="0" w:after="0" w:line="276" w:lineRule="auto"/>
              <w:jc w:val="left"/>
            </w:pPr>
            <w:r/>
            <w:r>
              <w:rPr>
                <w:rFonts w:ascii="Calibri" w:hAnsi="Calibri"/>
                <w:b w:val="0"/>
                <w:color w:val="0B1220"/>
                <w:sz w:val="18"/>
              </w:rPr>
              <w:t>Dashboard restaurateur</w:t>
            </w:r>
          </w:p>
        </w:tc>
        <w:tc>
          <w:tcPr>
            <w:tcW w:type="dxa" w:w="5400"/>
          </w:tcPr>
          <w:p>
            <w:pPr>
              <w:spacing w:before="0" w:after="0" w:line="276" w:lineRule="auto"/>
              <w:jc w:val="left"/>
            </w:pPr>
            <w:r/>
            <w:r>
              <w:rPr>
                <w:rFonts w:ascii="Calibri" w:hAnsi="Calibri"/>
                <w:b w:val="0"/>
                <w:color w:val="0B1220"/>
                <w:sz w:val="18"/>
              </w:rPr>
              <w:t>Le restaurateur garde le contrôle : menu, réservations, offres, factures, performances.</w:t>
            </w:r>
          </w:p>
        </w:tc>
      </w:tr>
      <w:tr>
        <w:tc>
          <w:tcPr>
            <w:tcW w:type="dxa" w:w="1440"/>
            <w:shd w:fill="FFF8F1"/>
          </w:tcPr>
          <w:p>
            <w:pPr>
              <w:spacing w:before="0" w:after="0" w:line="276" w:lineRule="auto"/>
              <w:jc w:val="left"/>
            </w:pPr>
            <w:r/>
            <w:r>
              <w:rPr>
                <w:rFonts w:ascii="Calibri" w:hAnsi="Calibri"/>
                <w:b/>
                <w:color w:val="21314B"/>
                <w:sz w:val="18"/>
              </w:rPr>
              <w:t>12-15 min</w:t>
            </w:r>
          </w:p>
        </w:tc>
        <w:tc>
          <w:tcPr>
            <w:tcW w:type="dxa" w:w="2520"/>
          </w:tcPr>
          <w:p>
            <w:pPr>
              <w:spacing w:before="0" w:after="0" w:line="276" w:lineRule="auto"/>
              <w:jc w:val="left"/>
            </w:pPr>
            <w:r/>
            <w:r>
              <w:rPr>
                <w:rFonts w:ascii="Calibri" w:hAnsi="Calibri"/>
                <w:b w:val="0"/>
                <w:color w:val="0B1220"/>
                <w:sz w:val="18"/>
              </w:rPr>
              <w:t>Campagnes / Actualités</w:t>
            </w:r>
          </w:p>
        </w:tc>
        <w:tc>
          <w:tcPr>
            <w:tcW w:type="dxa" w:w="5400"/>
          </w:tcPr>
          <w:p>
            <w:pPr>
              <w:spacing w:before="0" w:after="0" w:line="276" w:lineRule="auto"/>
              <w:jc w:val="left"/>
            </w:pPr>
            <w:r/>
            <w:r>
              <w:rPr>
                <w:rFonts w:ascii="Calibri" w:hAnsi="Calibri"/>
                <w:b w:val="0"/>
                <w:color w:val="0B1220"/>
                <w:sz w:val="18"/>
              </w:rPr>
              <w:t>TOK transforme le restaurant en média local activable.</w:t>
            </w:r>
          </w:p>
        </w:tc>
      </w:tr>
      <w:tr>
        <w:tc>
          <w:tcPr>
            <w:tcW w:type="dxa" w:w="1440"/>
            <w:shd w:fill="FFF8F1"/>
          </w:tcPr>
          <w:p>
            <w:pPr>
              <w:spacing w:before="0" w:after="0" w:line="276" w:lineRule="auto"/>
              <w:jc w:val="left"/>
            </w:pPr>
            <w:r/>
            <w:r>
              <w:rPr>
                <w:rFonts w:ascii="Calibri" w:hAnsi="Calibri"/>
                <w:b/>
                <w:color w:val="21314B"/>
                <w:sz w:val="18"/>
              </w:rPr>
              <w:t>15-18 min</w:t>
            </w:r>
          </w:p>
        </w:tc>
        <w:tc>
          <w:tcPr>
            <w:tcW w:type="dxa" w:w="2520"/>
          </w:tcPr>
          <w:p>
            <w:pPr>
              <w:spacing w:before="0" w:after="0" w:line="276" w:lineRule="auto"/>
              <w:jc w:val="left"/>
            </w:pPr>
            <w:r/>
            <w:r>
              <w:rPr>
                <w:rFonts w:ascii="Calibri" w:hAnsi="Calibri"/>
                <w:b w:val="0"/>
                <w:color w:val="0B1220"/>
                <w:sz w:val="18"/>
              </w:rPr>
              <w:t>Plan de salle / service</w:t>
            </w:r>
          </w:p>
        </w:tc>
        <w:tc>
          <w:tcPr>
            <w:tcW w:type="dxa" w:w="5400"/>
          </w:tcPr>
          <w:p>
            <w:pPr>
              <w:spacing w:before="0" w:after="0" w:line="276" w:lineRule="auto"/>
              <w:jc w:val="left"/>
            </w:pPr>
            <w:r/>
            <w:r>
              <w:rPr>
                <w:rFonts w:ascii="Calibri" w:hAnsi="Calibri"/>
                <w:b w:val="0"/>
                <w:color w:val="0B1220"/>
                <w:sz w:val="18"/>
              </w:rPr>
              <w:t>La promesse est opérationnelle, pas uniquement marketing.</w:t>
            </w:r>
          </w:p>
        </w:tc>
      </w:tr>
    </w:tbl>
    <w:p>
      <w:pPr>
        <w:spacing w:after="12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160" w:type="dxa"/>
              <w:start w:w="220" w:type="dxa"/>
              <w:bottom w:w="160" w:type="dxa"/>
              <w:end w:w="220" w:type="dxa"/>
            </w:tcMar>
            <w:shd w:fill="FFF7ED"/>
          </w:tcPr>
          <w:p>
            <w:pPr>
              <w:spacing w:before="0" w:after="60" w:line="276" w:lineRule="auto"/>
            </w:pPr>
            <w:r/>
            <w:r>
              <w:rPr>
                <w:rFonts w:ascii="Calibri" w:hAnsi="Calibri"/>
                <w:b/>
                <w:color w:val="D94F0F"/>
                <w:sz w:val="17"/>
              </w:rPr>
              <w:t>NE PAS SUR-VENDRE</w:t>
            </w:r>
          </w:p>
          <w:p>
            <w:pPr>
              <w:spacing w:before="0" w:after="0" w:line="288" w:lineRule="auto"/>
            </w:pPr>
            <w:r>
              <w:rPr>
                <w:rFonts w:ascii="Calibri" w:hAnsi="Calibri"/>
                <w:b/>
                <w:color w:val="0B1220"/>
                <w:sz w:val="21"/>
              </w:rPr>
              <w:t>Si le prospect demande une fonctionnalité encore fragile, répondre : 'Le module existe dans la trajectoire produit, mais on démarre sur ce qui est robuste et mesurable pour votre restaurant.'</w:t>
            </w:r>
          </w:p>
        </w:tc>
      </w:tr>
    </w:tbl>
    <w:p>
      <w:pPr>
        <w:spacing w:after="80"/>
      </w:pPr>
    </w:p>
    <w:p>
      <w:r>
        <w:br w:type="page"/>
      </w:r>
    </w:p>
    <w:p>
      <w:pPr>
        <w:pStyle w:val="Heading1"/>
        <w:spacing w:before="360" w:after="200" w:line="276" w:lineRule="auto"/>
      </w:pPr>
      <w:r>
        <w:rPr>
          <w:rFonts w:ascii="Georgia" w:hAnsi="Georgia"/>
          <w:b/>
          <w:color w:val="21314B"/>
          <w:sz w:val="32"/>
        </w:rPr>
        <w:t>6. Objections et réponses</w:t>
      </w:r>
    </w:p>
    <w:tbl>
      <w:tblPr>
        <w:tblStyle w:val="TableGrid"/>
        <w:tblW w:type="dxa" w:w="9360"/>
        <w:jc w:val="center"/>
        <w:tblLayout w:type="fixed"/>
        <w:tblLook w:firstColumn="1" w:firstRow="1" w:lastColumn="0" w:lastRow="0" w:noHBand="0" w:noVBand="1" w:val="04A0"/>
        <w:tblInd w:w="120" w:type="dxa"/>
      </w:tblPr>
      <w:tblGrid>
        <w:gridCol w:w="2520"/>
        <w:gridCol w:w="3528"/>
        <w:gridCol w:w="3312"/>
      </w:tblGrid>
      <w:tr>
        <w:tc>
          <w:tcPr>
            <w:tcW w:type="dxa" w:w="2520"/>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Objection</w:t>
            </w:r>
          </w:p>
        </w:tc>
        <w:tc>
          <w:tcPr>
            <w:tcW w:type="dxa" w:w="3528"/>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Réponse courte</w:t>
            </w:r>
          </w:p>
        </w:tc>
        <w:tc>
          <w:tcPr>
            <w:tcW w:type="dxa" w:w="3312"/>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Question de relance</w:t>
            </w:r>
          </w:p>
        </w:tc>
      </w:tr>
      <w:tr>
        <w:tc>
          <w:tcPr>
            <w:tcW w:type="dxa" w:w="2520"/>
            <w:shd w:fill="FFF8F1"/>
          </w:tcPr>
          <w:p>
            <w:pPr>
              <w:spacing w:before="0" w:after="0" w:line="276" w:lineRule="auto"/>
              <w:jc w:val="left"/>
            </w:pPr>
            <w:r/>
            <w:r>
              <w:rPr>
                <w:rFonts w:ascii="Calibri" w:hAnsi="Calibri"/>
                <w:b/>
                <w:color w:val="21314B"/>
                <w:sz w:val="18"/>
              </w:rPr>
              <w:t>Je suis déjà sur Uber Eats / TheFork.</w:t>
            </w:r>
          </w:p>
        </w:tc>
        <w:tc>
          <w:tcPr>
            <w:tcW w:type="dxa" w:w="3528"/>
          </w:tcPr>
          <w:p>
            <w:pPr>
              <w:spacing w:before="0" w:after="0" w:line="276" w:lineRule="auto"/>
              <w:jc w:val="left"/>
            </w:pPr>
            <w:r/>
            <w:r>
              <w:rPr>
                <w:rFonts w:ascii="Calibri" w:hAnsi="Calibri"/>
                <w:b w:val="0"/>
                <w:color w:val="0B1220"/>
                <w:sz w:val="18"/>
              </w:rPr>
              <w:t>Justement : TOK n'est pas seulement un canal, c'est un outil pour récupérer de la marge, des données et des créneaux.</w:t>
            </w:r>
          </w:p>
        </w:tc>
        <w:tc>
          <w:tcPr>
            <w:tcW w:type="dxa" w:w="3312"/>
          </w:tcPr>
          <w:p>
            <w:pPr>
              <w:spacing w:before="0" w:after="0" w:line="276" w:lineRule="auto"/>
              <w:jc w:val="left"/>
            </w:pPr>
            <w:r/>
            <w:r>
              <w:rPr>
                <w:rFonts w:ascii="Calibri" w:hAnsi="Calibri"/>
                <w:b w:val="0"/>
                <w:color w:val="0B1220"/>
                <w:sz w:val="18"/>
              </w:rPr>
              <w:t>Aujourd'hui, quelle part de votre CA vient d'un canal que vous ne contrôlez pas ?</w:t>
            </w:r>
          </w:p>
        </w:tc>
      </w:tr>
      <w:tr>
        <w:tc>
          <w:tcPr>
            <w:tcW w:type="dxa" w:w="2520"/>
            <w:shd w:fill="FFF8F1"/>
          </w:tcPr>
          <w:p>
            <w:pPr>
              <w:spacing w:before="0" w:after="0" w:line="276" w:lineRule="auto"/>
              <w:jc w:val="left"/>
            </w:pPr>
            <w:r/>
            <w:r>
              <w:rPr>
                <w:rFonts w:ascii="Calibri" w:hAnsi="Calibri"/>
                <w:b/>
                <w:color w:val="21314B"/>
                <w:sz w:val="18"/>
              </w:rPr>
              <w:t>Je n'ai pas le temps de gérer une plateforme de plus.</w:t>
            </w:r>
          </w:p>
        </w:tc>
        <w:tc>
          <w:tcPr>
            <w:tcW w:type="dxa" w:w="3528"/>
          </w:tcPr>
          <w:p>
            <w:pPr>
              <w:spacing w:before="0" w:after="0" w:line="276" w:lineRule="auto"/>
              <w:jc w:val="left"/>
            </w:pPr>
            <w:r/>
            <w:r>
              <w:rPr>
                <w:rFonts w:ascii="Calibri" w:hAnsi="Calibri"/>
                <w:b w:val="0"/>
                <w:color w:val="0B1220"/>
                <w:sz w:val="18"/>
              </w:rPr>
              <w:t>Les packs existent pour absorber la mise en place et réduire l'effort initial.</w:t>
            </w:r>
          </w:p>
        </w:tc>
        <w:tc>
          <w:tcPr>
            <w:tcW w:type="dxa" w:w="3312"/>
          </w:tcPr>
          <w:p>
            <w:pPr>
              <w:spacing w:before="0" w:after="0" w:line="276" w:lineRule="auto"/>
              <w:jc w:val="left"/>
            </w:pPr>
            <w:r/>
            <w:r>
              <w:rPr>
                <w:rFonts w:ascii="Calibri" w:hAnsi="Calibri"/>
                <w:b w:val="0"/>
                <w:color w:val="0B1220"/>
                <w:sz w:val="18"/>
              </w:rPr>
              <w:t>Qu'est-ce qui vous prend le plus de temps : menu, photos, réservations ou offres ?</w:t>
            </w:r>
          </w:p>
        </w:tc>
      </w:tr>
      <w:tr>
        <w:tc>
          <w:tcPr>
            <w:tcW w:type="dxa" w:w="2520"/>
            <w:shd w:fill="FFF8F1"/>
          </w:tcPr>
          <w:p>
            <w:pPr>
              <w:spacing w:before="0" w:after="0" w:line="276" w:lineRule="auto"/>
              <w:jc w:val="left"/>
            </w:pPr>
            <w:r/>
            <w:r>
              <w:rPr>
                <w:rFonts w:ascii="Calibri" w:hAnsi="Calibri"/>
                <w:b/>
                <w:color w:val="21314B"/>
                <w:sz w:val="18"/>
              </w:rPr>
              <w:t>Je ne veux pas refaire des promos.</w:t>
            </w:r>
          </w:p>
        </w:tc>
        <w:tc>
          <w:tcPr>
            <w:tcW w:type="dxa" w:w="3528"/>
          </w:tcPr>
          <w:p>
            <w:pPr>
              <w:spacing w:before="0" w:after="0" w:line="276" w:lineRule="auto"/>
              <w:jc w:val="left"/>
            </w:pPr>
            <w:r/>
            <w:r>
              <w:rPr>
                <w:rFonts w:ascii="Calibri" w:hAnsi="Calibri"/>
                <w:b w:val="0"/>
                <w:color w:val="0B1220"/>
                <w:sz w:val="18"/>
              </w:rPr>
              <w:t>TOK ne vend pas une remise permanente ; on active les bons créneaux et les bons stocks.</w:t>
            </w:r>
          </w:p>
        </w:tc>
        <w:tc>
          <w:tcPr>
            <w:tcW w:type="dxa" w:w="3312"/>
          </w:tcPr>
          <w:p>
            <w:pPr>
              <w:spacing w:before="0" w:after="0" w:line="276" w:lineRule="auto"/>
              <w:jc w:val="left"/>
            </w:pPr>
            <w:r/>
            <w:r>
              <w:rPr>
                <w:rFonts w:ascii="Calibri" w:hAnsi="Calibri"/>
                <w:b w:val="0"/>
                <w:color w:val="0B1220"/>
                <w:sz w:val="18"/>
              </w:rPr>
              <w:t>Quels créneaux sont sous-remplis sans nuire à votre image ?</w:t>
            </w:r>
          </w:p>
        </w:tc>
      </w:tr>
      <w:tr>
        <w:tc>
          <w:tcPr>
            <w:tcW w:type="dxa" w:w="2520"/>
            <w:shd w:fill="FFF8F1"/>
          </w:tcPr>
          <w:p>
            <w:pPr>
              <w:spacing w:before="0" w:after="0" w:line="276" w:lineRule="auto"/>
              <w:jc w:val="left"/>
            </w:pPr>
            <w:r/>
            <w:r>
              <w:rPr>
                <w:rFonts w:ascii="Calibri" w:hAnsi="Calibri"/>
                <w:b/>
                <w:color w:val="21314B"/>
                <w:sz w:val="18"/>
              </w:rPr>
              <w:t>Je veux voir des résultats avant de payer.</w:t>
            </w:r>
          </w:p>
        </w:tc>
        <w:tc>
          <w:tcPr>
            <w:tcW w:type="dxa" w:w="3528"/>
          </w:tcPr>
          <w:p>
            <w:pPr>
              <w:spacing w:before="0" w:after="0" w:line="276" w:lineRule="auto"/>
              <w:jc w:val="left"/>
            </w:pPr>
            <w:r/>
            <w:r>
              <w:rPr>
                <w:rFonts w:ascii="Calibri" w:hAnsi="Calibri"/>
                <w:b w:val="0"/>
                <w:color w:val="0B1220"/>
                <w:sz w:val="18"/>
              </w:rPr>
              <w:t>On peut cadrer un plan d'activation avec jalons : menu publié, offres, premières tables, suivi hebdo.</w:t>
            </w:r>
          </w:p>
        </w:tc>
        <w:tc>
          <w:tcPr>
            <w:tcW w:type="dxa" w:w="3312"/>
          </w:tcPr>
          <w:p>
            <w:pPr>
              <w:spacing w:before="0" w:after="0" w:line="276" w:lineRule="auto"/>
              <w:jc w:val="left"/>
            </w:pPr>
            <w:r/>
            <w:r>
              <w:rPr>
                <w:rFonts w:ascii="Calibri" w:hAnsi="Calibri"/>
                <w:b w:val="0"/>
                <w:color w:val="0B1220"/>
                <w:sz w:val="18"/>
              </w:rPr>
              <w:t>Quel résultat minimum rendrait l'essai sérieux pour vous ?</w:t>
            </w:r>
          </w:p>
        </w:tc>
      </w:tr>
      <w:tr>
        <w:tc>
          <w:tcPr>
            <w:tcW w:type="dxa" w:w="2520"/>
            <w:shd w:fill="FFF8F1"/>
          </w:tcPr>
          <w:p>
            <w:pPr>
              <w:spacing w:before="0" w:after="0" w:line="276" w:lineRule="auto"/>
              <w:jc w:val="left"/>
            </w:pPr>
            <w:r/>
            <w:r>
              <w:rPr>
                <w:rFonts w:ascii="Calibri" w:hAnsi="Calibri"/>
                <w:b/>
                <w:color w:val="21314B"/>
                <w:sz w:val="18"/>
              </w:rPr>
              <w:t>Mes photos sont déjà bonnes.</w:t>
            </w:r>
          </w:p>
        </w:tc>
        <w:tc>
          <w:tcPr>
            <w:tcW w:type="dxa" w:w="3528"/>
          </w:tcPr>
          <w:p>
            <w:pPr>
              <w:spacing w:before="0" w:after="0" w:line="276" w:lineRule="auto"/>
              <w:jc w:val="left"/>
            </w:pPr>
            <w:r/>
            <w:r>
              <w:rPr>
                <w:rFonts w:ascii="Calibri" w:hAnsi="Calibri"/>
                <w:b w:val="0"/>
                <w:color w:val="0B1220"/>
                <w:sz w:val="18"/>
              </w:rPr>
              <w:t>Très bien : on part alors sur réservation, campagnes, offres et pilotage plutôt que sur photo.</w:t>
            </w:r>
          </w:p>
        </w:tc>
        <w:tc>
          <w:tcPr>
            <w:tcW w:type="dxa" w:w="3312"/>
          </w:tcPr>
          <w:p>
            <w:pPr>
              <w:spacing w:before="0" w:after="0" w:line="276" w:lineRule="auto"/>
              <w:jc w:val="left"/>
            </w:pPr>
            <w:r/>
            <w:r>
              <w:rPr>
                <w:rFonts w:ascii="Calibri" w:hAnsi="Calibri"/>
                <w:b w:val="0"/>
                <w:color w:val="0B1220"/>
                <w:sz w:val="18"/>
              </w:rPr>
              <w:t>Quel levier améliorerait le plus votre mois prochain ?</w:t>
            </w:r>
          </w:p>
        </w:tc>
      </w:tr>
      <w:tr>
        <w:tc>
          <w:tcPr>
            <w:tcW w:type="dxa" w:w="2520"/>
            <w:shd w:fill="FFF8F1"/>
          </w:tcPr>
          <w:p>
            <w:pPr>
              <w:spacing w:before="0" w:after="0" w:line="276" w:lineRule="auto"/>
              <w:jc w:val="left"/>
            </w:pPr>
            <w:r/>
            <w:r>
              <w:rPr>
                <w:rFonts w:ascii="Calibri" w:hAnsi="Calibri"/>
                <w:b/>
                <w:color w:val="21314B"/>
                <w:sz w:val="18"/>
              </w:rPr>
              <w:t>Combien ça coûte vraiment ?</w:t>
            </w:r>
          </w:p>
        </w:tc>
        <w:tc>
          <w:tcPr>
            <w:tcW w:type="dxa" w:w="3528"/>
          </w:tcPr>
          <w:p>
            <w:pPr>
              <w:spacing w:before="0" w:after="0" w:line="276" w:lineRule="auto"/>
              <w:jc w:val="left"/>
            </w:pPr>
            <w:r/>
            <w:r>
              <w:rPr>
                <w:rFonts w:ascii="Calibri" w:hAnsi="Calibri"/>
                <w:b w:val="0"/>
                <w:color w:val="0B1220"/>
                <w:sz w:val="18"/>
              </w:rPr>
              <w:t>Le modèle doit rester lisible : pack si accompagnement, 5 CHF/table côté réservation, campagnes mesurées.</w:t>
            </w:r>
          </w:p>
        </w:tc>
        <w:tc>
          <w:tcPr>
            <w:tcW w:type="dxa" w:w="3312"/>
          </w:tcPr>
          <w:p>
            <w:pPr>
              <w:spacing w:before="0" w:after="0" w:line="276" w:lineRule="auto"/>
              <w:jc w:val="left"/>
            </w:pPr>
            <w:r/>
            <w:r>
              <w:rPr>
                <w:rFonts w:ascii="Calibri" w:hAnsi="Calibri"/>
                <w:b w:val="0"/>
                <w:color w:val="0B1220"/>
                <w:sz w:val="18"/>
              </w:rPr>
              <w:t>Préférez-vous maîtriser un coût fixe, un coût par table ou un budget campagne ?</w:t>
            </w:r>
          </w:p>
        </w:tc>
      </w:tr>
    </w:tbl>
    <w:p>
      <w:pPr>
        <w:spacing w:after="120"/>
      </w:pPr>
    </w:p>
    <w:p>
      <w:pPr>
        <w:pStyle w:val="Heading1"/>
        <w:spacing w:before="360" w:after="200" w:line="276" w:lineRule="auto"/>
      </w:pPr>
      <w:r>
        <w:rPr>
          <w:rFonts w:ascii="Georgia" w:hAnsi="Georgia"/>
          <w:b/>
          <w:color w:val="21314B"/>
          <w:sz w:val="32"/>
        </w:rPr>
        <w:t>7. Scripts prêts à utiliser</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160" w:type="dxa"/>
              <w:start w:w="220" w:type="dxa"/>
              <w:bottom w:w="160" w:type="dxa"/>
              <w:end w:w="220" w:type="dxa"/>
            </w:tcMar>
            <w:shd w:fill="FFF2E8"/>
          </w:tcPr>
          <w:p>
            <w:pPr>
              <w:spacing w:before="0" w:after="60" w:line="276" w:lineRule="auto"/>
            </w:pPr>
            <w:r/>
            <w:r>
              <w:rPr>
                <w:rFonts w:ascii="Calibri" w:hAnsi="Calibri"/>
                <w:b/>
                <w:color w:val="FF6A1A"/>
                <w:sz w:val="17"/>
              </w:rPr>
              <w:t>APPEL À FROID - 30 SECONDES</w:t>
            </w:r>
          </w:p>
          <w:p>
            <w:pPr>
              <w:spacing w:before="0" w:after="0" w:line="288" w:lineRule="auto"/>
            </w:pPr>
            <w:r>
              <w:rPr>
                <w:rFonts w:ascii="Calibri" w:hAnsi="Calibri"/>
                <w:b/>
                <w:color w:val="0B1220"/>
                <w:sz w:val="21"/>
              </w:rPr>
              <w:t>Bonjour, je vous appelle de TOK. On aide les restaurants genevois à remplir leurs tables et leurs créneaux creux avec un modèle plus lisible que les plateformes classiques : réservation, offres locales, photos et pilotage. Je voulais voir si vous avez plutôt un sujet visibilité, réservations ou marge en ce moment.</w:t>
            </w:r>
          </w:p>
        </w:tc>
      </w:tr>
    </w:tbl>
    <w:p>
      <w:pPr>
        <w:spacing w:after="8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160" w:type="dxa"/>
              <w:start w:w="220" w:type="dxa"/>
              <w:bottom w:w="160" w:type="dxa"/>
              <w:end w:w="220" w:type="dxa"/>
            </w:tcMar>
            <w:shd w:fill="F8FAFC"/>
          </w:tcPr>
          <w:p>
            <w:pPr>
              <w:spacing w:before="0" w:after="60" w:line="276" w:lineRule="auto"/>
            </w:pPr>
            <w:r/>
            <w:r>
              <w:rPr>
                <w:rFonts w:ascii="Calibri" w:hAnsi="Calibri"/>
                <w:b/>
                <w:color w:val="21314B"/>
                <w:sz w:val="17"/>
              </w:rPr>
              <w:t>EMAIL APRÈS DÉCOUVERTE</w:t>
            </w:r>
          </w:p>
          <w:p>
            <w:pPr>
              <w:spacing w:before="0" w:after="0" w:line="288" w:lineRule="auto"/>
            </w:pPr>
            <w:r>
              <w:rPr>
                <w:rFonts w:ascii="Calibri" w:hAnsi="Calibri"/>
                <w:b/>
                <w:color w:val="0B1220"/>
                <w:sz w:val="21"/>
              </w:rPr>
              <w:t>Merci pour l'échange. J'ai retenu trois priorités : remplir [créneau], améliorer [levier] et garder un coût maîtrisé. Je vous propose une démo de 20 minutes centrée sur le simulateur de marge, les packs et le dashboard restaurateur, puis on décide ensemble du plan d'activation le plus simple.</w:t>
            </w:r>
          </w:p>
        </w:tc>
      </w:tr>
    </w:tbl>
    <w:p>
      <w:pPr>
        <w:spacing w:after="8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160" w:type="dxa"/>
              <w:start w:w="220" w:type="dxa"/>
              <w:bottom w:w="160" w:type="dxa"/>
              <w:end w:w="220" w:type="dxa"/>
            </w:tcMar>
            <w:shd w:fill="ECFEFF"/>
          </w:tcPr>
          <w:p>
            <w:pPr>
              <w:spacing w:before="0" w:after="60" w:line="276" w:lineRule="auto"/>
            </w:pPr>
            <w:r/>
            <w:r>
              <w:rPr>
                <w:rFonts w:ascii="Calibri" w:hAnsi="Calibri"/>
                <w:b/>
                <w:color w:val="22A3FF"/>
                <w:sz w:val="17"/>
              </w:rPr>
              <w:t>RELANCE APRÈS SILENCE</w:t>
            </w:r>
          </w:p>
          <w:p>
            <w:pPr>
              <w:spacing w:before="0" w:after="0" w:line="288" w:lineRule="auto"/>
            </w:pPr>
            <w:r>
              <w:rPr>
                <w:rFonts w:ascii="Calibri" w:hAnsi="Calibri"/>
                <w:b/>
                <w:color w:val="0B1220"/>
                <w:sz w:val="21"/>
              </w:rPr>
              <w:t>Je vous relance car le sujet semblait clair : utiliser TOK pour convertir davantage de tables sans créer une mécanique de promos permanentes. Si ce n'est pas prioritaire ce mois-ci, je vous propose de reprendre quand vous préparez le prochain service fort ou la prochaine carte.</w:t>
            </w:r>
          </w:p>
        </w:tc>
      </w:tr>
    </w:tbl>
    <w:p>
      <w:pPr>
        <w:spacing w:after="80"/>
      </w:pPr>
    </w:p>
    <w:p>
      <w:r>
        <w:br w:type="page"/>
      </w:r>
    </w:p>
    <w:p>
      <w:pPr>
        <w:pStyle w:val="Heading1"/>
        <w:spacing w:before="360" w:after="200" w:line="276" w:lineRule="auto"/>
      </w:pPr>
      <w:r>
        <w:rPr>
          <w:rFonts w:ascii="Georgia" w:hAnsi="Georgia"/>
          <w:b/>
          <w:color w:val="21314B"/>
          <w:sz w:val="32"/>
        </w:rPr>
        <w:t>8. Pipeline et discipline CRM</w:t>
      </w:r>
    </w:p>
    <w:tbl>
      <w:tblPr>
        <w:tblStyle w:val="TableGrid"/>
        <w:tblW w:type="dxa" w:w="9360"/>
        <w:jc w:val="center"/>
        <w:tblLayout w:type="fixed"/>
        <w:tblLook w:firstColumn="1" w:firstRow="1" w:lastColumn="0" w:lastRow="0" w:noHBand="0" w:noVBand="1" w:val="04A0"/>
        <w:tblInd w:w="120" w:type="dxa"/>
      </w:tblPr>
      <w:tblGrid>
        <w:gridCol w:w="1656"/>
        <w:gridCol w:w="4392"/>
        <w:gridCol w:w="3312"/>
      </w:tblGrid>
      <w:tr>
        <w:tc>
          <w:tcPr>
            <w:tcW w:type="dxa" w:w="1656"/>
            <w:vAlign w:val="center"/>
            <w:tcMar>
              <w:top w:w="100" w:type="dxa"/>
              <w:start w:w="140" w:type="dxa"/>
              <w:bottom w:w="100" w:type="dxa"/>
              <w:end w:w="140" w:type="dxa"/>
            </w:tcMar>
            <w:shd w:fill="FF6A1A"/>
          </w:tcPr>
          <w:p>
            <w:pPr>
              <w:spacing w:before="0" w:after="0" w:line="276" w:lineRule="auto"/>
              <w:jc w:val="left"/>
            </w:pPr>
            <w:r/>
            <w:r>
              <w:rPr>
                <w:rFonts w:ascii="Calibri" w:hAnsi="Calibri"/>
                <w:b/>
                <w:color w:val="FFFFFF"/>
                <w:sz w:val="17"/>
              </w:rPr>
              <w:t>Statut</w:t>
            </w:r>
          </w:p>
        </w:tc>
        <w:tc>
          <w:tcPr>
            <w:tcW w:type="dxa" w:w="4392"/>
            <w:vAlign w:val="center"/>
            <w:tcMar>
              <w:top w:w="100" w:type="dxa"/>
              <w:start w:w="140" w:type="dxa"/>
              <w:bottom w:w="100" w:type="dxa"/>
              <w:end w:w="140" w:type="dxa"/>
            </w:tcMar>
            <w:shd w:fill="FF6A1A"/>
          </w:tcPr>
          <w:p>
            <w:pPr>
              <w:spacing w:before="0" w:after="0" w:line="276" w:lineRule="auto"/>
              <w:jc w:val="left"/>
            </w:pPr>
            <w:r/>
            <w:r>
              <w:rPr>
                <w:rFonts w:ascii="Calibri" w:hAnsi="Calibri"/>
                <w:b/>
                <w:color w:val="FFFFFF"/>
                <w:sz w:val="17"/>
              </w:rPr>
              <w:t>Définition</w:t>
            </w:r>
          </w:p>
        </w:tc>
        <w:tc>
          <w:tcPr>
            <w:tcW w:type="dxa" w:w="3312"/>
            <w:vAlign w:val="center"/>
            <w:tcMar>
              <w:top w:w="100" w:type="dxa"/>
              <w:start w:w="140" w:type="dxa"/>
              <w:bottom w:w="100" w:type="dxa"/>
              <w:end w:w="140" w:type="dxa"/>
            </w:tcMar>
            <w:shd w:fill="FF6A1A"/>
          </w:tcPr>
          <w:p>
            <w:pPr>
              <w:spacing w:before="0" w:after="0" w:line="276" w:lineRule="auto"/>
              <w:jc w:val="left"/>
            </w:pPr>
            <w:r/>
            <w:r>
              <w:rPr>
                <w:rFonts w:ascii="Calibri" w:hAnsi="Calibri"/>
                <w:b/>
                <w:color w:val="FFFFFF"/>
                <w:sz w:val="17"/>
              </w:rPr>
              <w:t>Sortie attendue</w:t>
            </w:r>
          </w:p>
        </w:tc>
      </w:tr>
      <w:tr>
        <w:tc>
          <w:tcPr>
            <w:tcW w:type="dxa" w:w="1656"/>
            <w:shd w:fill="FFF8F1"/>
          </w:tcPr>
          <w:p>
            <w:pPr>
              <w:spacing w:before="0" w:after="0" w:line="276" w:lineRule="auto"/>
              <w:jc w:val="left"/>
            </w:pPr>
            <w:r/>
            <w:r>
              <w:rPr>
                <w:rFonts w:ascii="Calibri" w:hAnsi="Calibri"/>
                <w:b/>
                <w:color w:val="21314B"/>
                <w:sz w:val="18"/>
              </w:rPr>
              <w:t>Nouveau</w:t>
            </w:r>
          </w:p>
        </w:tc>
        <w:tc>
          <w:tcPr>
            <w:tcW w:type="dxa" w:w="4392"/>
          </w:tcPr>
          <w:p>
            <w:pPr>
              <w:spacing w:before="0" w:after="0" w:line="276" w:lineRule="auto"/>
              <w:jc w:val="left"/>
            </w:pPr>
            <w:r/>
            <w:r>
              <w:rPr>
                <w:rFonts w:ascii="Calibri" w:hAnsi="Calibri"/>
                <w:b w:val="0"/>
                <w:color w:val="0B1220"/>
                <w:sz w:val="18"/>
              </w:rPr>
              <w:t>Lead identifié mais non contacté.</w:t>
            </w:r>
          </w:p>
        </w:tc>
        <w:tc>
          <w:tcPr>
            <w:tcW w:type="dxa" w:w="3312"/>
          </w:tcPr>
          <w:p>
            <w:pPr>
              <w:spacing w:before="0" w:after="0" w:line="276" w:lineRule="auto"/>
              <w:jc w:val="left"/>
            </w:pPr>
            <w:r/>
            <w:r>
              <w:rPr>
                <w:rFonts w:ascii="Calibri" w:hAnsi="Calibri"/>
                <w:b w:val="0"/>
                <w:color w:val="0B1220"/>
                <w:sz w:val="18"/>
              </w:rPr>
              <w:t>Appel ou email initial sous 24h.</w:t>
            </w:r>
          </w:p>
        </w:tc>
      </w:tr>
      <w:tr>
        <w:tc>
          <w:tcPr>
            <w:tcW w:type="dxa" w:w="1656"/>
            <w:shd w:fill="FFF8F1"/>
          </w:tcPr>
          <w:p>
            <w:pPr>
              <w:spacing w:before="0" w:after="0" w:line="276" w:lineRule="auto"/>
              <w:jc w:val="left"/>
            </w:pPr>
            <w:r/>
            <w:r>
              <w:rPr>
                <w:rFonts w:ascii="Calibri" w:hAnsi="Calibri"/>
                <w:b/>
                <w:color w:val="21314B"/>
                <w:sz w:val="18"/>
              </w:rPr>
              <w:t>Contacté</w:t>
            </w:r>
          </w:p>
        </w:tc>
        <w:tc>
          <w:tcPr>
            <w:tcW w:type="dxa" w:w="4392"/>
          </w:tcPr>
          <w:p>
            <w:pPr>
              <w:spacing w:before="0" w:after="0" w:line="276" w:lineRule="auto"/>
              <w:jc w:val="left"/>
            </w:pPr>
            <w:r/>
            <w:r>
              <w:rPr>
                <w:rFonts w:ascii="Calibri" w:hAnsi="Calibri"/>
                <w:b w:val="0"/>
                <w:color w:val="0B1220"/>
                <w:sz w:val="18"/>
              </w:rPr>
              <w:t>Conversation engagée ou réponse reçue.</w:t>
            </w:r>
          </w:p>
        </w:tc>
        <w:tc>
          <w:tcPr>
            <w:tcW w:type="dxa" w:w="3312"/>
          </w:tcPr>
          <w:p>
            <w:pPr>
              <w:spacing w:before="0" w:after="0" w:line="276" w:lineRule="auto"/>
              <w:jc w:val="left"/>
            </w:pPr>
            <w:r/>
            <w:r>
              <w:rPr>
                <w:rFonts w:ascii="Calibri" w:hAnsi="Calibri"/>
                <w:b w:val="0"/>
                <w:color w:val="0B1220"/>
                <w:sz w:val="18"/>
              </w:rPr>
              <w:t>Besoin principal noté + prochain créneau proposé.</w:t>
            </w:r>
          </w:p>
        </w:tc>
      </w:tr>
      <w:tr>
        <w:tc>
          <w:tcPr>
            <w:tcW w:type="dxa" w:w="1656"/>
            <w:shd w:fill="FFF8F1"/>
          </w:tcPr>
          <w:p>
            <w:pPr>
              <w:spacing w:before="0" w:after="0" w:line="276" w:lineRule="auto"/>
              <w:jc w:val="left"/>
            </w:pPr>
            <w:r/>
            <w:r>
              <w:rPr>
                <w:rFonts w:ascii="Calibri" w:hAnsi="Calibri"/>
                <w:b/>
                <w:color w:val="21314B"/>
                <w:sz w:val="18"/>
              </w:rPr>
              <w:t>Démo</w:t>
            </w:r>
          </w:p>
        </w:tc>
        <w:tc>
          <w:tcPr>
            <w:tcW w:type="dxa" w:w="4392"/>
          </w:tcPr>
          <w:p>
            <w:pPr>
              <w:spacing w:before="0" w:after="0" w:line="276" w:lineRule="auto"/>
              <w:jc w:val="left"/>
            </w:pPr>
            <w:r/>
            <w:r>
              <w:rPr>
                <w:rFonts w:ascii="Calibri" w:hAnsi="Calibri"/>
                <w:b w:val="0"/>
                <w:color w:val="0B1220"/>
                <w:sz w:val="18"/>
              </w:rPr>
              <w:t>Démo planifiée ou réalisée.</w:t>
            </w:r>
          </w:p>
        </w:tc>
        <w:tc>
          <w:tcPr>
            <w:tcW w:type="dxa" w:w="3312"/>
          </w:tcPr>
          <w:p>
            <w:pPr>
              <w:spacing w:before="0" w:after="0" w:line="276" w:lineRule="auto"/>
              <w:jc w:val="left"/>
            </w:pPr>
            <w:r/>
            <w:r>
              <w:rPr>
                <w:rFonts w:ascii="Calibri" w:hAnsi="Calibri"/>
                <w:b w:val="0"/>
                <w:color w:val="0B1220"/>
                <w:sz w:val="18"/>
              </w:rPr>
              <w:t>Décideur présent + offre recommandée.</w:t>
            </w:r>
          </w:p>
        </w:tc>
      </w:tr>
      <w:tr>
        <w:tc>
          <w:tcPr>
            <w:tcW w:type="dxa" w:w="1656"/>
            <w:shd w:fill="FFF8F1"/>
          </w:tcPr>
          <w:p>
            <w:pPr>
              <w:spacing w:before="0" w:after="0" w:line="276" w:lineRule="auto"/>
              <w:jc w:val="left"/>
            </w:pPr>
            <w:r/>
            <w:r>
              <w:rPr>
                <w:rFonts w:ascii="Calibri" w:hAnsi="Calibri"/>
                <w:b/>
                <w:color w:val="21314B"/>
                <w:sz w:val="18"/>
              </w:rPr>
              <w:t>Signé</w:t>
            </w:r>
          </w:p>
        </w:tc>
        <w:tc>
          <w:tcPr>
            <w:tcW w:type="dxa" w:w="4392"/>
          </w:tcPr>
          <w:p>
            <w:pPr>
              <w:spacing w:before="0" w:after="0" w:line="276" w:lineRule="auto"/>
              <w:jc w:val="left"/>
            </w:pPr>
            <w:r/>
            <w:r>
              <w:rPr>
                <w:rFonts w:ascii="Calibri" w:hAnsi="Calibri"/>
                <w:b w:val="0"/>
                <w:color w:val="0B1220"/>
                <w:sz w:val="18"/>
              </w:rPr>
              <w:t>Accord commercial ou pack choisi.</w:t>
            </w:r>
          </w:p>
        </w:tc>
        <w:tc>
          <w:tcPr>
            <w:tcW w:type="dxa" w:w="3312"/>
          </w:tcPr>
          <w:p>
            <w:pPr>
              <w:spacing w:before="0" w:after="0" w:line="276" w:lineRule="auto"/>
              <w:jc w:val="left"/>
            </w:pPr>
            <w:r/>
            <w:r>
              <w:rPr>
                <w:rFonts w:ascii="Calibri" w:hAnsi="Calibri"/>
                <w:b w:val="0"/>
                <w:color w:val="0B1220"/>
                <w:sz w:val="18"/>
              </w:rPr>
              <w:t>Paiement / onboarding / création restaurant.</w:t>
            </w:r>
          </w:p>
        </w:tc>
      </w:tr>
      <w:tr>
        <w:tc>
          <w:tcPr>
            <w:tcW w:type="dxa" w:w="1656"/>
            <w:shd w:fill="FFF8F1"/>
          </w:tcPr>
          <w:p>
            <w:pPr>
              <w:spacing w:before="0" w:after="0" w:line="276" w:lineRule="auto"/>
              <w:jc w:val="left"/>
            </w:pPr>
            <w:r/>
            <w:r>
              <w:rPr>
                <w:rFonts w:ascii="Calibri" w:hAnsi="Calibri"/>
                <w:b/>
                <w:color w:val="21314B"/>
                <w:sz w:val="18"/>
              </w:rPr>
              <w:t>Activé</w:t>
            </w:r>
          </w:p>
        </w:tc>
        <w:tc>
          <w:tcPr>
            <w:tcW w:type="dxa" w:w="4392"/>
          </w:tcPr>
          <w:p>
            <w:pPr>
              <w:spacing w:before="0" w:after="0" w:line="276" w:lineRule="auto"/>
              <w:jc w:val="left"/>
            </w:pPr>
            <w:r/>
            <w:r>
              <w:rPr>
                <w:rFonts w:ascii="Calibri" w:hAnsi="Calibri"/>
                <w:b w:val="0"/>
                <w:color w:val="0B1220"/>
                <w:sz w:val="18"/>
              </w:rPr>
              <w:t>Menu publié, offre ou réservation active.</w:t>
            </w:r>
          </w:p>
        </w:tc>
        <w:tc>
          <w:tcPr>
            <w:tcW w:type="dxa" w:w="3312"/>
          </w:tcPr>
          <w:p>
            <w:pPr>
              <w:spacing w:before="0" w:after="0" w:line="276" w:lineRule="auto"/>
              <w:jc w:val="left"/>
            </w:pPr>
            <w:r/>
            <w:r>
              <w:rPr>
                <w:rFonts w:ascii="Calibri" w:hAnsi="Calibri"/>
                <w:b w:val="0"/>
                <w:color w:val="0B1220"/>
                <w:sz w:val="18"/>
              </w:rPr>
              <w:t>Objectif 30/60/90 jours lancé.</w:t>
            </w:r>
          </w:p>
        </w:tc>
      </w:tr>
      <w:tr>
        <w:tc>
          <w:tcPr>
            <w:tcW w:type="dxa" w:w="1656"/>
            <w:shd w:fill="FFF8F1"/>
          </w:tcPr>
          <w:p>
            <w:pPr>
              <w:spacing w:before="0" w:after="0" w:line="276" w:lineRule="auto"/>
              <w:jc w:val="left"/>
            </w:pPr>
            <w:r/>
            <w:r>
              <w:rPr>
                <w:rFonts w:ascii="Calibri" w:hAnsi="Calibri"/>
                <w:b/>
                <w:color w:val="21314B"/>
                <w:sz w:val="18"/>
              </w:rPr>
              <w:t>Perdu</w:t>
            </w:r>
          </w:p>
        </w:tc>
        <w:tc>
          <w:tcPr>
            <w:tcW w:type="dxa" w:w="4392"/>
          </w:tcPr>
          <w:p>
            <w:pPr>
              <w:spacing w:before="0" w:after="0" w:line="276" w:lineRule="auto"/>
              <w:jc w:val="left"/>
            </w:pPr>
            <w:r/>
            <w:r>
              <w:rPr>
                <w:rFonts w:ascii="Calibri" w:hAnsi="Calibri"/>
                <w:b w:val="0"/>
                <w:color w:val="0B1220"/>
                <w:sz w:val="18"/>
              </w:rPr>
              <w:t>Refus explicite ou absence de fit.</w:t>
            </w:r>
          </w:p>
        </w:tc>
        <w:tc>
          <w:tcPr>
            <w:tcW w:type="dxa" w:w="3312"/>
          </w:tcPr>
          <w:p>
            <w:pPr>
              <w:spacing w:before="0" w:after="0" w:line="276" w:lineRule="auto"/>
              <w:jc w:val="left"/>
            </w:pPr>
            <w:r/>
            <w:r>
              <w:rPr>
                <w:rFonts w:ascii="Calibri" w:hAnsi="Calibri"/>
                <w:b w:val="0"/>
                <w:color w:val="0B1220"/>
                <w:sz w:val="18"/>
              </w:rPr>
              <w:t>Raison de perte et date de relance éventuelle.</w:t>
            </w:r>
          </w:p>
        </w:tc>
      </w:tr>
    </w:tbl>
    <w:p>
      <w:pPr>
        <w:spacing w:after="120"/>
      </w:pPr>
    </w:p>
    <w:p>
      <w:pPr>
        <w:pStyle w:val="Heading1"/>
        <w:spacing w:before="360" w:after="200" w:line="276" w:lineRule="auto"/>
      </w:pPr>
      <w:r>
        <w:rPr>
          <w:rFonts w:ascii="Georgia" w:hAnsi="Georgia"/>
          <w:b/>
          <w:color w:val="21314B"/>
          <w:sz w:val="32"/>
        </w:rPr>
        <w:t>9. Objectifs commerciaux</w:t>
      </w:r>
    </w:p>
    <w:p>
      <w:pPr>
        <w:pStyle w:val="ListBullet"/>
        <w:spacing w:before="0" w:after="80" w:line="300" w:lineRule="auto"/>
      </w:pPr>
      <w:r>
        <w:rPr>
          <w:rFonts w:ascii="Calibri" w:hAnsi="Calibri"/>
          <w:color w:val="0B1220"/>
          <w:sz w:val="21"/>
        </w:rPr>
        <w:t>Objectif par commercial : 10 restaurants signés par mois comme base de pilotage interne.</w:t>
      </w:r>
    </w:p>
    <w:p>
      <w:pPr>
        <w:pStyle w:val="ListBullet"/>
        <w:spacing w:before="0" w:after="80" w:line="300" w:lineRule="auto"/>
      </w:pPr>
      <w:r>
        <w:rPr>
          <w:rFonts w:ascii="Calibri" w:hAnsi="Calibri"/>
          <w:color w:val="0B1220"/>
          <w:sz w:val="21"/>
        </w:rPr>
        <w:t>Commission commerciale de référence : 7 % dans la gouvernance locale, avec plafond à 12 % selon règles internes.</w:t>
      </w:r>
    </w:p>
    <w:p>
      <w:pPr>
        <w:pStyle w:val="ListBullet"/>
        <w:spacing w:before="0" w:after="80" w:line="300" w:lineRule="auto"/>
      </w:pPr>
      <w:r>
        <w:rPr>
          <w:rFonts w:ascii="Calibri" w:hAnsi="Calibri"/>
          <w:color w:val="0B1220"/>
          <w:sz w:val="21"/>
        </w:rPr>
        <w:t>Les commissions doivent suivre des jalons activables : pack payé, menu publié, premières tables, activité à 60/90 jours.</w:t>
      </w:r>
    </w:p>
    <w:p>
      <w:pPr>
        <w:pStyle w:val="ListBullet"/>
        <w:spacing w:before="0" w:after="80" w:line="300" w:lineRule="auto"/>
      </w:pPr>
      <w:r>
        <w:rPr>
          <w:rFonts w:ascii="Calibri" w:hAnsi="Calibri"/>
          <w:color w:val="0B1220"/>
          <w:sz w:val="21"/>
        </w:rPr>
        <w:t>Ne jamais pousser un pack trop élevé si le restaurant n'a pas l'équipe ou le volume pour l'activer.</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160" w:type="dxa"/>
              <w:start w:w="220" w:type="dxa"/>
              <w:bottom w:w="160" w:type="dxa"/>
              <w:end w:w="220" w:type="dxa"/>
            </w:tcMar>
            <w:shd w:fill="F8FAFC"/>
          </w:tcPr>
          <w:p>
            <w:pPr>
              <w:spacing w:before="0" w:after="60" w:line="276" w:lineRule="auto"/>
            </w:pPr>
            <w:r/>
            <w:r>
              <w:rPr>
                <w:rFonts w:ascii="Calibri" w:hAnsi="Calibri"/>
                <w:b/>
                <w:color w:val="21314B"/>
                <w:sz w:val="17"/>
              </w:rPr>
              <w:t>RITUEL HEBDOMADAIRE</w:t>
            </w:r>
          </w:p>
          <w:p>
            <w:pPr>
              <w:spacing w:before="0" w:after="0" w:line="288" w:lineRule="auto"/>
            </w:pPr>
            <w:r>
              <w:rPr>
                <w:rFonts w:ascii="Calibri" w:hAnsi="Calibri"/>
                <w:b/>
                <w:color w:val="0B1220"/>
                <w:sz w:val="21"/>
              </w:rPr>
              <w:t>Chaque lundi : revoir nouveaux leads, démos planifiées, deals bloqués, raisons de perte, restaurants activés et premières métriques. Chaque vendredi : planifier les relances et les preuves à montrer la semaine suivante.</w:t>
            </w:r>
          </w:p>
        </w:tc>
      </w:tr>
    </w:tbl>
    <w:p>
      <w:pPr>
        <w:spacing w:after="80"/>
      </w:pPr>
    </w:p>
    <w:p>
      <w:pPr>
        <w:pStyle w:val="Heading1"/>
        <w:spacing w:before="360" w:after="200" w:line="276" w:lineRule="auto"/>
      </w:pPr>
      <w:r>
        <w:rPr>
          <w:rFonts w:ascii="Georgia" w:hAnsi="Georgia"/>
          <w:b/>
          <w:color w:val="21314B"/>
          <w:sz w:val="32"/>
        </w:rPr>
        <w:t>10. Score de priorité lead</w:t>
      </w:r>
    </w:p>
    <w:tbl>
      <w:tblPr>
        <w:tblStyle w:val="TableGrid"/>
        <w:tblW w:type="dxa" w:w="9360"/>
        <w:jc w:val="center"/>
        <w:tblLayout w:type="fixed"/>
        <w:tblLook w:firstColumn="1" w:firstRow="1" w:lastColumn="0" w:lastRow="0" w:noHBand="0" w:noVBand="1" w:val="04A0"/>
        <w:tblInd w:w="120" w:type="dxa"/>
      </w:tblPr>
      <w:tblGrid>
        <w:gridCol w:w="1872"/>
        <w:gridCol w:w="2448"/>
        <w:gridCol w:w="2448"/>
        <w:gridCol w:w="2592"/>
      </w:tblGrid>
      <w:tr>
        <w:tc>
          <w:tcPr>
            <w:tcW w:type="dxa" w:w="1872"/>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Critère</w:t>
            </w:r>
          </w:p>
        </w:tc>
        <w:tc>
          <w:tcPr>
            <w:tcW w:type="dxa" w:w="2448"/>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0 point</w:t>
            </w:r>
          </w:p>
        </w:tc>
        <w:tc>
          <w:tcPr>
            <w:tcW w:type="dxa" w:w="2448"/>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1 point</w:t>
            </w:r>
          </w:p>
        </w:tc>
        <w:tc>
          <w:tcPr>
            <w:tcW w:type="dxa" w:w="2592"/>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2 points</w:t>
            </w:r>
          </w:p>
        </w:tc>
      </w:tr>
      <w:tr>
        <w:tc>
          <w:tcPr>
            <w:tcW w:type="dxa" w:w="1872"/>
            <w:shd w:fill="FFF8F1"/>
          </w:tcPr>
          <w:p>
            <w:pPr>
              <w:spacing w:before="0" w:after="0" w:line="276" w:lineRule="auto"/>
              <w:jc w:val="left"/>
            </w:pPr>
            <w:r/>
            <w:r>
              <w:rPr>
                <w:rFonts w:ascii="Calibri" w:hAnsi="Calibri"/>
                <w:b/>
                <w:color w:val="21314B"/>
                <w:sz w:val="18"/>
              </w:rPr>
              <w:t>Besoin</w:t>
            </w:r>
          </w:p>
        </w:tc>
        <w:tc>
          <w:tcPr>
            <w:tcW w:type="dxa" w:w="2448"/>
          </w:tcPr>
          <w:p>
            <w:pPr>
              <w:spacing w:before="0" w:after="0" w:line="276" w:lineRule="auto"/>
              <w:jc w:val="left"/>
            </w:pPr>
            <w:r/>
            <w:r>
              <w:rPr>
                <w:rFonts w:ascii="Calibri" w:hAnsi="Calibri"/>
                <w:b w:val="0"/>
                <w:color w:val="0B1220"/>
                <w:sz w:val="18"/>
              </w:rPr>
              <w:t>Vague</w:t>
            </w:r>
          </w:p>
        </w:tc>
        <w:tc>
          <w:tcPr>
            <w:tcW w:type="dxa" w:w="2448"/>
          </w:tcPr>
          <w:p>
            <w:pPr>
              <w:spacing w:before="0" w:after="0" w:line="276" w:lineRule="auto"/>
              <w:jc w:val="left"/>
            </w:pPr>
            <w:r/>
            <w:r>
              <w:rPr>
                <w:rFonts w:ascii="Calibri" w:hAnsi="Calibri"/>
                <w:b w:val="0"/>
                <w:color w:val="0B1220"/>
                <w:sz w:val="18"/>
              </w:rPr>
              <w:t>Douleur claire</w:t>
            </w:r>
          </w:p>
        </w:tc>
        <w:tc>
          <w:tcPr>
            <w:tcW w:type="dxa" w:w="2592"/>
          </w:tcPr>
          <w:p>
            <w:pPr>
              <w:spacing w:before="0" w:after="0" w:line="276" w:lineRule="auto"/>
              <w:jc w:val="left"/>
            </w:pPr>
            <w:r/>
            <w:r>
              <w:rPr>
                <w:rFonts w:ascii="Calibri" w:hAnsi="Calibri"/>
                <w:b w:val="0"/>
                <w:color w:val="0B1220"/>
                <w:sz w:val="18"/>
              </w:rPr>
              <w:t>Douleur chiffrée</w:t>
            </w:r>
          </w:p>
        </w:tc>
      </w:tr>
      <w:tr>
        <w:tc>
          <w:tcPr>
            <w:tcW w:type="dxa" w:w="1872"/>
            <w:shd w:fill="FFF8F1"/>
          </w:tcPr>
          <w:p>
            <w:pPr>
              <w:spacing w:before="0" w:after="0" w:line="276" w:lineRule="auto"/>
              <w:jc w:val="left"/>
            </w:pPr>
            <w:r/>
            <w:r>
              <w:rPr>
                <w:rFonts w:ascii="Calibri" w:hAnsi="Calibri"/>
                <w:b/>
                <w:color w:val="21314B"/>
                <w:sz w:val="18"/>
              </w:rPr>
              <w:t>Décideur</w:t>
            </w:r>
          </w:p>
        </w:tc>
        <w:tc>
          <w:tcPr>
            <w:tcW w:type="dxa" w:w="2448"/>
          </w:tcPr>
          <w:p>
            <w:pPr>
              <w:spacing w:before="0" w:after="0" w:line="276" w:lineRule="auto"/>
              <w:jc w:val="left"/>
            </w:pPr>
            <w:r/>
            <w:r>
              <w:rPr>
                <w:rFonts w:ascii="Calibri" w:hAnsi="Calibri"/>
                <w:b w:val="0"/>
                <w:color w:val="0B1220"/>
                <w:sz w:val="18"/>
              </w:rPr>
              <w:t>Inconnu</w:t>
            </w:r>
          </w:p>
        </w:tc>
        <w:tc>
          <w:tcPr>
            <w:tcW w:type="dxa" w:w="2448"/>
          </w:tcPr>
          <w:p>
            <w:pPr>
              <w:spacing w:before="0" w:after="0" w:line="276" w:lineRule="auto"/>
              <w:jc w:val="left"/>
            </w:pPr>
            <w:r/>
            <w:r>
              <w:rPr>
                <w:rFonts w:ascii="Calibri" w:hAnsi="Calibri"/>
                <w:b w:val="0"/>
                <w:color w:val="0B1220"/>
                <w:sz w:val="18"/>
              </w:rPr>
              <w:t>Influenceur</w:t>
            </w:r>
          </w:p>
        </w:tc>
        <w:tc>
          <w:tcPr>
            <w:tcW w:type="dxa" w:w="2592"/>
          </w:tcPr>
          <w:p>
            <w:pPr>
              <w:spacing w:before="0" w:after="0" w:line="276" w:lineRule="auto"/>
              <w:jc w:val="left"/>
            </w:pPr>
            <w:r/>
            <w:r>
              <w:rPr>
                <w:rFonts w:ascii="Calibri" w:hAnsi="Calibri"/>
                <w:b w:val="0"/>
                <w:color w:val="0B1220"/>
                <w:sz w:val="18"/>
              </w:rPr>
              <w:t>Propriétaire / gérant</w:t>
            </w:r>
          </w:p>
        </w:tc>
      </w:tr>
      <w:tr>
        <w:tc>
          <w:tcPr>
            <w:tcW w:type="dxa" w:w="1872"/>
            <w:shd w:fill="FFF8F1"/>
          </w:tcPr>
          <w:p>
            <w:pPr>
              <w:spacing w:before="0" w:after="0" w:line="276" w:lineRule="auto"/>
              <w:jc w:val="left"/>
            </w:pPr>
            <w:r/>
            <w:r>
              <w:rPr>
                <w:rFonts w:ascii="Calibri" w:hAnsi="Calibri"/>
                <w:b/>
                <w:color w:val="21314B"/>
                <w:sz w:val="18"/>
              </w:rPr>
              <w:t>Urgence</w:t>
            </w:r>
          </w:p>
        </w:tc>
        <w:tc>
          <w:tcPr>
            <w:tcW w:type="dxa" w:w="2448"/>
          </w:tcPr>
          <w:p>
            <w:pPr>
              <w:spacing w:before="0" w:after="0" w:line="276" w:lineRule="auto"/>
              <w:jc w:val="left"/>
            </w:pPr>
            <w:r/>
            <w:r>
              <w:rPr>
                <w:rFonts w:ascii="Calibri" w:hAnsi="Calibri"/>
                <w:b w:val="0"/>
                <w:color w:val="0B1220"/>
                <w:sz w:val="18"/>
              </w:rPr>
              <w:t>Aucune</w:t>
            </w:r>
          </w:p>
        </w:tc>
        <w:tc>
          <w:tcPr>
            <w:tcW w:type="dxa" w:w="2448"/>
          </w:tcPr>
          <w:p>
            <w:pPr>
              <w:spacing w:before="0" w:after="0" w:line="276" w:lineRule="auto"/>
              <w:jc w:val="left"/>
            </w:pPr>
            <w:r/>
            <w:r>
              <w:rPr>
                <w:rFonts w:ascii="Calibri" w:hAnsi="Calibri"/>
                <w:b w:val="0"/>
                <w:color w:val="0B1220"/>
                <w:sz w:val="18"/>
              </w:rPr>
              <w:t>Sous 3 mois</w:t>
            </w:r>
          </w:p>
        </w:tc>
        <w:tc>
          <w:tcPr>
            <w:tcW w:type="dxa" w:w="2592"/>
          </w:tcPr>
          <w:p>
            <w:pPr>
              <w:spacing w:before="0" w:after="0" w:line="276" w:lineRule="auto"/>
              <w:jc w:val="left"/>
            </w:pPr>
            <w:r/>
            <w:r>
              <w:rPr>
                <w:rFonts w:ascii="Calibri" w:hAnsi="Calibri"/>
                <w:b w:val="0"/>
                <w:color w:val="0B1220"/>
                <w:sz w:val="18"/>
              </w:rPr>
              <w:t>Sous 30 jours</w:t>
            </w:r>
          </w:p>
        </w:tc>
      </w:tr>
      <w:tr>
        <w:tc>
          <w:tcPr>
            <w:tcW w:type="dxa" w:w="1872"/>
            <w:shd w:fill="FFF8F1"/>
          </w:tcPr>
          <w:p>
            <w:pPr>
              <w:spacing w:before="0" w:after="0" w:line="276" w:lineRule="auto"/>
              <w:jc w:val="left"/>
            </w:pPr>
            <w:r/>
            <w:r>
              <w:rPr>
                <w:rFonts w:ascii="Calibri" w:hAnsi="Calibri"/>
                <w:b/>
                <w:color w:val="21314B"/>
                <w:sz w:val="18"/>
              </w:rPr>
              <w:t>Fit TOK</w:t>
            </w:r>
          </w:p>
        </w:tc>
        <w:tc>
          <w:tcPr>
            <w:tcW w:type="dxa" w:w="2448"/>
          </w:tcPr>
          <w:p>
            <w:pPr>
              <w:spacing w:before="0" w:after="0" w:line="276" w:lineRule="auto"/>
              <w:jc w:val="left"/>
            </w:pPr>
            <w:r/>
            <w:r>
              <w:rPr>
                <w:rFonts w:ascii="Calibri" w:hAnsi="Calibri"/>
                <w:b w:val="0"/>
                <w:color w:val="0B1220"/>
                <w:sz w:val="18"/>
              </w:rPr>
              <w:t>Hors cible</w:t>
            </w:r>
          </w:p>
        </w:tc>
        <w:tc>
          <w:tcPr>
            <w:tcW w:type="dxa" w:w="2448"/>
          </w:tcPr>
          <w:p>
            <w:pPr>
              <w:spacing w:before="0" w:after="0" w:line="276" w:lineRule="auto"/>
              <w:jc w:val="left"/>
            </w:pPr>
            <w:r/>
            <w:r>
              <w:rPr>
                <w:rFonts w:ascii="Calibri" w:hAnsi="Calibri"/>
                <w:b w:val="0"/>
                <w:color w:val="0B1220"/>
                <w:sz w:val="18"/>
              </w:rPr>
              <w:t>Un module utile</w:t>
            </w:r>
          </w:p>
        </w:tc>
        <w:tc>
          <w:tcPr>
            <w:tcW w:type="dxa" w:w="2592"/>
          </w:tcPr>
          <w:p>
            <w:pPr>
              <w:spacing w:before="0" w:after="0" w:line="276" w:lineRule="auto"/>
              <w:jc w:val="left"/>
            </w:pPr>
            <w:r/>
            <w:r>
              <w:rPr>
                <w:rFonts w:ascii="Calibri" w:hAnsi="Calibri"/>
                <w:b w:val="0"/>
                <w:color w:val="0B1220"/>
                <w:sz w:val="18"/>
              </w:rPr>
              <w:t>Packs + réservations + offres</w:t>
            </w:r>
          </w:p>
        </w:tc>
      </w:tr>
      <w:tr>
        <w:tc>
          <w:tcPr>
            <w:tcW w:type="dxa" w:w="1872"/>
            <w:shd w:fill="FFF8F1"/>
          </w:tcPr>
          <w:p>
            <w:pPr>
              <w:spacing w:before="0" w:after="0" w:line="276" w:lineRule="auto"/>
              <w:jc w:val="left"/>
            </w:pPr>
            <w:r/>
            <w:r>
              <w:rPr>
                <w:rFonts w:ascii="Calibri" w:hAnsi="Calibri"/>
                <w:b/>
                <w:color w:val="21314B"/>
                <w:sz w:val="18"/>
              </w:rPr>
              <w:t>Capacité d'activation</w:t>
            </w:r>
          </w:p>
        </w:tc>
        <w:tc>
          <w:tcPr>
            <w:tcW w:type="dxa" w:w="2448"/>
          </w:tcPr>
          <w:p>
            <w:pPr>
              <w:spacing w:before="0" w:after="0" w:line="276" w:lineRule="auto"/>
              <w:jc w:val="left"/>
            </w:pPr>
            <w:r/>
            <w:r>
              <w:rPr>
                <w:rFonts w:ascii="Calibri" w:hAnsi="Calibri"/>
                <w:b w:val="0"/>
                <w:color w:val="0B1220"/>
                <w:sz w:val="18"/>
              </w:rPr>
              <w:t>Équipe bloquée</w:t>
            </w:r>
          </w:p>
        </w:tc>
        <w:tc>
          <w:tcPr>
            <w:tcW w:type="dxa" w:w="2448"/>
          </w:tcPr>
          <w:p>
            <w:pPr>
              <w:spacing w:before="0" w:after="0" w:line="276" w:lineRule="auto"/>
              <w:jc w:val="left"/>
            </w:pPr>
            <w:r/>
            <w:r>
              <w:rPr>
                <w:rFonts w:ascii="Calibri" w:hAnsi="Calibri"/>
                <w:b w:val="0"/>
                <w:color w:val="0B1220"/>
                <w:sz w:val="18"/>
              </w:rPr>
              <w:t>Possible mais lent</w:t>
            </w:r>
          </w:p>
        </w:tc>
        <w:tc>
          <w:tcPr>
            <w:tcW w:type="dxa" w:w="2592"/>
          </w:tcPr>
          <w:p>
            <w:pPr>
              <w:spacing w:before="0" w:after="0" w:line="276" w:lineRule="auto"/>
              <w:jc w:val="left"/>
            </w:pPr>
            <w:r/>
            <w:r>
              <w:rPr>
                <w:rFonts w:ascii="Calibri" w:hAnsi="Calibri"/>
                <w:b w:val="0"/>
                <w:color w:val="0B1220"/>
                <w:sz w:val="18"/>
              </w:rPr>
              <w:t>Prêt à publier / tester</w:t>
            </w:r>
          </w:p>
        </w:tc>
      </w:tr>
    </w:tbl>
    <w:p>
      <w:pPr>
        <w:spacing w:after="120"/>
      </w:pPr>
    </w:p>
    <w:p>
      <w:pPr>
        <w:spacing w:before="0" w:after="120" w:line="300" w:lineRule="auto"/>
      </w:pPr>
      <w:r>
        <w:rPr>
          <w:rFonts w:ascii="Calibri" w:hAnsi="Calibri"/>
          <w:b/>
          <w:i w:val="0"/>
          <w:color w:val="21314B"/>
          <w:sz w:val="22"/>
        </w:rPr>
        <w:t>Règle : 7 points ou plus = lead prioritaire ; 5-6 = nurturing ; moins de 5 = relance légère ou no-fit.</w:t>
      </w:r>
    </w:p>
    <w:p>
      <w:r>
        <w:br w:type="page"/>
      </w:r>
    </w:p>
    <w:p>
      <w:pPr>
        <w:pStyle w:val="Heading1"/>
        <w:spacing w:before="360" w:after="200" w:line="276" w:lineRule="auto"/>
      </w:pPr>
      <w:r>
        <w:rPr>
          <w:rFonts w:ascii="Georgia" w:hAnsi="Georgia"/>
          <w:b/>
          <w:color w:val="21314B"/>
          <w:sz w:val="32"/>
        </w:rPr>
        <w:t>11. Checklists terrain</w:t>
      </w:r>
    </w:p>
    <w:p>
      <w:pPr>
        <w:pStyle w:val="Heading2"/>
        <w:spacing w:before="280" w:after="140" w:line="283" w:lineRule="auto"/>
      </w:pPr>
      <w:r>
        <w:rPr>
          <w:rFonts w:ascii="Calibri" w:hAnsi="Calibri"/>
          <w:b/>
          <w:color w:val="21314B"/>
          <w:sz w:val="26"/>
        </w:rPr>
        <w:t>Avant la démo</w:t>
      </w:r>
    </w:p>
    <w:p>
      <w:pPr>
        <w:pStyle w:val="ListBullet"/>
        <w:spacing w:before="0" w:after="80" w:line="300" w:lineRule="auto"/>
      </w:pPr>
      <w:r>
        <w:rPr>
          <w:rFonts w:ascii="Calibri" w:hAnsi="Calibri"/>
          <w:color w:val="0B1220"/>
          <w:sz w:val="21"/>
        </w:rPr>
        <w:t>Identifier le type de restaurant, son quartier, ses créneaux faibles et son ticket moyen approximatif.</w:t>
      </w:r>
    </w:p>
    <w:p>
      <w:pPr>
        <w:pStyle w:val="ListBullet"/>
        <w:spacing w:before="0" w:after="80" w:line="300" w:lineRule="auto"/>
      </w:pPr>
      <w:r>
        <w:rPr>
          <w:rFonts w:ascii="Calibri" w:hAnsi="Calibri"/>
          <w:color w:val="0B1220"/>
          <w:sz w:val="21"/>
        </w:rPr>
        <w:t>Préparer une hypothèse de pack : Découverte, Essentiel, Pro ou Premium.</w:t>
      </w:r>
    </w:p>
    <w:p>
      <w:pPr>
        <w:pStyle w:val="ListBullet"/>
        <w:spacing w:before="0" w:after="80" w:line="300" w:lineRule="auto"/>
      </w:pPr>
      <w:r>
        <w:rPr>
          <w:rFonts w:ascii="Calibri" w:hAnsi="Calibri"/>
          <w:color w:val="0B1220"/>
          <w:sz w:val="21"/>
        </w:rPr>
        <w:t>Préparer une démo courte : simulateur de marge, packs, dashboard et un levier métier seulement.</w:t>
      </w:r>
    </w:p>
    <w:p>
      <w:pPr>
        <w:pStyle w:val="ListBullet"/>
        <w:spacing w:before="0" w:after="80" w:line="300" w:lineRule="auto"/>
      </w:pPr>
      <w:r>
        <w:rPr>
          <w:rFonts w:ascii="Calibri" w:hAnsi="Calibri"/>
          <w:color w:val="0B1220"/>
          <w:sz w:val="21"/>
        </w:rPr>
        <w:t>Noter les objections probables : commission, temps, visibilité, concurrence, coût initial.</w:t>
      </w:r>
    </w:p>
    <w:p>
      <w:pPr>
        <w:pStyle w:val="Heading2"/>
        <w:spacing w:before="280" w:after="140" w:line="283" w:lineRule="auto"/>
      </w:pPr>
      <w:r>
        <w:rPr>
          <w:rFonts w:ascii="Calibri" w:hAnsi="Calibri"/>
          <w:b/>
          <w:color w:val="21314B"/>
          <w:sz w:val="26"/>
        </w:rPr>
        <w:t>Pendant la démo</w:t>
      </w:r>
    </w:p>
    <w:p>
      <w:pPr>
        <w:pStyle w:val="ListBullet"/>
        <w:spacing w:before="0" w:after="80" w:line="300" w:lineRule="auto"/>
      </w:pPr>
      <w:r>
        <w:rPr>
          <w:rFonts w:ascii="Calibri" w:hAnsi="Calibri"/>
          <w:color w:val="0B1220"/>
          <w:sz w:val="21"/>
        </w:rPr>
        <w:t>Commencer par la douleur du restaurateur, pas par les fonctionnalités.</w:t>
      </w:r>
    </w:p>
    <w:p>
      <w:pPr>
        <w:pStyle w:val="ListBullet"/>
        <w:spacing w:before="0" w:after="80" w:line="300" w:lineRule="auto"/>
      </w:pPr>
      <w:r>
        <w:rPr>
          <w:rFonts w:ascii="Calibri" w:hAnsi="Calibri"/>
          <w:color w:val="0B1220"/>
          <w:sz w:val="21"/>
        </w:rPr>
        <w:t>Faire manipuler les chiffres : tables/mois, ticket moyen, coût marketing.</w:t>
      </w:r>
    </w:p>
    <w:p>
      <w:pPr>
        <w:pStyle w:val="ListBullet"/>
        <w:spacing w:before="0" w:after="80" w:line="300" w:lineRule="auto"/>
      </w:pPr>
      <w:r>
        <w:rPr>
          <w:rFonts w:ascii="Calibri" w:hAnsi="Calibri"/>
          <w:color w:val="0B1220"/>
          <w:sz w:val="21"/>
        </w:rPr>
        <w:t>Choisir un plan d'activation en une phrase : 'On commence par...'.</w:t>
      </w:r>
    </w:p>
    <w:p>
      <w:pPr>
        <w:pStyle w:val="ListBullet"/>
        <w:spacing w:before="0" w:after="80" w:line="300" w:lineRule="auto"/>
      </w:pPr>
      <w:r>
        <w:rPr>
          <w:rFonts w:ascii="Calibri" w:hAnsi="Calibri"/>
          <w:color w:val="0B1220"/>
          <w:sz w:val="21"/>
        </w:rPr>
        <w:t>Terminer avec une prochaine étape datée : pack, compte, rendez-vous, envoi des photos ou carte.</w:t>
      </w:r>
    </w:p>
    <w:p>
      <w:pPr>
        <w:pStyle w:val="Heading2"/>
        <w:spacing w:before="280" w:after="140" w:line="283" w:lineRule="auto"/>
      </w:pPr>
      <w:r>
        <w:rPr>
          <w:rFonts w:ascii="Calibri" w:hAnsi="Calibri"/>
          <w:b/>
          <w:color w:val="21314B"/>
          <w:sz w:val="26"/>
        </w:rPr>
        <w:t>Après la signature</w:t>
      </w:r>
    </w:p>
    <w:p>
      <w:pPr>
        <w:pStyle w:val="ListBullet"/>
        <w:spacing w:before="0" w:after="80" w:line="300" w:lineRule="auto"/>
      </w:pPr>
      <w:r>
        <w:rPr>
          <w:rFonts w:ascii="Calibri" w:hAnsi="Calibri"/>
          <w:color w:val="0B1220"/>
          <w:sz w:val="21"/>
        </w:rPr>
        <w:t>Confirmer le pack, le responsable, les assets nécessaires et le calendrier.</w:t>
      </w:r>
    </w:p>
    <w:p>
      <w:pPr>
        <w:pStyle w:val="ListBullet"/>
        <w:spacing w:before="0" w:after="80" w:line="300" w:lineRule="auto"/>
      </w:pPr>
      <w:r>
        <w:rPr>
          <w:rFonts w:ascii="Calibri" w:hAnsi="Calibri"/>
          <w:color w:val="0B1220"/>
          <w:sz w:val="21"/>
        </w:rPr>
        <w:t>Suivre menu publié, photos prêtes, première offre, premières réservations et premiers retours.</w:t>
      </w:r>
    </w:p>
    <w:p>
      <w:pPr>
        <w:pStyle w:val="ListBullet"/>
        <w:spacing w:before="0" w:after="80" w:line="300" w:lineRule="auto"/>
      </w:pPr>
      <w:r>
        <w:rPr>
          <w:rFonts w:ascii="Calibri" w:hAnsi="Calibri"/>
          <w:color w:val="0B1220"/>
          <w:sz w:val="21"/>
        </w:rPr>
        <w:t>Ne pas laisser le restaurant signé sans activation : la valeur doit apparaître dans les 14 premiers jours.</w:t>
      </w:r>
    </w:p>
    <w:p>
      <w:pPr>
        <w:pStyle w:val="Heading1"/>
        <w:spacing w:before="360" w:after="200" w:line="276" w:lineRule="auto"/>
      </w:pPr>
      <w:r>
        <w:rPr>
          <w:rFonts w:ascii="Georgia" w:hAnsi="Georgia"/>
          <w:b/>
          <w:color w:val="21314B"/>
          <w:sz w:val="32"/>
        </w:rPr>
        <w:t>12. Messages à ne jamais envoyer</w:t>
      </w:r>
    </w:p>
    <w:tbl>
      <w:tblPr>
        <w:tblStyle w:val="TableGrid"/>
        <w:tblW w:type="dxa" w:w="9360"/>
        <w:jc w:val="center"/>
        <w:tblLayout w:type="fixed"/>
        <w:tblLook w:firstColumn="1" w:firstRow="1" w:lastColumn="0" w:lastRow="0" w:noHBand="0" w:noVBand="1" w:val="04A0"/>
        <w:tblInd w:w="120" w:type="dxa"/>
      </w:tblPr>
      <w:tblGrid>
        <w:gridCol w:w="2304"/>
        <w:gridCol w:w="3168"/>
        <w:gridCol w:w="3888"/>
      </w:tblGrid>
      <w:tr>
        <w:tc>
          <w:tcPr>
            <w:tcW w:type="dxa" w:w="2304"/>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À éviter</w:t>
            </w:r>
          </w:p>
        </w:tc>
        <w:tc>
          <w:tcPr>
            <w:tcW w:type="dxa" w:w="3168"/>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Pourquoi</w:t>
            </w:r>
          </w:p>
        </w:tc>
        <w:tc>
          <w:tcPr>
            <w:tcW w:type="dxa" w:w="3888"/>
            <w:vAlign w:val="center"/>
            <w:tcMar>
              <w:top w:w="100" w:type="dxa"/>
              <w:start w:w="140" w:type="dxa"/>
              <w:bottom w:w="100" w:type="dxa"/>
              <w:end w:w="140" w:type="dxa"/>
            </w:tcMar>
            <w:shd w:fill="21314B"/>
          </w:tcPr>
          <w:p>
            <w:pPr>
              <w:spacing w:before="0" w:after="0" w:line="276" w:lineRule="auto"/>
              <w:jc w:val="left"/>
            </w:pPr>
            <w:r/>
            <w:r>
              <w:rPr>
                <w:rFonts w:ascii="Calibri" w:hAnsi="Calibri"/>
                <w:b/>
                <w:color w:val="FFFFFF"/>
                <w:sz w:val="17"/>
              </w:rPr>
              <w:t>Alternative</w:t>
            </w:r>
          </w:p>
        </w:tc>
      </w:tr>
      <w:tr>
        <w:tc>
          <w:tcPr>
            <w:tcW w:type="dxa" w:w="2304"/>
            <w:shd w:fill="FFF8F1"/>
          </w:tcPr>
          <w:p>
            <w:pPr>
              <w:spacing w:before="0" w:after="0" w:line="276" w:lineRule="auto"/>
              <w:jc w:val="left"/>
            </w:pPr>
            <w:r/>
            <w:r>
              <w:rPr>
                <w:rFonts w:ascii="Calibri" w:hAnsi="Calibri"/>
                <w:b/>
                <w:color w:val="21314B"/>
                <w:sz w:val="18"/>
              </w:rPr>
              <w:t>On va vous ramener beaucoup de clients.</w:t>
            </w:r>
          </w:p>
        </w:tc>
        <w:tc>
          <w:tcPr>
            <w:tcW w:type="dxa" w:w="3168"/>
          </w:tcPr>
          <w:p>
            <w:pPr>
              <w:spacing w:before="0" w:after="0" w:line="276" w:lineRule="auto"/>
              <w:jc w:val="left"/>
            </w:pPr>
            <w:r/>
            <w:r>
              <w:rPr>
                <w:rFonts w:ascii="Calibri" w:hAnsi="Calibri"/>
                <w:b w:val="0"/>
                <w:color w:val="0B1220"/>
                <w:sz w:val="18"/>
              </w:rPr>
              <w:t>Promesse vague et risquée.</w:t>
            </w:r>
          </w:p>
        </w:tc>
        <w:tc>
          <w:tcPr>
            <w:tcW w:type="dxa" w:w="3888"/>
          </w:tcPr>
          <w:p>
            <w:pPr>
              <w:spacing w:before="0" w:after="0" w:line="276" w:lineRule="auto"/>
              <w:jc w:val="left"/>
            </w:pPr>
            <w:r/>
            <w:r>
              <w:rPr>
                <w:rFonts w:ascii="Calibri" w:hAnsi="Calibri"/>
                <w:b w:val="0"/>
                <w:color w:val="0B1220"/>
                <w:sz w:val="18"/>
              </w:rPr>
              <w:t>On cadre un objectif mesurable de tables, offres ou visibilité.</w:t>
            </w:r>
          </w:p>
        </w:tc>
      </w:tr>
      <w:tr>
        <w:tc>
          <w:tcPr>
            <w:tcW w:type="dxa" w:w="2304"/>
            <w:shd w:fill="FFF8F1"/>
          </w:tcPr>
          <w:p>
            <w:pPr>
              <w:spacing w:before="0" w:after="0" w:line="276" w:lineRule="auto"/>
              <w:jc w:val="left"/>
            </w:pPr>
            <w:r/>
            <w:r>
              <w:rPr>
                <w:rFonts w:ascii="Calibri" w:hAnsi="Calibri"/>
                <w:b/>
                <w:color w:val="21314B"/>
                <w:sz w:val="18"/>
              </w:rPr>
              <w:t>C'est comme Uber Eats mais moins cher.</w:t>
            </w:r>
          </w:p>
        </w:tc>
        <w:tc>
          <w:tcPr>
            <w:tcW w:type="dxa" w:w="3168"/>
          </w:tcPr>
          <w:p>
            <w:pPr>
              <w:spacing w:before="0" w:after="0" w:line="276" w:lineRule="auto"/>
              <w:jc w:val="left"/>
            </w:pPr>
            <w:r/>
            <w:r>
              <w:rPr>
                <w:rFonts w:ascii="Calibri" w:hAnsi="Calibri"/>
                <w:b w:val="0"/>
                <w:color w:val="0B1220"/>
                <w:sz w:val="18"/>
              </w:rPr>
              <w:t>Positionnement défensif.</w:t>
            </w:r>
          </w:p>
        </w:tc>
        <w:tc>
          <w:tcPr>
            <w:tcW w:type="dxa" w:w="3888"/>
          </w:tcPr>
          <w:p>
            <w:pPr>
              <w:spacing w:before="0" w:after="0" w:line="276" w:lineRule="auto"/>
              <w:jc w:val="left"/>
            </w:pPr>
            <w:r/>
            <w:r>
              <w:rPr>
                <w:rFonts w:ascii="Calibri" w:hAnsi="Calibri"/>
                <w:b w:val="0"/>
                <w:color w:val="0B1220"/>
                <w:sz w:val="18"/>
              </w:rPr>
              <w:t>TOK combine réservation, offres, relation client et outils restaurateur.</w:t>
            </w:r>
          </w:p>
        </w:tc>
      </w:tr>
      <w:tr>
        <w:tc>
          <w:tcPr>
            <w:tcW w:type="dxa" w:w="2304"/>
            <w:shd w:fill="FFF8F1"/>
          </w:tcPr>
          <w:p>
            <w:pPr>
              <w:spacing w:before="0" w:after="0" w:line="276" w:lineRule="auto"/>
              <w:jc w:val="left"/>
            </w:pPr>
            <w:r/>
            <w:r>
              <w:rPr>
                <w:rFonts w:ascii="Calibri" w:hAnsi="Calibri"/>
                <w:b/>
                <w:color w:val="21314B"/>
                <w:sz w:val="18"/>
              </w:rPr>
              <w:t>Tout est automatisé.</w:t>
            </w:r>
          </w:p>
        </w:tc>
        <w:tc>
          <w:tcPr>
            <w:tcW w:type="dxa" w:w="3168"/>
          </w:tcPr>
          <w:p>
            <w:pPr>
              <w:spacing w:before="0" w:after="0" w:line="276" w:lineRule="auto"/>
              <w:jc w:val="left"/>
            </w:pPr>
            <w:r/>
            <w:r>
              <w:rPr>
                <w:rFonts w:ascii="Calibri" w:hAnsi="Calibri"/>
                <w:b w:val="0"/>
                <w:color w:val="0B1220"/>
                <w:sz w:val="18"/>
              </w:rPr>
              <w:t>Peut créer une attente fausse.</w:t>
            </w:r>
          </w:p>
        </w:tc>
        <w:tc>
          <w:tcPr>
            <w:tcW w:type="dxa" w:w="3888"/>
          </w:tcPr>
          <w:p>
            <w:pPr>
              <w:spacing w:before="0" w:after="0" w:line="276" w:lineRule="auto"/>
              <w:jc w:val="left"/>
            </w:pPr>
            <w:r/>
            <w:r>
              <w:rPr>
                <w:rFonts w:ascii="Calibri" w:hAnsi="Calibri"/>
                <w:b w:val="0"/>
                <w:color w:val="0B1220"/>
                <w:sz w:val="18"/>
              </w:rPr>
              <w:t>Les modules clés sont outillés, avec accompagnement selon pack.</w:t>
            </w:r>
          </w:p>
        </w:tc>
      </w:tr>
      <w:tr>
        <w:tc>
          <w:tcPr>
            <w:tcW w:type="dxa" w:w="2304"/>
            <w:shd w:fill="FFF8F1"/>
          </w:tcPr>
          <w:p>
            <w:pPr>
              <w:spacing w:before="0" w:after="0" w:line="276" w:lineRule="auto"/>
              <w:jc w:val="left"/>
            </w:pPr>
            <w:r/>
            <w:r>
              <w:rPr>
                <w:rFonts w:ascii="Calibri" w:hAnsi="Calibri"/>
                <w:b/>
                <w:color w:val="21314B"/>
                <w:sz w:val="18"/>
              </w:rPr>
              <w:t>Aucun effort de votre côté.</w:t>
            </w:r>
          </w:p>
        </w:tc>
        <w:tc>
          <w:tcPr>
            <w:tcW w:type="dxa" w:w="3168"/>
          </w:tcPr>
          <w:p>
            <w:pPr>
              <w:spacing w:before="0" w:after="0" w:line="276" w:lineRule="auto"/>
              <w:jc w:val="left"/>
            </w:pPr>
            <w:r/>
            <w:r>
              <w:rPr>
                <w:rFonts w:ascii="Calibri" w:hAnsi="Calibri"/>
                <w:b w:val="0"/>
                <w:color w:val="0B1220"/>
                <w:sz w:val="18"/>
              </w:rPr>
              <w:t>Faux pour menu, photos, validation.</w:t>
            </w:r>
          </w:p>
        </w:tc>
        <w:tc>
          <w:tcPr>
            <w:tcW w:type="dxa" w:w="3888"/>
          </w:tcPr>
          <w:p>
            <w:pPr>
              <w:spacing w:before="0" w:after="0" w:line="276" w:lineRule="auto"/>
              <w:jc w:val="left"/>
            </w:pPr>
            <w:r/>
            <w:r>
              <w:rPr>
                <w:rFonts w:ascii="Calibri" w:hAnsi="Calibri"/>
                <w:b w:val="0"/>
                <w:color w:val="0B1220"/>
                <w:sz w:val="18"/>
              </w:rPr>
              <w:t>On réduit fortement l'effort de mise en place.</w:t>
            </w:r>
          </w:p>
        </w:tc>
      </w:tr>
    </w:tbl>
    <w:p>
      <w:pPr>
        <w:spacing w:after="120"/>
      </w:pPr>
    </w:p>
    <w:p>
      <w:r>
        <w:br w:type="page"/>
      </w:r>
    </w:p>
    <w:p>
      <w:pPr>
        <w:pStyle w:val="Heading1"/>
        <w:spacing w:before="360" w:after="200" w:line="276" w:lineRule="auto"/>
      </w:pPr>
      <w:r>
        <w:rPr>
          <w:rFonts w:ascii="Georgia" w:hAnsi="Georgia"/>
          <w:b/>
          <w:color w:val="21314B"/>
          <w:sz w:val="32"/>
        </w:rPr>
        <w:t>13. Sources internes et éléments à personnaliser</w:t>
      </w:r>
    </w:p>
    <w:p>
      <w:pPr>
        <w:spacing w:before="0" w:after="120" w:line="300" w:lineRule="auto"/>
      </w:pPr>
      <w:r>
        <w:rPr>
          <w:rFonts w:ascii="Calibri" w:hAnsi="Calibri"/>
          <w:b w:val="0"/>
          <w:i w:val="0"/>
          <w:color w:val="0B1220"/>
          <w:sz w:val="22"/>
        </w:rPr>
        <w:t>Ce playbook est basé sur l'état local du repo TOK au 7 juin 2026. Avant diffusion externe, compléter avec les métriques réelles terrain : restaurants signés, taux de démo, activation, tables générées, rétention et revenus.</w:t>
      </w:r>
    </w:p>
    <w:tbl>
      <w:tblPr>
        <w:tblStyle w:val="TableGrid"/>
        <w:tblW w:type="dxa" w:w="9360"/>
        <w:jc w:val="center"/>
        <w:tblLayout w:type="fixed"/>
        <w:tblLook w:firstColumn="1" w:firstRow="1" w:lastColumn="0" w:lastRow="0" w:noHBand="0" w:noVBand="1" w:val="04A0"/>
        <w:tblInd w:w="120" w:type="dxa"/>
      </w:tblPr>
      <w:tblGrid>
        <w:gridCol w:w="3384"/>
        <w:gridCol w:w="5976"/>
      </w:tblGrid>
      <w:tr>
        <w:tc>
          <w:tcPr>
            <w:tcW w:type="dxa" w:w="3384"/>
            <w:vAlign w:val="center"/>
            <w:tcMar>
              <w:top w:w="100" w:type="dxa"/>
              <w:start w:w="140" w:type="dxa"/>
              <w:bottom w:w="100" w:type="dxa"/>
              <w:end w:w="140" w:type="dxa"/>
            </w:tcMar>
            <w:shd w:fill="FF6A1A"/>
          </w:tcPr>
          <w:p>
            <w:pPr>
              <w:spacing w:before="0" w:after="0" w:line="276" w:lineRule="auto"/>
              <w:jc w:val="left"/>
            </w:pPr>
            <w:r/>
            <w:r>
              <w:rPr>
                <w:rFonts w:ascii="Calibri" w:hAnsi="Calibri"/>
                <w:b/>
                <w:color w:val="FFFFFF"/>
                <w:sz w:val="17"/>
              </w:rPr>
              <w:t>Source</w:t>
            </w:r>
          </w:p>
        </w:tc>
        <w:tc>
          <w:tcPr>
            <w:tcW w:type="dxa" w:w="5976"/>
            <w:vAlign w:val="center"/>
            <w:tcMar>
              <w:top w:w="100" w:type="dxa"/>
              <w:start w:w="140" w:type="dxa"/>
              <w:bottom w:w="100" w:type="dxa"/>
              <w:end w:w="140" w:type="dxa"/>
            </w:tcMar>
            <w:shd w:fill="FF6A1A"/>
          </w:tcPr>
          <w:p>
            <w:pPr>
              <w:spacing w:before="0" w:after="0" w:line="276" w:lineRule="auto"/>
              <w:jc w:val="left"/>
            </w:pPr>
            <w:r/>
            <w:r>
              <w:rPr>
                <w:rFonts w:ascii="Calibri" w:hAnsi="Calibri"/>
                <w:b/>
                <w:color w:val="FFFFFF"/>
                <w:sz w:val="17"/>
              </w:rPr>
              <w:t>Usage dans le playbook</w:t>
            </w:r>
          </w:p>
        </w:tc>
      </w:tr>
      <w:tr>
        <w:tc>
          <w:tcPr>
            <w:tcW w:type="dxa" w:w="3384"/>
            <w:shd w:fill="FFF8F1"/>
          </w:tcPr>
          <w:p>
            <w:pPr>
              <w:spacing w:before="0" w:after="0" w:line="276" w:lineRule="auto"/>
              <w:jc w:val="left"/>
            </w:pPr>
            <w:r/>
            <w:r>
              <w:rPr>
                <w:rFonts w:ascii="Calibri" w:hAnsi="Calibri"/>
                <w:b/>
                <w:color w:val="21314B"/>
                <w:sz w:val="18"/>
              </w:rPr>
              <w:t>src/pages/RestaurateursGeneve.tsx</w:t>
            </w:r>
          </w:p>
        </w:tc>
        <w:tc>
          <w:tcPr>
            <w:tcW w:type="dxa" w:w="5976"/>
          </w:tcPr>
          <w:p>
            <w:pPr>
              <w:spacing w:before="0" w:after="0" w:line="276" w:lineRule="auto"/>
              <w:jc w:val="left"/>
            </w:pPr>
            <w:r/>
            <w:r>
              <w:rPr>
                <w:rFonts w:ascii="Calibri" w:hAnsi="Calibri"/>
                <w:b w:val="0"/>
                <w:color w:val="0B1220"/>
                <w:sz w:val="18"/>
              </w:rPr>
              <w:t>Message B2B Genève, simulateur de marge, 5 CHF/table, packs mensuels d'exemple.</w:t>
            </w:r>
          </w:p>
        </w:tc>
      </w:tr>
      <w:tr>
        <w:tc>
          <w:tcPr>
            <w:tcW w:type="dxa" w:w="3384"/>
            <w:shd w:fill="FFF8F1"/>
          </w:tcPr>
          <w:p>
            <w:pPr>
              <w:spacing w:before="0" w:after="0" w:line="276" w:lineRule="auto"/>
              <w:jc w:val="left"/>
            </w:pPr>
            <w:r/>
            <w:r>
              <w:rPr>
                <w:rFonts w:ascii="Calibri" w:hAnsi="Calibri"/>
                <w:b/>
                <w:color w:val="21314B"/>
                <w:sz w:val="18"/>
              </w:rPr>
              <w:t>supabase/migrations/20260404120000_launch_offer_packs.sql</w:t>
            </w:r>
          </w:p>
        </w:tc>
        <w:tc>
          <w:tcPr>
            <w:tcW w:type="dxa" w:w="5976"/>
          </w:tcPr>
          <w:p>
            <w:pPr>
              <w:spacing w:before="0" w:after="0" w:line="276" w:lineRule="auto"/>
              <w:jc w:val="left"/>
            </w:pPr>
            <w:r/>
            <w:r>
              <w:rPr>
                <w:rFonts w:ascii="Calibri" w:hAnsi="Calibri"/>
                <w:b w:val="0"/>
                <w:color w:val="0B1220"/>
                <w:sz w:val="18"/>
              </w:rPr>
              <w:t>Prix et contenu des packs Découverte, Essentiel, Pro, Premium.</w:t>
            </w:r>
          </w:p>
        </w:tc>
      </w:tr>
      <w:tr>
        <w:tc>
          <w:tcPr>
            <w:tcW w:type="dxa" w:w="3384"/>
            <w:shd w:fill="FFF8F1"/>
          </w:tcPr>
          <w:p>
            <w:pPr>
              <w:spacing w:before="0" w:after="0" w:line="276" w:lineRule="auto"/>
              <w:jc w:val="left"/>
            </w:pPr>
            <w:r/>
            <w:r>
              <w:rPr>
                <w:rFonts w:ascii="Calibri" w:hAnsi="Calibri"/>
                <w:b/>
                <w:color w:val="21314B"/>
                <w:sz w:val="18"/>
              </w:rPr>
              <w:t>supabase/migrations/20260607033000_platform_finance_sales_governance.sql</w:t>
            </w:r>
          </w:p>
        </w:tc>
        <w:tc>
          <w:tcPr>
            <w:tcW w:type="dxa" w:w="5976"/>
          </w:tcPr>
          <w:p>
            <w:pPr>
              <w:spacing w:before="0" w:after="0" w:line="276" w:lineRule="auto"/>
              <w:jc w:val="left"/>
            </w:pPr>
            <w:r/>
            <w:r>
              <w:rPr>
                <w:rFonts w:ascii="Calibri" w:hAnsi="Calibri"/>
                <w:b w:val="0"/>
                <w:color w:val="0B1220"/>
                <w:sz w:val="18"/>
              </w:rPr>
              <w:t>Pipeline leads/deals, objectif 10 restaurants/mois, commission commerciale 7 %.</w:t>
            </w:r>
          </w:p>
        </w:tc>
      </w:tr>
      <w:tr>
        <w:tc>
          <w:tcPr>
            <w:tcW w:type="dxa" w:w="3384"/>
            <w:shd w:fill="FFF8F1"/>
          </w:tcPr>
          <w:p>
            <w:pPr>
              <w:spacing w:before="0" w:after="0" w:line="276" w:lineRule="auto"/>
              <w:jc w:val="left"/>
            </w:pPr>
            <w:r/>
            <w:r>
              <w:rPr>
                <w:rFonts w:ascii="Calibri" w:hAnsi="Calibri"/>
                <w:b/>
                <w:color w:val="21314B"/>
                <w:sz w:val="18"/>
              </w:rPr>
              <w:t>docs/skills/TOK_APPLICATION_SKILL.md</w:t>
            </w:r>
          </w:p>
        </w:tc>
        <w:tc>
          <w:tcPr>
            <w:tcW w:type="dxa" w:w="5976"/>
          </w:tcPr>
          <w:p>
            <w:pPr>
              <w:spacing w:before="0" w:after="0" w:line="276" w:lineRule="auto"/>
              <w:jc w:val="left"/>
            </w:pPr>
            <w:r/>
            <w:r>
              <w:rPr>
                <w:rFonts w:ascii="Calibri" w:hAnsi="Calibri"/>
                <w:b w:val="0"/>
                <w:color w:val="0B1220"/>
                <w:sz w:val="18"/>
              </w:rPr>
              <w:t>Positionnement restaurateur-first, modules client/dashboard/courier/admin.</w:t>
            </w:r>
          </w:p>
        </w:tc>
      </w:tr>
      <w:tr>
        <w:tc>
          <w:tcPr>
            <w:tcW w:type="dxa" w:w="3384"/>
            <w:shd w:fill="FFF8F1"/>
          </w:tcPr>
          <w:p>
            <w:pPr>
              <w:spacing w:before="0" w:after="0" w:line="276" w:lineRule="auto"/>
              <w:jc w:val="left"/>
            </w:pPr>
            <w:r/>
            <w:r>
              <w:rPr>
                <w:rFonts w:ascii="Calibri" w:hAnsi="Calibri"/>
                <w:b/>
                <w:color w:val="21314B"/>
                <w:sz w:val="18"/>
              </w:rPr>
              <w:t>docs/audits/2026-05-31-global-site-gap-audit.md</w:t>
            </w:r>
          </w:p>
        </w:tc>
        <w:tc>
          <w:tcPr>
            <w:tcW w:type="dxa" w:w="5976"/>
          </w:tcPr>
          <w:p>
            <w:pPr>
              <w:spacing w:before="0" w:after="0" w:line="276" w:lineRule="auto"/>
              <w:jc w:val="left"/>
            </w:pPr>
            <w:r/>
            <w:r>
              <w:rPr>
                <w:rFonts w:ascii="Calibri" w:hAnsi="Calibri"/>
                <w:b w:val="0"/>
                <w:color w:val="0B1220"/>
                <w:sz w:val="18"/>
              </w:rPr>
              <w:t>Maturité plateforme et priorités opérationnelles.</w:t>
            </w:r>
          </w:p>
        </w:tc>
      </w:tr>
    </w:tbl>
    <w:p>
      <w:pPr>
        <w:spacing w:after="120"/>
      </w:pPr>
    </w:p>
    <w:p>
      <w:pPr>
        <w:pStyle w:val="Heading2"/>
        <w:spacing w:before="280" w:after="140" w:line="283" w:lineRule="auto"/>
      </w:pPr>
      <w:r>
        <w:rPr>
          <w:rFonts w:ascii="Calibri" w:hAnsi="Calibri"/>
          <w:b/>
          <w:color w:val="21314B"/>
          <w:sz w:val="26"/>
        </w:rPr>
        <w:t>Liens utiles pour contexte marché</w:t>
      </w:r>
    </w:p>
    <w:p>
      <w:pPr>
        <w:spacing w:before="0" w:after="40" w:line="300" w:lineRule="auto"/>
      </w:pPr>
      <w:r>
        <w:rPr>
          <w:rFonts w:ascii="Calibri" w:hAnsi="Calibri"/>
          <w:b w:val="0"/>
          <w:i w:val="0"/>
          <w:color w:val="0B1220"/>
          <w:sz w:val="22"/>
        </w:rPr>
        <w:t xml:space="preserve">Population suisse : </w:t>
      </w:r>
      <w:hyperlink r:id="rId12">
        <w:r>
          <w:rPr>
            <w:color w:val="FF6A1A"/>
            <w:u w:val="single"/>
          </w:rPr>
          <w:t>communiqué FSO / geo.admin.ch</w:t>
        </w:r>
      </w:hyperlink>
    </w:p>
    <w:p>
      <w:pPr>
        <w:spacing w:before="0" w:after="40" w:line="300" w:lineRule="auto"/>
      </w:pPr>
      <w:r>
        <w:rPr>
          <w:rFonts w:ascii="Calibri" w:hAnsi="Calibri"/>
          <w:b w:val="0"/>
          <w:i w:val="0"/>
          <w:color w:val="0B1220"/>
          <w:sz w:val="22"/>
        </w:rPr>
        <w:t xml:space="preserve">Population du canton de Genève : </w:t>
      </w:r>
      <w:hyperlink r:id="rId13">
        <w:r>
          <w:rPr>
            <w:color w:val="FF6A1A"/>
            <w:u w:val="single"/>
          </w:rPr>
          <w:t>OCSTAT Genève</w:t>
        </w:r>
      </w:hyperlink>
    </w:p>
    <w:p>
      <w:pPr>
        <w:spacing w:before="0" w:after="40" w:line="300" w:lineRule="auto"/>
      </w:pPr>
      <w:r>
        <w:rPr>
          <w:rFonts w:ascii="Calibri" w:hAnsi="Calibri"/>
          <w:b w:val="0"/>
          <w:i w:val="0"/>
          <w:color w:val="0B1220"/>
          <w:sz w:val="22"/>
        </w:rPr>
        <w:t xml:space="preserve">Définition statistique de la restauration : </w:t>
      </w:r>
      <w:hyperlink r:id="rId14">
        <w:r>
          <w:rPr>
            <w:color w:val="FF6A1A"/>
            <w:u w:val="single"/>
          </w:rPr>
          <w:t>NOGA 2025 - activités de service de restauration</w:t>
        </w:r>
      </w:hyperlink>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160" w:type="dxa"/>
              <w:start w:w="220" w:type="dxa"/>
              <w:bottom w:w="160" w:type="dxa"/>
              <w:end w:w="220" w:type="dxa"/>
            </w:tcMar>
            <w:shd w:fill="FFF7ED"/>
          </w:tcPr>
          <w:p>
            <w:pPr>
              <w:spacing w:before="0" w:after="60" w:line="276" w:lineRule="auto"/>
            </w:pPr>
            <w:r/>
            <w:r>
              <w:rPr>
                <w:rFonts w:ascii="Calibri" w:hAnsi="Calibri"/>
                <w:b/>
                <w:color w:val="D94F0F"/>
                <w:sz w:val="17"/>
              </w:rPr>
              <w:t>À COMPLÉTER PAR L'ÉQUIPE</w:t>
            </w:r>
          </w:p>
          <w:p>
            <w:pPr>
              <w:spacing w:before="0" w:after="0" w:line="288" w:lineRule="auto"/>
            </w:pPr>
            <w:r>
              <w:rPr>
                <w:rFonts w:ascii="Calibri" w:hAnsi="Calibri"/>
                <w:b/>
                <w:color w:val="0B1220"/>
                <w:sz w:val="21"/>
              </w:rPr>
              <w:t>Ajouter la grille tarifaire validée, les preuves clients réelles, le CRM cible, les règles de commission définitives et la politique de remise autorisée.</w:t>
            </w:r>
          </w:p>
        </w:tc>
      </w:tr>
    </w:tbl>
    <w:p>
      <w:pPr>
        <w:spacing w:after="80"/>
      </w:pPr>
    </w:p>
    <w:sectPr w:rsidR="00FC693F" w:rsidRPr="0006063C" w:rsidSect="00034616">
      <w:headerReference w:type="default" r:id="rId9"/>
      <w:footerReference w:type="default" r:id="rId10"/>
      <w:pgSz w:w="12240" w:h="15840"/>
      <w:pgMar w:top="1181" w:right="1296" w:bottom="1037"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Document interne - à adapter avec les chiffres terrain et les retours des commerciaux.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7"/>
      </w:rPr>
      <w:t>TOK | Playbook commercial restaurateurs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12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131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131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94F0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geo.admin.ch/en/nsb?id=104703" TargetMode="External"/><Relationship Id="rId13" Type="http://schemas.openxmlformats.org/officeDocument/2006/relationships/hyperlink" Target="https://statistique.ge.ch/domaines/apercu.asp?dom=01_01" TargetMode="External"/><Relationship Id="rId14" Type="http://schemas.openxmlformats.org/officeDocument/2006/relationships/hyperlink" Target="https://www.kubb-tool.bfs.admin.ch/fr/noga/2025/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