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8"/>
        </w:rPr>
        <w:t>TOK / TheTok</w:t>
      </w:r>
    </w:p>
    <w:p>
      <w:pPr>
        <w:spacing w:after="200"/>
        <w:jc w:val="left"/>
      </w:pPr>
      <w:r>
        <w:rPr>
          <w:rFonts w:ascii="Calibri" w:hAnsi="Calibri"/>
          <w:b w:val="0"/>
          <w:color w:val="2E74B5"/>
          <w:sz w:val="32"/>
        </w:rPr>
        <w:t>Business plan complet et projections de revenu 2026-2029</w:t>
      </w:r>
    </w:p>
    <w:p>
      <w:pPr>
        <w:jc w:val="left"/>
      </w:pPr>
      <w:r>
        <w:rPr>
          <w:rFonts w:ascii="Calibri" w:hAnsi="Calibri"/>
          <w:b w:val="0"/>
          <w:color w:val="666666"/>
          <w:sz w:val="21"/>
        </w:rPr>
        <w:t>Version: juin 2026 | Marche cible prioritaire: Geneve puis Suisse romande</w:t>
      </w:r>
    </w:p>
    <w:p>
      <w:pPr>
        <w:jc w:val="left"/>
      </w:pPr>
      <w:r>
        <w:rPr>
          <w:rFonts w:ascii="Calibri" w:hAnsi="Calibri"/>
          <w:b w:val="0"/>
        </w:rPr>
        <w:t>Ce document synthese presente le positionnement, le modele economique, les hypotheses d'execution et les projections basse, moyenne et haute de TOK sur les trois prochaines annees.</w:t>
      </w:r>
    </w:p>
    <w:p>
      <w:r>
        <w:br w:type="page"/>
      </w:r>
    </w:p>
    <w:p>
      <w:pPr>
        <w:pStyle w:val="Heading1"/>
        <w:jc w:val="left"/>
      </w:pPr>
      <w:r>
        <w:rPr>
          <w:rFonts w:ascii="Calibri" w:hAnsi="Calibri"/>
          <w:b w:val="0"/>
        </w:rPr>
        <w:t>1. Resume executif</w:t>
      </w:r>
    </w:p>
    <w:p>
      <w:pPr>
        <w:jc w:val="left"/>
      </w:pPr>
      <w:r>
        <w:rPr>
          <w:rFonts w:ascii="Calibri" w:hAnsi="Calibri"/>
          <w:b w:val="0"/>
        </w:rPr>
        <w:t>TOK est une plateforme suisse restaurant-first qui combine acquisition client, reservation, commande directe, fidelite, abonnement premium, campagnes marketing et outils d'exploitation restaurant. L'opportunite n'est pas seulement de generer du volume transactionnel; elle est de devenir la couche de revenu, d'operations et de relation client des restaurants independants.</w:t>
      </w:r>
    </w:p>
    <w:p>
      <w:pPr>
        <w:pStyle w:val="ListBullet"/>
        <w:spacing w:after="80" w:line="276" w:lineRule="auto"/>
      </w:pPr>
      <w:r>
        <w:rPr>
          <w:rFonts w:ascii="Calibri" w:hAnsi="Calibri"/>
          <w:sz w:val="22"/>
        </w:rPr>
        <w:t>Le produit deja present dans le code supporte quatre surfaces monetisables: client, dashboard restaurateur, back-office admin et courier.</w:t>
      </w:r>
    </w:p>
    <w:p>
      <w:pPr>
        <w:pStyle w:val="ListBullet"/>
        <w:spacing w:after="80" w:line="276" w:lineRule="auto"/>
      </w:pPr>
      <w:r>
        <w:rPr>
          <w:rFonts w:ascii="Calibri" w:hAnsi="Calibri"/>
          <w:sz w:val="22"/>
        </w:rPr>
        <w:t>Le coeur du modele economique est diversifie: packs de lancement, abonnements restaurateurs, frais de reservation, commissions sur commandes directes, campagnes sponsorisees et abonnement client Tok One.</w:t>
      </w:r>
    </w:p>
    <w:p>
      <w:pPr>
        <w:pStyle w:val="ListBullet"/>
        <w:spacing w:after="80" w:line="276" w:lineRule="auto"/>
      </w:pPr>
      <w:r>
        <w:rPr>
          <w:rFonts w:ascii="Calibri" w:hAnsi="Calibri"/>
          <w:sz w:val="22"/>
        </w:rPr>
        <w:t>Le meilleur chemin de monetisation est local, dense et discipliné: Geneve d'abord, puis Lausanne et une troisieme zone romande seulement apres validation du PMF.</w:t>
      </w:r>
    </w:p>
    <w:p>
      <w:pPr>
        <w:pStyle w:val="ListBullet"/>
        <w:spacing w:after="80" w:line="276" w:lineRule="auto"/>
      </w:pPr>
      <w:r>
        <w:rPr>
          <w:rFonts w:ascii="Calibri" w:hAnsi="Calibri"/>
          <w:sz w:val="22"/>
        </w:rPr>
        <w:t>Le scenario moyen conduit a environ 3.05 MCHF de revenu annuel en annee 3; le scenario bas reste au-dessus du million, le scenario haut depasse 8 MCHF avec une execution commerciale exceptionnelle.</w:t>
      </w:r>
    </w:p>
    <w:p>
      <w:pPr>
        <w:pStyle w:val="Heading1"/>
        <w:jc w:val="left"/>
      </w:pPr>
      <w:r>
        <w:rPr>
          <w:rFonts w:ascii="Calibri" w:hAnsi="Calibri"/>
          <w:b w:val="0"/>
        </w:rPr>
        <w:t>2. Ce que le produit vend deja ou prepare</w:t>
      </w:r>
    </w:p>
    <w:p>
      <w:pPr>
        <w:jc w:val="left"/>
      </w:pPr>
      <w:r>
        <w:rPr>
          <w:rFonts w:ascii="Calibri" w:hAnsi="Calibri"/>
          <w:b w:val="0"/>
        </w:rPr>
        <w:t>Les monetisations lisibles dans le repository actuel sont les suivantes: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592"/>
            <w:shd w:fill="F2F4F7"/>
            <w:vAlign w:val="center"/>
          </w:tcPr>
          <w:p>
            <w:pPr>
              <w:spacing w:after="60"/>
              <w:jc w:val="left"/>
            </w:pPr>
            <w:r/>
            <w:r>
              <w:rPr>
                <w:rFonts w:ascii="Calibri" w:hAnsi="Calibri"/>
                <w:b/>
                <w:color w:val="0B2545"/>
                <w:sz w:val="21"/>
              </w:rPr>
              <w:t>Ligne de revenu</w:t>
            </w:r>
          </w:p>
        </w:tc>
        <w:tc>
          <w:tcPr>
            <w:tcW w:type="dxa" w:w="2016"/>
            <w:shd w:fill="F2F4F7"/>
            <w:vAlign w:val="center"/>
          </w:tcPr>
          <w:p>
            <w:pPr>
              <w:spacing w:after="60"/>
              <w:jc w:val="left"/>
            </w:pPr>
            <w:r/>
            <w:r>
              <w:rPr>
                <w:rFonts w:ascii="Calibri" w:hAnsi="Calibri"/>
                <w:b/>
                <w:color w:val="0B2545"/>
                <w:sz w:val="21"/>
              </w:rPr>
              <w:t>Base produit</w:t>
            </w:r>
          </w:p>
        </w:tc>
        <w:tc>
          <w:tcPr>
            <w:tcW w:type="dxa" w:w="2160"/>
            <w:shd w:fill="F2F4F7"/>
            <w:vAlign w:val="center"/>
          </w:tcPr>
          <w:p>
            <w:pPr>
              <w:spacing w:after="60"/>
              <w:jc w:val="left"/>
            </w:pPr>
            <w:r/>
            <w:r>
              <w:rPr>
                <w:rFonts w:ascii="Calibri" w:hAnsi="Calibri"/>
                <w:b/>
                <w:color w:val="0B2545"/>
                <w:sz w:val="21"/>
              </w:rPr>
              <w:t>Prix / logique actuelle</w:t>
            </w:r>
          </w:p>
        </w:tc>
        <w:tc>
          <w:tcPr>
            <w:tcW w:type="dxa" w:w="2592"/>
            <w:shd w:fill="F2F4F7"/>
            <w:vAlign w:val="center"/>
          </w:tcPr>
          <w:p>
            <w:pPr>
              <w:spacing w:after="60"/>
              <w:jc w:val="left"/>
            </w:pPr>
            <w:r/>
            <w:r>
              <w:rPr>
                <w:rFonts w:ascii="Calibri" w:hAnsi="Calibri"/>
                <w:b/>
                <w:color w:val="0B2545"/>
                <w:sz w:val="21"/>
              </w:rPr>
              <w:t>Role dans le mix</w:t>
            </w:r>
          </w:p>
        </w:tc>
      </w:tr>
      <w:tr>
        <w:tc>
          <w:tcPr>
            <w:tcW w:type="dxa" w:w="2592"/>
            <w:vAlign w:val="center"/>
          </w:tcPr>
          <w:p>
            <w:pPr>
              <w:spacing w:after="60"/>
              <w:jc w:val="left"/>
            </w:pPr>
            <w:r/>
            <w:r>
              <w:rPr>
                <w:rFonts w:ascii="Calibri" w:hAnsi="Calibri"/>
                <w:b w:val="0"/>
                <w:sz w:val="21"/>
              </w:rPr>
              <w:t>Packs de lancement restaurateur</w:t>
            </w:r>
          </w:p>
        </w:tc>
        <w:tc>
          <w:tcPr>
            <w:tcW w:type="dxa" w:w="2016"/>
            <w:vAlign w:val="center"/>
          </w:tcPr>
          <w:p>
            <w:pPr>
              <w:spacing w:after="60"/>
              <w:jc w:val="center"/>
            </w:pPr>
            <w:r/>
            <w:r>
              <w:rPr>
                <w:rFonts w:ascii="Calibri" w:hAnsi="Calibri"/>
                <w:b w:val="0"/>
                <w:sz w:val="21"/>
              </w:rPr>
              <w:t>launch_packs</w:t>
            </w:r>
          </w:p>
        </w:tc>
        <w:tc>
          <w:tcPr>
            <w:tcW w:type="dxa" w:w="2160"/>
            <w:vAlign w:val="center"/>
          </w:tcPr>
          <w:p>
            <w:pPr>
              <w:spacing w:after="60"/>
              <w:jc w:val="left"/>
            </w:pPr>
            <w:r/>
            <w:r>
              <w:rPr>
                <w:rFonts w:ascii="Calibri" w:hAnsi="Calibri"/>
                <w:b w:val="0"/>
                <w:sz w:val="21"/>
              </w:rPr>
              <w:t>490 / 990 / 1'990 / 3'490 CHF</w:t>
            </w:r>
          </w:p>
        </w:tc>
        <w:tc>
          <w:tcPr>
            <w:tcW w:type="dxa" w:w="2592"/>
            <w:vAlign w:val="center"/>
          </w:tcPr>
          <w:p>
            <w:pPr>
              <w:spacing w:after="60"/>
              <w:jc w:val="left"/>
            </w:pPr>
            <w:r/>
            <w:r>
              <w:rPr>
                <w:rFonts w:ascii="Calibri" w:hAnsi="Calibri"/>
                <w:b w:val="0"/>
                <w:sz w:val="21"/>
              </w:rPr>
              <w:t>Cash d'acquisition et onboarding</w:t>
            </w:r>
          </w:p>
        </w:tc>
      </w:tr>
      <w:tr>
        <w:tc>
          <w:tcPr>
            <w:tcW w:type="dxa" w:w="2592"/>
            <w:vAlign w:val="center"/>
          </w:tcPr>
          <w:p>
            <w:pPr>
              <w:spacing w:after="60"/>
              <w:jc w:val="left"/>
            </w:pPr>
            <w:r/>
            <w:r>
              <w:rPr>
                <w:rFonts w:ascii="Calibri" w:hAnsi="Calibri"/>
                <w:b w:val="0"/>
                <w:sz w:val="21"/>
              </w:rPr>
              <w:t>Abonnements restaurateur</w:t>
            </w:r>
          </w:p>
        </w:tc>
        <w:tc>
          <w:tcPr>
            <w:tcW w:type="dxa" w:w="2016"/>
            <w:vAlign w:val="center"/>
          </w:tcPr>
          <w:p>
            <w:pPr>
              <w:spacing w:after="60"/>
              <w:jc w:val="left"/>
            </w:pPr>
            <w:r/>
            <w:r>
              <w:rPr>
                <w:rFonts w:ascii="Calibri" w:hAnsi="Calibri"/>
                <w:b w:val="0"/>
                <w:sz w:val="21"/>
              </w:rPr>
              <w:t>restaurant_subscription_plans</w:t>
            </w:r>
          </w:p>
        </w:tc>
        <w:tc>
          <w:tcPr>
            <w:tcW w:type="dxa" w:w="2160"/>
            <w:vAlign w:val="center"/>
          </w:tcPr>
          <w:p>
            <w:pPr>
              <w:spacing w:after="60"/>
              <w:jc w:val="left"/>
            </w:pPr>
            <w:r/>
            <w:r>
              <w:rPr>
                <w:rFonts w:ascii="Calibri" w:hAnsi="Calibri"/>
                <w:b w:val="0"/>
                <w:sz w:val="21"/>
              </w:rPr>
              <w:t>69 / 129 / 199 / 499 CHF / mois</w:t>
            </w:r>
          </w:p>
        </w:tc>
        <w:tc>
          <w:tcPr>
            <w:tcW w:type="dxa" w:w="2592"/>
            <w:vAlign w:val="center"/>
          </w:tcPr>
          <w:p>
            <w:pPr>
              <w:spacing w:after="60"/>
              <w:jc w:val="center"/>
            </w:pPr>
            <w:r/>
            <w:r>
              <w:rPr>
                <w:rFonts w:ascii="Calibri" w:hAnsi="Calibri"/>
                <w:b w:val="0"/>
                <w:sz w:val="21"/>
              </w:rPr>
              <w:t>MRR B2B</w:t>
            </w:r>
          </w:p>
        </w:tc>
      </w:tr>
      <w:tr>
        <w:tc>
          <w:tcPr>
            <w:tcW w:type="dxa" w:w="2592"/>
            <w:vAlign w:val="center"/>
          </w:tcPr>
          <w:p>
            <w:pPr>
              <w:spacing w:after="60"/>
              <w:jc w:val="left"/>
            </w:pPr>
            <w:r/>
            <w:r>
              <w:rPr>
                <w:rFonts w:ascii="Calibri" w:hAnsi="Calibri"/>
                <w:b w:val="0"/>
                <w:sz w:val="21"/>
              </w:rPr>
              <w:t>Tok One client</w:t>
            </w:r>
          </w:p>
        </w:tc>
        <w:tc>
          <w:tcPr>
            <w:tcW w:type="dxa" w:w="2016"/>
            <w:vAlign w:val="center"/>
          </w:tcPr>
          <w:p>
            <w:pPr>
              <w:spacing w:after="60"/>
              <w:jc w:val="left"/>
            </w:pPr>
            <w:r/>
            <w:r>
              <w:rPr>
                <w:rFonts w:ascii="Calibri" w:hAnsi="Calibri"/>
                <w:b w:val="0"/>
                <w:sz w:val="21"/>
              </w:rPr>
              <w:t>user_subscription_plans</w:t>
            </w:r>
          </w:p>
        </w:tc>
        <w:tc>
          <w:tcPr>
            <w:tcW w:type="dxa" w:w="2160"/>
            <w:vAlign w:val="center"/>
          </w:tcPr>
          <w:p>
            <w:pPr>
              <w:spacing w:after="60"/>
              <w:jc w:val="left"/>
            </w:pPr>
            <w:r/>
            <w:r>
              <w:rPr>
                <w:rFonts w:ascii="Calibri" w:hAnsi="Calibri"/>
                <w:b w:val="0"/>
                <w:sz w:val="21"/>
              </w:rPr>
              <w:t>9.90 CHF / mois ou 89.90 CHF / an</w:t>
            </w:r>
          </w:p>
        </w:tc>
        <w:tc>
          <w:tcPr>
            <w:tcW w:type="dxa" w:w="2592"/>
            <w:vAlign w:val="center"/>
          </w:tcPr>
          <w:p>
            <w:pPr>
              <w:spacing w:after="60"/>
              <w:jc w:val="left"/>
            </w:pPr>
            <w:r/>
            <w:r>
              <w:rPr>
                <w:rFonts w:ascii="Calibri" w:hAnsi="Calibri"/>
                <w:b w:val="0"/>
                <w:sz w:val="21"/>
              </w:rPr>
              <w:t>MRR B2C et fidelisation</w:t>
            </w:r>
          </w:p>
        </w:tc>
      </w:tr>
      <w:tr>
        <w:tc>
          <w:tcPr>
            <w:tcW w:type="dxa" w:w="2592"/>
            <w:vAlign w:val="center"/>
          </w:tcPr>
          <w:p>
            <w:pPr>
              <w:spacing w:after="60"/>
              <w:jc w:val="left"/>
            </w:pPr>
            <w:r/>
            <w:r>
              <w:rPr>
                <w:rFonts w:ascii="Calibri" w:hAnsi="Calibri"/>
                <w:b w:val="0"/>
                <w:sz w:val="21"/>
              </w:rPr>
              <w:t>Frais de reservation</w:t>
            </w:r>
          </w:p>
        </w:tc>
        <w:tc>
          <w:tcPr>
            <w:tcW w:type="dxa" w:w="2016"/>
            <w:vAlign w:val="center"/>
          </w:tcPr>
          <w:p>
            <w:pPr>
              <w:spacing w:after="60"/>
              <w:jc w:val="left"/>
            </w:pPr>
            <w:r/>
            <w:r>
              <w:rPr>
                <w:rFonts w:ascii="Calibri" w:hAnsi="Calibri"/>
                <w:b w:val="0"/>
                <w:sz w:val="21"/>
              </w:rPr>
              <w:t>reservations.billing_fee_chf</w:t>
            </w:r>
          </w:p>
        </w:tc>
        <w:tc>
          <w:tcPr>
            <w:tcW w:type="dxa" w:w="2160"/>
            <w:vAlign w:val="center"/>
          </w:tcPr>
          <w:p>
            <w:pPr>
              <w:spacing w:after="60"/>
              <w:jc w:val="left"/>
            </w:pPr>
            <w:r/>
            <w:r>
              <w:rPr>
                <w:rFonts w:ascii="Calibri" w:hAnsi="Calibri"/>
                <w:b w:val="0"/>
                <w:sz w:val="21"/>
              </w:rPr>
              <w:t>5 CHF / reservation</w:t>
            </w:r>
          </w:p>
        </w:tc>
        <w:tc>
          <w:tcPr>
            <w:tcW w:type="dxa" w:w="2592"/>
            <w:vAlign w:val="center"/>
          </w:tcPr>
          <w:p>
            <w:pPr>
              <w:spacing w:after="60"/>
              <w:jc w:val="left"/>
            </w:pPr>
            <w:r/>
            <w:r>
              <w:rPr>
                <w:rFonts w:ascii="Calibri" w:hAnsi="Calibri"/>
                <w:b w:val="0"/>
                <w:sz w:val="21"/>
              </w:rPr>
              <w:t>Revenu peu capitalistique</w:t>
            </w:r>
          </w:p>
        </w:tc>
      </w:tr>
      <w:tr>
        <w:tc>
          <w:tcPr>
            <w:tcW w:type="dxa" w:w="2592"/>
            <w:vAlign w:val="center"/>
          </w:tcPr>
          <w:p>
            <w:pPr>
              <w:spacing w:after="60"/>
              <w:jc w:val="left"/>
            </w:pPr>
            <w:r/>
            <w:r>
              <w:rPr>
                <w:rFonts w:ascii="Calibri" w:hAnsi="Calibri"/>
                <w:b w:val="0"/>
                <w:sz w:val="21"/>
              </w:rPr>
              <w:t>Commandes directes</w:t>
            </w:r>
          </w:p>
        </w:tc>
        <w:tc>
          <w:tcPr>
            <w:tcW w:type="dxa" w:w="2016"/>
            <w:vAlign w:val="center"/>
          </w:tcPr>
          <w:p>
            <w:pPr>
              <w:spacing w:after="60"/>
              <w:jc w:val="left"/>
            </w:pPr>
            <w:r/>
            <w:r>
              <w:rPr>
                <w:rFonts w:ascii="Calibri" w:hAnsi="Calibri"/>
                <w:b w:val="0"/>
                <w:sz w:val="21"/>
              </w:rPr>
              <w:t>commission_rate / checkout</w:t>
            </w:r>
          </w:p>
        </w:tc>
        <w:tc>
          <w:tcPr>
            <w:tcW w:type="dxa" w:w="2160"/>
            <w:vAlign w:val="center"/>
          </w:tcPr>
          <w:p>
            <w:pPr>
              <w:spacing w:after="60"/>
              <w:jc w:val="left"/>
            </w:pPr>
            <w:r/>
            <w:r>
              <w:rPr>
                <w:rFonts w:ascii="Calibri" w:hAnsi="Calibri"/>
                <w:b w:val="0"/>
                <w:sz w:val="21"/>
              </w:rPr>
              <w:t>take rate nette variable</w:t>
            </w:r>
          </w:p>
        </w:tc>
        <w:tc>
          <w:tcPr>
            <w:tcW w:type="dxa" w:w="2592"/>
            <w:vAlign w:val="center"/>
          </w:tcPr>
          <w:p>
            <w:pPr>
              <w:spacing w:after="60"/>
              <w:jc w:val="left"/>
            </w:pPr>
            <w:r/>
            <w:r>
              <w:rPr>
                <w:rFonts w:ascii="Calibri" w:hAnsi="Calibri"/>
                <w:b w:val="0"/>
                <w:sz w:val="21"/>
              </w:rPr>
              <w:t>Scale transactionnel</w:t>
            </w:r>
          </w:p>
        </w:tc>
      </w:tr>
      <w:tr>
        <w:tc>
          <w:tcPr>
            <w:tcW w:type="dxa" w:w="2592"/>
            <w:vAlign w:val="center"/>
          </w:tcPr>
          <w:p>
            <w:pPr>
              <w:spacing w:after="60"/>
              <w:jc w:val="left"/>
            </w:pPr>
            <w:r/>
            <w:r>
              <w:rPr>
                <w:rFonts w:ascii="Calibri" w:hAnsi="Calibri"/>
                <w:b w:val="0"/>
                <w:sz w:val="21"/>
              </w:rPr>
              <w:t>Campagnes sponsorisees</w:t>
            </w:r>
          </w:p>
        </w:tc>
        <w:tc>
          <w:tcPr>
            <w:tcW w:type="dxa" w:w="2016"/>
            <w:vAlign w:val="center"/>
          </w:tcPr>
          <w:p>
            <w:pPr>
              <w:spacing w:after="60"/>
              <w:jc w:val="center"/>
            </w:pPr>
            <w:r/>
            <w:r>
              <w:rPr>
                <w:rFonts w:ascii="Calibri" w:hAnsi="Calibri"/>
                <w:b w:val="0"/>
                <w:sz w:val="21"/>
              </w:rPr>
              <w:t>ad_campaigns</w:t>
            </w:r>
          </w:p>
        </w:tc>
        <w:tc>
          <w:tcPr>
            <w:tcW w:type="dxa" w:w="2160"/>
            <w:vAlign w:val="center"/>
          </w:tcPr>
          <w:p>
            <w:pPr>
              <w:spacing w:after="60"/>
              <w:jc w:val="left"/>
            </w:pPr>
            <w:r/>
            <w:r>
              <w:rPr>
                <w:rFonts w:ascii="Calibri" w:hAnsi="Calibri"/>
                <w:b w:val="0"/>
                <w:sz w:val="21"/>
              </w:rPr>
              <w:t>budget + CPC/CVR</w:t>
            </w:r>
          </w:p>
        </w:tc>
        <w:tc>
          <w:tcPr>
            <w:tcW w:type="dxa" w:w="2592"/>
            <w:vAlign w:val="center"/>
          </w:tcPr>
          <w:p>
            <w:pPr>
              <w:spacing w:after="60"/>
              <w:jc w:val="left"/>
            </w:pPr>
            <w:r/>
            <w:r>
              <w:rPr>
                <w:rFonts w:ascii="Calibri" w:hAnsi="Calibri"/>
                <w:b w:val="0"/>
                <w:sz w:val="21"/>
              </w:rPr>
              <w:t>ARPU restaurant additionnel</w:t>
            </w:r>
          </w:p>
        </w:tc>
      </w:tr>
    </w:tbl>
    <w:p/>
    <w:p>
      <w:pPr>
        <w:pStyle w:val="Heading1"/>
        <w:jc w:val="left"/>
      </w:pPr>
      <w:r>
        <w:rPr>
          <w:rFonts w:ascii="Calibri" w:hAnsi="Calibri"/>
          <w:b w:val="0"/>
        </w:rPr>
        <w:t>3. Probleme marche</w:t>
      </w:r>
    </w:p>
    <w:p>
      <w:pPr>
        <w:jc w:val="left"/>
      </w:pPr>
      <w:r>
        <w:rPr>
          <w:rFonts w:ascii="Calibri" w:hAnsi="Calibri"/>
          <w:b w:val="0"/>
        </w:rPr>
        <w:t>Les restaurants independants ont quatre douleurs structurelles: commissions elevees, faible controle de la relation client, fragmentation des outils et manque de visibilite operationnelle. En parallele, les consommateurs veulent une experience simple, locale, mobile et fidele.</w:t>
      </w:r>
    </w:p>
    <w:p>
      <w:pPr>
        <w:pStyle w:val="ListBullet"/>
        <w:spacing w:after="80" w:line="276" w:lineRule="auto"/>
      </w:pPr>
      <w:r>
        <w:rPr>
          <w:rFonts w:ascii="Calibri" w:hAnsi="Calibri"/>
          <w:sz w:val="22"/>
        </w:rPr>
        <w:t>Les marketplaces classiques captent une partie significative de la marge sans toujours apporter un controle durable sur le client final.</w:t>
      </w:r>
    </w:p>
    <w:p>
      <w:pPr>
        <w:pStyle w:val="ListBullet"/>
        <w:spacing w:after="80" w:line="276" w:lineRule="auto"/>
      </w:pPr>
      <w:r>
        <w:rPr>
          <w:rFonts w:ascii="Calibri" w:hAnsi="Calibri"/>
          <w:sz w:val="22"/>
        </w:rPr>
        <w:t>Les reservations, commandes, avis, campagnes, support et facturation sont souvent eparpilles dans des outils distincts.</w:t>
      </w:r>
    </w:p>
    <w:p>
      <w:pPr>
        <w:pStyle w:val="ListBullet"/>
        <w:spacing w:after="80" w:line="276" w:lineRule="auto"/>
      </w:pPr>
      <w:r>
        <w:rPr>
          <w:rFonts w:ascii="Calibri" w:hAnsi="Calibri"/>
          <w:sz w:val="22"/>
        </w:rPr>
        <w:t>Les exploitants veulent un canal complementaire plus previsible, pas seulement un nouveau cout d'acquisition.</w:t>
      </w:r>
    </w:p>
    <w:p>
      <w:pPr>
        <w:pStyle w:val="Heading1"/>
        <w:jc w:val="left"/>
      </w:pPr>
      <w:r>
        <w:rPr>
          <w:rFonts w:ascii="Calibri" w:hAnsi="Calibri"/>
          <w:b w:val="0"/>
        </w:rPr>
        <w:t>4. Solution et proposition de valeur</w:t>
      </w:r>
    </w:p>
    <w:p>
      <w:pPr>
        <w:jc w:val="left"/>
      </w:pPr>
      <w:r>
        <w:rPr>
          <w:rFonts w:ascii="Calibri" w:hAnsi="Calibri"/>
          <w:b w:val="0"/>
        </w:rPr>
        <w:t>TOK se positionne comme une plateforme unifiee et premium pour la restauration en Suisse romande. Le produit relie la decouverte, la transaction et l'exploitation au lieu de traiter ces sujets separement.</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72"/>
            <w:shd w:fill="F2F4F7"/>
            <w:vAlign w:val="center"/>
          </w:tcPr>
          <w:p>
            <w:pPr>
              <w:spacing w:after="60"/>
              <w:jc w:val="left"/>
            </w:pPr>
            <w:r/>
            <w:r>
              <w:rPr>
                <w:rFonts w:ascii="Calibri" w:hAnsi="Calibri"/>
                <w:b/>
                <w:color w:val="0B2545"/>
                <w:sz w:val="21"/>
              </w:rPr>
              <w:t>Surface</w:t>
            </w:r>
          </w:p>
        </w:tc>
        <w:tc>
          <w:tcPr>
            <w:tcW w:type="dxa" w:w="4752"/>
            <w:shd w:fill="F2F4F7"/>
            <w:vAlign w:val="center"/>
          </w:tcPr>
          <w:p>
            <w:pPr>
              <w:spacing w:after="60"/>
              <w:jc w:val="left"/>
            </w:pPr>
            <w:r/>
            <w:r>
              <w:rPr>
                <w:rFonts w:ascii="Calibri" w:hAnsi="Calibri"/>
                <w:b/>
                <w:color w:val="0B2545"/>
                <w:sz w:val="21"/>
              </w:rPr>
              <w:t>Valeur cle</w:t>
            </w:r>
          </w:p>
        </w:tc>
        <w:tc>
          <w:tcPr>
            <w:tcW w:type="dxa" w:w="2736"/>
            <w:shd w:fill="F2F4F7"/>
            <w:vAlign w:val="center"/>
          </w:tcPr>
          <w:p>
            <w:pPr>
              <w:spacing w:after="60"/>
              <w:jc w:val="left"/>
            </w:pPr>
            <w:r/>
            <w:r>
              <w:rPr>
                <w:rFonts w:ascii="Calibri" w:hAnsi="Calibri"/>
                <w:b/>
                <w:color w:val="0B2545"/>
                <w:sz w:val="21"/>
              </w:rPr>
              <w:t>Effet economique</w:t>
            </w:r>
          </w:p>
        </w:tc>
      </w:tr>
      <w:tr>
        <w:tc>
          <w:tcPr>
            <w:tcW w:type="dxa" w:w="1872"/>
            <w:vAlign w:val="center"/>
          </w:tcPr>
          <w:p>
            <w:pPr>
              <w:spacing w:after="60"/>
              <w:jc w:val="left"/>
            </w:pPr>
            <w:r/>
            <w:r>
              <w:rPr>
                <w:rFonts w:ascii="Calibri" w:hAnsi="Calibri"/>
                <w:b w:val="0"/>
                <w:sz w:val="21"/>
              </w:rPr>
              <w:t>Client</w:t>
            </w:r>
          </w:p>
        </w:tc>
        <w:tc>
          <w:tcPr>
            <w:tcW w:type="dxa" w:w="4752"/>
            <w:vAlign w:val="center"/>
          </w:tcPr>
          <w:p>
            <w:pPr>
              <w:spacing w:after="60"/>
              <w:jc w:val="left"/>
            </w:pPr>
            <w:r/>
            <w:r>
              <w:rPr>
                <w:rFonts w:ascii="Calibri" w:hAnsi="Calibri"/>
                <w:b w:val="0"/>
                <w:sz w:val="21"/>
              </w:rPr>
              <w:t>Decouverte, reservation, panier, suivi, flash sales, anti-gaspi, Tok One</w:t>
            </w:r>
          </w:p>
        </w:tc>
        <w:tc>
          <w:tcPr>
            <w:tcW w:type="dxa" w:w="2736"/>
            <w:vAlign w:val="center"/>
          </w:tcPr>
          <w:p>
            <w:pPr>
              <w:spacing w:after="60"/>
              <w:jc w:val="left"/>
            </w:pPr>
            <w:r/>
            <w:r>
              <w:rPr>
                <w:rFonts w:ascii="Calibri" w:hAnsi="Calibri"/>
                <w:b w:val="0"/>
                <w:sz w:val="21"/>
              </w:rPr>
              <w:t>Plus de conversion et recurrence</w:t>
            </w:r>
          </w:p>
        </w:tc>
      </w:tr>
      <w:tr>
        <w:tc>
          <w:tcPr>
            <w:tcW w:type="dxa" w:w="1872"/>
            <w:vAlign w:val="center"/>
          </w:tcPr>
          <w:p>
            <w:pPr>
              <w:spacing w:after="60"/>
              <w:jc w:val="left"/>
            </w:pPr>
            <w:r/>
            <w:r>
              <w:rPr>
                <w:rFonts w:ascii="Calibri" w:hAnsi="Calibri"/>
                <w:b w:val="0"/>
                <w:sz w:val="21"/>
              </w:rPr>
              <w:t>Restaurateur</w:t>
            </w:r>
          </w:p>
        </w:tc>
        <w:tc>
          <w:tcPr>
            <w:tcW w:type="dxa" w:w="4752"/>
            <w:vAlign w:val="center"/>
          </w:tcPr>
          <w:p>
            <w:pPr>
              <w:spacing w:after="60"/>
              <w:jc w:val="left"/>
            </w:pPr>
            <w:r/>
            <w:r>
              <w:rPr>
                <w:rFonts w:ascii="Calibri" w:hAnsi="Calibri"/>
                <w:b w:val="0"/>
                <w:sz w:val="21"/>
              </w:rPr>
              <w:t>Menu, commandes, reservations, CRM, campagnes, photos, compta, support</w:t>
            </w:r>
          </w:p>
        </w:tc>
        <w:tc>
          <w:tcPr>
            <w:tcW w:type="dxa" w:w="2736"/>
            <w:vAlign w:val="center"/>
          </w:tcPr>
          <w:p>
            <w:pPr>
              <w:spacing w:after="60"/>
              <w:jc w:val="left"/>
            </w:pPr>
            <w:r/>
            <w:r>
              <w:rPr>
                <w:rFonts w:ascii="Calibri" w:hAnsi="Calibri"/>
                <w:b w:val="0"/>
                <w:sz w:val="21"/>
              </w:rPr>
              <w:t>Plus de controle et MRR</w:t>
            </w:r>
          </w:p>
        </w:tc>
      </w:tr>
      <w:tr>
        <w:tc>
          <w:tcPr>
            <w:tcW w:type="dxa" w:w="1872"/>
            <w:vAlign w:val="center"/>
          </w:tcPr>
          <w:p>
            <w:pPr>
              <w:spacing w:after="60"/>
              <w:jc w:val="left"/>
            </w:pPr>
            <w:r/>
            <w:r>
              <w:rPr>
                <w:rFonts w:ascii="Calibri" w:hAnsi="Calibri"/>
                <w:b w:val="0"/>
                <w:sz w:val="21"/>
              </w:rPr>
              <w:t>Admin</w:t>
            </w:r>
          </w:p>
        </w:tc>
        <w:tc>
          <w:tcPr>
            <w:tcW w:type="dxa" w:w="4752"/>
            <w:vAlign w:val="center"/>
          </w:tcPr>
          <w:p>
            <w:pPr>
              <w:spacing w:after="60"/>
              <w:jc w:val="left"/>
            </w:pPr>
            <w:r/>
            <w:r>
              <w:rPr>
                <w:rFonts w:ascii="Calibri" w:hAnsi="Calibri"/>
                <w:b w:val="0"/>
                <w:sz w:val="21"/>
              </w:rPr>
              <w:t>Audit, moderation, configuration, compta plateforme, incidents</w:t>
            </w:r>
          </w:p>
        </w:tc>
        <w:tc>
          <w:tcPr>
            <w:tcW w:type="dxa" w:w="2736"/>
            <w:vAlign w:val="center"/>
          </w:tcPr>
          <w:p>
            <w:pPr>
              <w:spacing w:after="60"/>
              <w:jc w:val="left"/>
            </w:pPr>
            <w:r/>
            <w:r>
              <w:rPr>
                <w:rFonts w:ascii="Calibri" w:hAnsi="Calibri"/>
                <w:b w:val="0"/>
                <w:sz w:val="21"/>
              </w:rPr>
              <w:t>Pilotage et reduction du risque</w:t>
            </w:r>
          </w:p>
        </w:tc>
      </w:tr>
      <w:tr>
        <w:tc>
          <w:tcPr>
            <w:tcW w:type="dxa" w:w="1872"/>
            <w:vAlign w:val="center"/>
          </w:tcPr>
          <w:p>
            <w:pPr>
              <w:spacing w:after="60"/>
              <w:jc w:val="left"/>
            </w:pPr>
            <w:r/>
            <w:r>
              <w:rPr>
                <w:rFonts w:ascii="Calibri" w:hAnsi="Calibri"/>
                <w:b w:val="0"/>
                <w:sz w:val="21"/>
              </w:rPr>
              <w:t>Courier</w:t>
            </w:r>
          </w:p>
        </w:tc>
        <w:tc>
          <w:tcPr>
            <w:tcW w:type="dxa" w:w="4752"/>
            <w:vAlign w:val="center"/>
          </w:tcPr>
          <w:p>
            <w:pPr>
              <w:spacing w:after="60"/>
              <w:jc w:val="left"/>
            </w:pPr>
            <w:r/>
            <w:r>
              <w:rPr>
                <w:rFonts w:ascii="Calibri" w:hAnsi="Calibri"/>
                <w:b w:val="0"/>
                <w:sz w:val="21"/>
              </w:rPr>
              <w:t>Jobs, earnings, profile, dispatch</w:t>
            </w:r>
          </w:p>
        </w:tc>
        <w:tc>
          <w:tcPr>
            <w:tcW w:type="dxa" w:w="2736"/>
            <w:vAlign w:val="center"/>
          </w:tcPr>
          <w:p>
            <w:pPr>
              <w:spacing w:after="60"/>
              <w:jc w:val="left"/>
            </w:pPr>
            <w:r/>
            <w:r>
              <w:rPr>
                <w:rFonts w:ascii="Calibri" w:hAnsi="Calibri"/>
                <w:b w:val="0"/>
                <w:sz w:val="21"/>
              </w:rPr>
              <w:t>Option de capacite logistique</w:t>
            </w:r>
          </w:p>
        </w:tc>
      </w:tr>
    </w:tbl>
    <w:p/>
    <w:p>
      <w:pPr>
        <w:pStyle w:val="Heading1"/>
        <w:jc w:val="left"/>
      </w:pPr>
      <w:r>
        <w:rPr>
          <w:rFonts w:ascii="Calibri" w:hAnsi="Calibri"/>
          <w:b w:val="0"/>
        </w:rPr>
        <w:t>5. Positionnement strategique</w:t>
      </w:r>
    </w:p>
    <w:p>
      <w:pPr>
        <w:jc w:val="left"/>
      </w:pPr>
      <w:r>
        <w:rPr>
          <w:rFonts w:ascii="Calibri" w:hAnsi="Calibri"/>
          <w:b w:val="0"/>
        </w:rPr>
        <w:t>La these la plus forte n'est pas de devenir uniquement un acteur de delivery. La these la plus defendable est de devenir le systeme de revenu et d'operations des restaurants partenaires, avec une couche transactionnelle selective la ou elle est rentable.</w:t>
      </w:r>
    </w:p>
    <w:p>
      <w:pPr>
        <w:pStyle w:val="ListBullet"/>
        <w:spacing w:after="80" w:line="276" w:lineRule="auto"/>
      </w:pPr>
      <w:r>
        <w:rPr>
          <w:rFonts w:ascii="Calibri" w:hAnsi="Calibri"/>
          <w:sz w:val="22"/>
        </w:rPr>
        <w:t>Prioriser les reservations, l'onboarding B2B et les campagnes sponsorisees donne un meilleur ratio marge / complexite qu'une course immediate au delivery.</w:t>
      </w:r>
    </w:p>
    <w:p>
      <w:pPr>
        <w:pStyle w:val="ListBullet"/>
        <w:spacing w:after="80" w:line="276" w:lineRule="auto"/>
      </w:pPr>
      <w:r>
        <w:rPr>
          <w:rFonts w:ascii="Calibri" w:hAnsi="Calibri"/>
          <w:sz w:val="22"/>
        </w:rPr>
        <w:t>Le discours commercial doit rester: moins de dependance, plus de controle, plus de revenu direct, meilleure lecture business.</w:t>
      </w:r>
    </w:p>
    <w:p>
      <w:pPr>
        <w:pStyle w:val="ListBullet"/>
        <w:spacing w:after="80" w:line="276" w:lineRule="auto"/>
      </w:pPr>
      <w:r>
        <w:rPr>
          <w:rFonts w:ascii="Calibri" w:hAnsi="Calibri"/>
          <w:sz w:val="22"/>
        </w:rPr>
        <w:t>La densite locale vaut plus que la dispersion geographique. Chaque nouvelle ville doit etre lancee quand l'offre et la demande locales sont deja vivantes.</w:t>
      </w:r>
    </w:p>
    <w:p>
      <w:pPr>
        <w:pStyle w:val="Heading1"/>
        <w:jc w:val="left"/>
      </w:pPr>
      <w:r>
        <w:rPr>
          <w:rFonts w:ascii="Calibri" w:hAnsi="Calibri"/>
          <w:b w:val="0"/>
        </w:rPr>
        <w:t>6. Modele economique cible</w:t>
      </w:r>
    </w:p>
    <w:p>
      <w:pPr>
        <w:jc w:val="left"/>
      </w:pPr>
      <w:r>
        <w:rPr>
          <w:rFonts w:ascii="Calibri" w:hAnsi="Calibri"/>
          <w:b w:val="0"/>
        </w:rPr>
        <w:t>Le modele economique doit etre construit par strates. Les lignes les moins capitalistiques financent la montee en puissance des lignes transactionnelles.</w:t>
      </w:r>
    </w:p>
    <w:p>
      <w:pPr>
        <w:pStyle w:val="ListBullet"/>
        <w:spacing w:after="80" w:line="276" w:lineRule="auto"/>
      </w:pPr>
      <w:r>
        <w:rPr>
          <w:rFonts w:ascii="Calibri" w:hAnsi="Calibri"/>
          <w:sz w:val="22"/>
        </w:rPr>
        <w:t>Couche 1 - Cash rapide: packs de lancement et abonnements restaurateurs.</w:t>
      </w:r>
    </w:p>
    <w:p>
      <w:pPr>
        <w:pStyle w:val="ListBullet"/>
        <w:spacing w:after="80" w:line="276" w:lineRule="auto"/>
      </w:pPr>
      <w:r>
        <w:rPr>
          <w:rFonts w:ascii="Calibri" w:hAnsi="Calibri"/>
          <w:sz w:val="22"/>
        </w:rPr>
        <w:t>Couche 2 - Revenu recurrent rentable: reservations, campagnes, CRM premium et Tok One.</w:t>
      </w:r>
    </w:p>
    <w:p>
      <w:pPr>
        <w:pStyle w:val="ListBullet"/>
        <w:spacing w:after="80" w:line="276" w:lineRule="auto"/>
      </w:pPr>
      <w:r>
        <w:rPr>
          <w:rFonts w:ascii="Calibri" w:hAnsi="Calibri"/>
          <w:sz w:val="22"/>
        </w:rPr>
        <w:t>Couche 3 - Scale transactionnel: commandes directes, prise de commission et monetisation des usages frequents.</w:t>
      </w:r>
    </w:p>
    <w:p>
      <w:pPr>
        <w:pStyle w:val="ListBullet"/>
        <w:spacing w:after="80" w:line="276" w:lineRule="auto"/>
      </w:pPr>
      <w:r>
        <w:rPr>
          <w:rFonts w:ascii="Calibri" w:hAnsi="Calibri"/>
          <w:sz w:val="22"/>
        </w:rPr>
        <w:t>Couche 4 - Optionalite: IA photo, IA support, recommendations sponsorisees, monetisation B2B de data/insights.</w:t>
      </w:r>
    </w:p>
    <w:p>
      <w:pPr>
        <w:pStyle w:val="Heading1"/>
        <w:jc w:val="left"/>
      </w:pPr>
      <w:r>
        <w:rPr>
          <w:rFonts w:ascii="Calibri" w:hAnsi="Calibri"/>
          <w:b w:val="0"/>
        </w:rPr>
        <w:t>7. Hypotheses financieres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4032"/>
            <w:shd w:fill="F2F4F7"/>
            <w:vAlign w:val="center"/>
          </w:tcPr>
          <w:p>
            <w:pPr>
              <w:spacing w:after="60"/>
              <w:jc w:val="left"/>
            </w:pPr>
            <w:r/>
            <w:r>
              <w:rPr>
                <w:rFonts w:ascii="Calibri" w:hAnsi="Calibri"/>
                <w:b/>
                <w:color w:val="0B2545"/>
                <w:sz w:val="21"/>
              </w:rPr>
              <w:t>Hypothese</w:t>
            </w:r>
          </w:p>
        </w:tc>
        <w:tc>
          <w:tcPr>
            <w:tcW w:type="dxa" w:w="1296"/>
            <w:shd w:fill="F2F4F7"/>
            <w:vAlign w:val="center"/>
          </w:tcPr>
          <w:p>
            <w:pPr>
              <w:spacing w:after="60"/>
              <w:jc w:val="left"/>
            </w:pPr>
            <w:r/>
            <w:r>
              <w:rPr>
                <w:rFonts w:ascii="Calibri" w:hAnsi="Calibri"/>
                <w:b/>
                <w:color w:val="0B2545"/>
                <w:sz w:val="21"/>
              </w:rPr>
              <w:t>Bas</w:t>
            </w:r>
          </w:p>
        </w:tc>
        <w:tc>
          <w:tcPr>
            <w:tcW w:type="dxa" w:w="1296"/>
            <w:shd w:fill="F2F4F7"/>
            <w:vAlign w:val="center"/>
          </w:tcPr>
          <w:p>
            <w:pPr>
              <w:spacing w:after="60"/>
              <w:jc w:val="left"/>
            </w:pPr>
            <w:r/>
            <w:r>
              <w:rPr>
                <w:rFonts w:ascii="Calibri" w:hAnsi="Calibri"/>
                <w:b/>
                <w:color w:val="0B2545"/>
                <w:sz w:val="21"/>
              </w:rPr>
              <w:t>Moyen</w:t>
            </w:r>
          </w:p>
        </w:tc>
        <w:tc>
          <w:tcPr>
            <w:tcW w:type="dxa" w:w="1296"/>
            <w:shd w:fill="F2F4F7"/>
            <w:vAlign w:val="center"/>
          </w:tcPr>
          <w:p>
            <w:pPr>
              <w:spacing w:after="60"/>
              <w:jc w:val="left"/>
            </w:pPr>
            <w:r/>
            <w:r>
              <w:rPr>
                <w:rFonts w:ascii="Calibri" w:hAnsi="Calibri"/>
                <w:b/>
                <w:color w:val="0B2545"/>
                <w:sz w:val="21"/>
              </w:rPr>
              <w:t>Haut</w:t>
            </w:r>
          </w:p>
        </w:tc>
      </w:tr>
      <w:tr>
        <w:tc>
          <w:tcPr>
            <w:tcW w:type="dxa" w:w="4032"/>
            <w:vAlign w:val="center"/>
          </w:tcPr>
          <w:p>
            <w:pPr>
              <w:spacing w:after="60"/>
              <w:jc w:val="left"/>
            </w:pPr>
            <w:r/>
            <w:r>
              <w:rPr>
                <w:rFonts w:ascii="Calibri" w:hAnsi="Calibri"/>
                <w:b w:val="0"/>
                <w:sz w:val="21"/>
              </w:rPr>
              <w:t>Restaurants actifs fin annee 1</w:t>
            </w:r>
          </w:p>
        </w:tc>
        <w:tc>
          <w:tcPr>
            <w:tcW w:type="dxa" w:w="1296"/>
            <w:vAlign w:val="center"/>
          </w:tcPr>
          <w:p>
            <w:pPr>
              <w:spacing w:after="60"/>
              <w:jc w:val="center"/>
            </w:pPr>
            <w:r/>
            <w:r>
              <w:rPr>
                <w:rFonts w:ascii="Calibri" w:hAnsi="Calibri"/>
                <w:b w:val="0"/>
                <w:sz w:val="21"/>
              </w:rPr>
              <w:t>20</w:t>
            </w:r>
          </w:p>
        </w:tc>
        <w:tc>
          <w:tcPr>
            <w:tcW w:type="dxa" w:w="1296"/>
            <w:vAlign w:val="center"/>
          </w:tcPr>
          <w:p>
            <w:pPr>
              <w:spacing w:after="60"/>
              <w:jc w:val="center"/>
            </w:pPr>
            <w:r/>
            <w:r>
              <w:rPr>
                <w:rFonts w:ascii="Calibri" w:hAnsi="Calibri"/>
                <w:b w:val="0"/>
                <w:sz w:val="21"/>
              </w:rPr>
              <w:t>35</w:t>
            </w:r>
          </w:p>
        </w:tc>
        <w:tc>
          <w:tcPr>
            <w:tcW w:type="dxa" w:w="1296"/>
            <w:vAlign w:val="center"/>
          </w:tcPr>
          <w:p>
            <w:pPr>
              <w:spacing w:after="60"/>
              <w:jc w:val="center"/>
            </w:pPr>
            <w:r/>
            <w:r>
              <w:rPr>
                <w:rFonts w:ascii="Calibri" w:hAnsi="Calibri"/>
                <w:b w:val="0"/>
                <w:sz w:val="21"/>
              </w:rPr>
              <w:t>60</w:t>
            </w:r>
          </w:p>
        </w:tc>
      </w:tr>
      <w:tr>
        <w:tc>
          <w:tcPr>
            <w:tcW w:type="dxa" w:w="4032"/>
            <w:vAlign w:val="center"/>
          </w:tcPr>
          <w:p>
            <w:pPr>
              <w:spacing w:after="60"/>
              <w:jc w:val="left"/>
            </w:pPr>
            <w:r/>
            <w:r>
              <w:rPr>
                <w:rFonts w:ascii="Calibri" w:hAnsi="Calibri"/>
                <w:b w:val="0"/>
                <w:sz w:val="21"/>
              </w:rPr>
              <w:t>Restaurants actifs fin annee 2</w:t>
            </w:r>
          </w:p>
        </w:tc>
        <w:tc>
          <w:tcPr>
            <w:tcW w:type="dxa" w:w="1296"/>
            <w:vAlign w:val="center"/>
          </w:tcPr>
          <w:p>
            <w:pPr>
              <w:spacing w:after="60"/>
              <w:jc w:val="center"/>
            </w:pPr>
            <w:r/>
            <w:r>
              <w:rPr>
                <w:rFonts w:ascii="Calibri" w:hAnsi="Calibri"/>
                <w:b w:val="0"/>
                <w:sz w:val="21"/>
              </w:rPr>
              <w:t>55</w:t>
            </w:r>
          </w:p>
        </w:tc>
        <w:tc>
          <w:tcPr>
            <w:tcW w:type="dxa" w:w="1296"/>
            <w:vAlign w:val="center"/>
          </w:tcPr>
          <w:p>
            <w:pPr>
              <w:spacing w:after="60"/>
              <w:jc w:val="center"/>
            </w:pPr>
            <w:r/>
            <w:r>
              <w:rPr>
                <w:rFonts w:ascii="Calibri" w:hAnsi="Calibri"/>
                <w:b w:val="0"/>
                <w:sz w:val="21"/>
              </w:rPr>
              <w:t>110</w:t>
            </w:r>
          </w:p>
        </w:tc>
        <w:tc>
          <w:tcPr>
            <w:tcW w:type="dxa" w:w="1296"/>
            <w:vAlign w:val="center"/>
          </w:tcPr>
          <w:p>
            <w:pPr>
              <w:spacing w:after="60"/>
              <w:jc w:val="center"/>
            </w:pPr>
            <w:r/>
            <w:r>
              <w:rPr>
                <w:rFonts w:ascii="Calibri" w:hAnsi="Calibri"/>
                <w:b w:val="0"/>
                <w:sz w:val="21"/>
              </w:rPr>
              <w:t>220</w:t>
            </w:r>
          </w:p>
        </w:tc>
      </w:tr>
      <w:tr>
        <w:tc>
          <w:tcPr>
            <w:tcW w:type="dxa" w:w="4032"/>
            <w:vAlign w:val="center"/>
          </w:tcPr>
          <w:p>
            <w:pPr>
              <w:spacing w:after="60"/>
              <w:jc w:val="left"/>
            </w:pPr>
            <w:r/>
            <w:r>
              <w:rPr>
                <w:rFonts w:ascii="Calibri" w:hAnsi="Calibri"/>
                <w:b w:val="0"/>
                <w:sz w:val="21"/>
              </w:rPr>
              <w:t>Restaurants actifs fin annee 3</w:t>
            </w:r>
          </w:p>
        </w:tc>
        <w:tc>
          <w:tcPr>
            <w:tcW w:type="dxa" w:w="1296"/>
            <w:vAlign w:val="center"/>
          </w:tcPr>
          <w:p>
            <w:pPr>
              <w:spacing w:after="60"/>
              <w:jc w:val="center"/>
            </w:pPr>
            <w:r/>
            <w:r>
              <w:rPr>
                <w:rFonts w:ascii="Calibri" w:hAnsi="Calibri"/>
                <w:b w:val="0"/>
                <w:sz w:val="21"/>
              </w:rPr>
              <w:t>120</w:t>
            </w:r>
          </w:p>
        </w:tc>
        <w:tc>
          <w:tcPr>
            <w:tcW w:type="dxa" w:w="1296"/>
            <w:vAlign w:val="center"/>
          </w:tcPr>
          <w:p>
            <w:pPr>
              <w:spacing w:after="60"/>
              <w:jc w:val="center"/>
            </w:pPr>
            <w:r/>
            <w:r>
              <w:rPr>
                <w:rFonts w:ascii="Calibri" w:hAnsi="Calibri"/>
                <w:b w:val="0"/>
                <w:sz w:val="21"/>
              </w:rPr>
              <w:t>240</w:t>
            </w:r>
          </w:p>
        </w:tc>
        <w:tc>
          <w:tcPr>
            <w:tcW w:type="dxa" w:w="1296"/>
            <w:vAlign w:val="center"/>
          </w:tcPr>
          <w:p>
            <w:pPr>
              <w:spacing w:after="60"/>
              <w:jc w:val="center"/>
            </w:pPr>
            <w:r/>
            <w:r>
              <w:rPr>
                <w:rFonts w:ascii="Calibri" w:hAnsi="Calibri"/>
                <w:b w:val="0"/>
                <w:sz w:val="21"/>
              </w:rPr>
              <w:t>500</w:t>
            </w:r>
          </w:p>
        </w:tc>
      </w:tr>
      <w:tr>
        <w:tc>
          <w:tcPr>
            <w:tcW w:type="dxa" w:w="4032"/>
            <w:vAlign w:val="center"/>
          </w:tcPr>
          <w:p>
            <w:pPr>
              <w:spacing w:after="60"/>
              <w:jc w:val="left"/>
            </w:pPr>
            <w:r/>
            <w:r>
              <w:rPr>
                <w:rFonts w:ascii="Calibri" w:hAnsi="Calibri"/>
                <w:b w:val="0"/>
                <w:sz w:val="21"/>
              </w:rPr>
              <w:t>Take rate nette commandes</w:t>
            </w:r>
          </w:p>
        </w:tc>
        <w:tc>
          <w:tcPr>
            <w:tcW w:type="dxa" w:w="1296"/>
            <w:vAlign w:val="center"/>
          </w:tcPr>
          <w:p>
            <w:pPr>
              <w:spacing w:after="60"/>
              <w:jc w:val="center"/>
            </w:pPr>
            <w:r/>
            <w:r>
              <w:rPr>
                <w:rFonts w:ascii="Calibri" w:hAnsi="Calibri"/>
                <w:b w:val="0"/>
                <w:sz w:val="21"/>
              </w:rPr>
              <w:t>6.0%</w:t>
            </w:r>
          </w:p>
        </w:tc>
        <w:tc>
          <w:tcPr>
            <w:tcW w:type="dxa" w:w="1296"/>
            <w:vAlign w:val="center"/>
          </w:tcPr>
          <w:p>
            <w:pPr>
              <w:spacing w:after="60"/>
              <w:jc w:val="center"/>
            </w:pPr>
            <w:r/>
            <w:r>
              <w:rPr>
                <w:rFonts w:ascii="Calibri" w:hAnsi="Calibri"/>
                <w:b w:val="0"/>
                <w:sz w:val="21"/>
              </w:rPr>
              <w:t>8.0%</w:t>
            </w:r>
          </w:p>
        </w:tc>
        <w:tc>
          <w:tcPr>
            <w:tcW w:type="dxa" w:w="1296"/>
            <w:vAlign w:val="center"/>
          </w:tcPr>
          <w:p>
            <w:pPr>
              <w:spacing w:after="60"/>
              <w:jc w:val="center"/>
            </w:pPr>
            <w:r/>
            <w:r>
              <w:rPr>
                <w:rFonts w:ascii="Calibri" w:hAnsi="Calibri"/>
                <w:b w:val="0"/>
                <w:sz w:val="21"/>
              </w:rPr>
              <w:t>10.0%</w:t>
            </w:r>
          </w:p>
        </w:tc>
      </w:tr>
      <w:tr>
        <w:tc>
          <w:tcPr>
            <w:tcW w:type="dxa" w:w="4032"/>
            <w:vAlign w:val="center"/>
          </w:tcPr>
          <w:p>
            <w:pPr>
              <w:spacing w:after="60"/>
              <w:jc w:val="left"/>
            </w:pPr>
            <w:r/>
            <w:r>
              <w:rPr>
                <w:rFonts w:ascii="Calibri" w:hAnsi="Calibri"/>
                <w:b w:val="0"/>
                <w:sz w:val="21"/>
              </w:rPr>
              <w:t>Reservations payantes / restaurant / mois en annee 3</w:t>
            </w:r>
          </w:p>
        </w:tc>
        <w:tc>
          <w:tcPr>
            <w:tcW w:type="dxa" w:w="1296"/>
            <w:vAlign w:val="center"/>
          </w:tcPr>
          <w:p>
            <w:pPr>
              <w:spacing w:after="60"/>
              <w:jc w:val="center"/>
            </w:pPr>
            <w:r/>
            <w:r>
              <w:rPr>
                <w:rFonts w:ascii="Calibri" w:hAnsi="Calibri"/>
                <w:b w:val="0"/>
                <w:sz w:val="21"/>
              </w:rPr>
              <w:t>12</w:t>
            </w:r>
          </w:p>
        </w:tc>
        <w:tc>
          <w:tcPr>
            <w:tcW w:type="dxa" w:w="1296"/>
            <w:vAlign w:val="center"/>
          </w:tcPr>
          <w:p>
            <w:pPr>
              <w:spacing w:after="60"/>
              <w:jc w:val="center"/>
            </w:pPr>
            <w:r/>
            <w:r>
              <w:rPr>
                <w:rFonts w:ascii="Calibri" w:hAnsi="Calibri"/>
                <w:b w:val="0"/>
                <w:sz w:val="21"/>
              </w:rPr>
              <w:t>25</w:t>
            </w:r>
          </w:p>
        </w:tc>
        <w:tc>
          <w:tcPr>
            <w:tcW w:type="dxa" w:w="1296"/>
            <w:vAlign w:val="center"/>
          </w:tcPr>
          <w:p>
            <w:pPr>
              <w:spacing w:after="60"/>
              <w:jc w:val="center"/>
            </w:pPr>
            <w:r/>
            <w:r>
              <w:rPr>
                <w:rFonts w:ascii="Calibri" w:hAnsi="Calibri"/>
                <w:b w:val="0"/>
                <w:sz w:val="21"/>
              </w:rPr>
              <w:t>45</w:t>
            </w:r>
          </w:p>
        </w:tc>
      </w:tr>
      <w:tr>
        <w:tc>
          <w:tcPr>
            <w:tcW w:type="dxa" w:w="4032"/>
            <w:vAlign w:val="center"/>
          </w:tcPr>
          <w:p>
            <w:pPr>
              <w:spacing w:after="60"/>
              <w:jc w:val="left"/>
            </w:pPr>
            <w:r/>
            <w:r>
              <w:rPr>
                <w:rFonts w:ascii="Calibri" w:hAnsi="Calibri"/>
                <w:b w:val="0"/>
                <w:sz w:val="21"/>
              </w:rPr>
              <w:t>Taux de penetration Tok One sur base client active</w:t>
            </w:r>
          </w:p>
        </w:tc>
        <w:tc>
          <w:tcPr>
            <w:tcW w:type="dxa" w:w="1296"/>
            <w:vAlign w:val="center"/>
          </w:tcPr>
          <w:p>
            <w:pPr>
              <w:spacing w:after="60"/>
              <w:jc w:val="center"/>
            </w:pPr>
            <w:r/>
            <w:r>
              <w:rPr>
                <w:rFonts w:ascii="Calibri" w:hAnsi="Calibri"/>
                <w:b w:val="0"/>
                <w:sz w:val="21"/>
              </w:rPr>
              <w:t>faible</w:t>
            </w:r>
          </w:p>
        </w:tc>
        <w:tc>
          <w:tcPr>
            <w:tcW w:type="dxa" w:w="1296"/>
            <w:vAlign w:val="center"/>
          </w:tcPr>
          <w:p>
            <w:pPr>
              <w:spacing w:after="60"/>
              <w:jc w:val="center"/>
            </w:pPr>
            <w:r/>
            <w:r>
              <w:rPr>
                <w:rFonts w:ascii="Calibri" w:hAnsi="Calibri"/>
                <w:b w:val="0"/>
                <w:sz w:val="21"/>
              </w:rPr>
              <w:t>modere</w:t>
            </w:r>
          </w:p>
        </w:tc>
        <w:tc>
          <w:tcPr>
            <w:tcW w:type="dxa" w:w="1296"/>
            <w:vAlign w:val="center"/>
          </w:tcPr>
          <w:p>
            <w:pPr>
              <w:spacing w:after="60"/>
              <w:jc w:val="center"/>
            </w:pPr>
            <w:r/>
            <w:r>
              <w:rPr>
                <w:rFonts w:ascii="Calibri" w:hAnsi="Calibri"/>
                <w:b w:val="0"/>
                <w:sz w:val="21"/>
              </w:rPr>
              <w:t>fort</w:t>
            </w:r>
          </w:p>
        </w:tc>
      </w:tr>
      <w:tr>
        <w:tc>
          <w:tcPr>
            <w:tcW w:type="dxa" w:w="4032"/>
            <w:vAlign w:val="center"/>
          </w:tcPr>
          <w:p>
            <w:pPr>
              <w:spacing w:after="60"/>
              <w:jc w:val="left"/>
            </w:pPr>
            <w:r/>
            <w:r>
              <w:rPr>
                <w:rFonts w:ascii="Calibri" w:hAnsi="Calibri"/>
                <w:b w:val="0"/>
                <w:sz w:val="21"/>
              </w:rPr>
              <w:t>ARPU campagnes sponsorisees / resto / mois A3</w:t>
            </w:r>
          </w:p>
        </w:tc>
        <w:tc>
          <w:tcPr>
            <w:tcW w:type="dxa" w:w="1296"/>
            <w:vAlign w:val="center"/>
          </w:tcPr>
          <w:p>
            <w:pPr>
              <w:spacing w:after="60"/>
              <w:jc w:val="center"/>
            </w:pPr>
            <w:r/>
            <w:r>
              <w:rPr>
                <w:rFonts w:ascii="Calibri" w:hAnsi="Calibri"/>
                <w:b w:val="0"/>
                <w:sz w:val="21"/>
              </w:rPr>
              <w:t>80 CHF</w:t>
            </w:r>
          </w:p>
        </w:tc>
        <w:tc>
          <w:tcPr>
            <w:tcW w:type="dxa" w:w="1296"/>
            <w:vAlign w:val="center"/>
          </w:tcPr>
          <w:p>
            <w:pPr>
              <w:spacing w:after="60"/>
              <w:jc w:val="center"/>
            </w:pPr>
            <w:r/>
            <w:r>
              <w:rPr>
                <w:rFonts w:ascii="Calibri" w:hAnsi="Calibri"/>
                <w:b w:val="0"/>
                <w:sz w:val="21"/>
              </w:rPr>
              <w:t>150 CHF</w:t>
            </w:r>
          </w:p>
        </w:tc>
        <w:tc>
          <w:tcPr>
            <w:tcW w:type="dxa" w:w="1296"/>
            <w:vAlign w:val="center"/>
          </w:tcPr>
          <w:p>
            <w:pPr>
              <w:spacing w:after="60"/>
              <w:jc w:val="center"/>
            </w:pPr>
            <w:r/>
            <w:r>
              <w:rPr>
                <w:rFonts w:ascii="Calibri" w:hAnsi="Calibri"/>
                <w:b w:val="0"/>
                <w:sz w:val="21"/>
              </w:rPr>
              <w:t>300 CHF</w:t>
            </w:r>
          </w:p>
        </w:tc>
      </w:tr>
    </w:tbl>
    <w:p/>
    <w:p>
      <w:pPr>
        <w:pStyle w:val="Heading1"/>
        <w:jc w:val="left"/>
      </w:pPr>
      <w:r>
        <w:rPr>
          <w:rFonts w:ascii="Calibri" w:hAnsi="Calibri"/>
          <w:b w:val="0"/>
        </w:rPr>
        <w:t>8. Projections de revenu 3 ans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3168"/>
            <w:shd w:fill="F2F4F7"/>
            <w:vAlign w:val="center"/>
          </w:tcPr>
          <w:p>
            <w:pPr>
              <w:spacing w:after="60"/>
              <w:jc w:val="left"/>
            </w:pPr>
            <w:r/>
            <w:r>
              <w:rPr>
                <w:rFonts w:ascii="Calibri" w:hAnsi="Calibri"/>
                <w:b/>
                <w:color w:val="0B2545"/>
                <w:sz w:val="21"/>
              </w:rPr>
              <w:t>Scenario</w:t>
            </w:r>
          </w:p>
        </w:tc>
        <w:tc>
          <w:tcPr>
            <w:tcW w:type="dxa" w:w="2016"/>
            <w:shd w:fill="F2F4F7"/>
            <w:vAlign w:val="center"/>
          </w:tcPr>
          <w:p>
            <w:pPr>
              <w:spacing w:after="60"/>
              <w:jc w:val="left"/>
            </w:pPr>
            <w:r/>
            <w:r>
              <w:rPr>
                <w:rFonts w:ascii="Calibri" w:hAnsi="Calibri"/>
                <w:b/>
                <w:color w:val="0B2545"/>
                <w:sz w:val="21"/>
              </w:rPr>
              <w:t>Annee 1</w:t>
            </w:r>
          </w:p>
        </w:tc>
        <w:tc>
          <w:tcPr>
            <w:tcW w:type="dxa" w:w="2016"/>
            <w:shd w:fill="F2F4F7"/>
            <w:vAlign w:val="center"/>
          </w:tcPr>
          <w:p>
            <w:pPr>
              <w:spacing w:after="60"/>
              <w:jc w:val="left"/>
            </w:pPr>
            <w:r/>
            <w:r>
              <w:rPr>
                <w:rFonts w:ascii="Calibri" w:hAnsi="Calibri"/>
                <w:b/>
                <w:color w:val="0B2545"/>
                <w:sz w:val="21"/>
              </w:rPr>
              <w:t>Annee 2</w:t>
            </w:r>
          </w:p>
        </w:tc>
        <w:tc>
          <w:tcPr>
            <w:tcW w:type="dxa" w:w="2016"/>
            <w:shd w:fill="F2F4F7"/>
            <w:vAlign w:val="center"/>
          </w:tcPr>
          <w:p>
            <w:pPr>
              <w:spacing w:after="60"/>
              <w:jc w:val="left"/>
            </w:pPr>
            <w:r/>
            <w:r>
              <w:rPr>
                <w:rFonts w:ascii="Calibri" w:hAnsi="Calibri"/>
                <w:b/>
                <w:color w:val="0B2545"/>
                <w:sz w:val="21"/>
              </w:rPr>
              <w:t>Annee 3</w:t>
            </w:r>
          </w:p>
        </w:tc>
      </w:tr>
      <w:tr>
        <w:tc>
          <w:tcPr>
            <w:tcW w:type="dxa" w:w="3168"/>
            <w:vAlign w:val="center"/>
          </w:tcPr>
          <w:p>
            <w:pPr>
              <w:spacing w:after="60"/>
              <w:jc w:val="left"/>
            </w:pPr>
            <w:r/>
            <w:r>
              <w:rPr>
                <w:rFonts w:ascii="Calibri" w:hAnsi="Calibri"/>
                <w:b w:val="0"/>
                <w:sz w:val="21"/>
              </w:rPr>
              <w:t>Bas</w:t>
            </w:r>
          </w:p>
        </w:tc>
        <w:tc>
          <w:tcPr>
            <w:tcW w:type="dxa" w:w="2016"/>
            <w:vAlign w:val="center"/>
          </w:tcPr>
          <w:p>
            <w:pPr>
              <w:spacing w:after="60"/>
              <w:jc w:val="center"/>
            </w:pPr>
            <w:r/>
            <w:r>
              <w:rPr>
                <w:rFonts w:ascii="Calibri" w:hAnsi="Calibri"/>
                <w:b w:val="0"/>
                <w:sz w:val="21"/>
              </w:rPr>
              <w:t>135 kCHF</w:t>
            </w:r>
          </w:p>
        </w:tc>
        <w:tc>
          <w:tcPr>
            <w:tcW w:type="dxa" w:w="2016"/>
            <w:vAlign w:val="center"/>
          </w:tcPr>
          <w:p>
            <w:pPr>
              <w:spacing w:after="60"/>
              <w:jc w:val="center"/>
            </w:pPr>
            <w:r/>
            <w:r>
              <w:rPr>
                <w:rFonts w:ascii="Calibri" w:hAnsi="Calibri"/>
                <w:b w:val="0"/>
                <w:sz w:val="21"/>
              </w:rPr>
              <w:t>445 kCHF</w:t>
            </w:r>
          </w:p>
        </w:tc>
        <w:tc>
          <w:tcPr>
            <w:tcW w:type="dxa" w:w="2016"/>
            <w:vAlign w:val="center"/>
          </w:tcPr>
          <w:p>
            <w:pPr>
              <w:spacing w:after="60"/>
              <w:jc w:val="center"/>
            </w:pPr>
            <w:r/>
            <w:r>
              <w:rPr>
                <w:rFonts w:ascii="Calibri" w:hAnsi="Calibri"/>
                <w:b w:val="0"/>
                <w:sz w:val="21"/>
              </w:rPr>
              <w:t>1.04 MCHF</w:t>
            </w:r>
          </w:p>
        </w:tc>
      </w:tr>
      <w:tr>
        <w:tc>
          <w:tcPr>
            <w:tcW w:type="dxa" w:w="3168"/>
            <w:vAlign w:val="center"/>
          </w:tcPr>
          <w:p>
            <w:pPr>
              <w:spacing w:after="60"/>
              <w:jc w:val="left"/>
            </w:pPr>
            <w:r/>
            <w:r>
              <w:rPr>
                <w:rFonts w:ascii="Calibri" w:hAnsi="Calibri"/>
                <w:b w:val="0"/>
                <w:sz w:val="21"/>
              </w:rPr>
              <w:t>Moyen</w:t>
            </w:r>
          </w:p>
        </w:tc>
        <w:tc>
          <w:tcPr>
            <w:tcW w:type="dxa" w:w="2016"/>
            <w:vAlign w:val="center"/>
          </w:tcPr>
          <w:p>
            <w:pPr>
              <w:spacing w:after="60"/>
              <w:jc w:val="center"/>
            </w:pPr>
            <w:r/>
            <w:r>
              <w:rPr>
                <w:rFonts w:ascii="Calibri" w:hAnsi="Calibri"/>
                <w:b w:val="0"/>
                <w:sz w:val="21"/>
              </w:rPr>
              <w:t>365 kCHF</w:t>
            </w:r>
          </w:p>
        </w:tc>
        <w:tc>
          <w:tcPr>
            <w:tcW w:type="dxa" w:w="2016"/>
            <w:vAlign w:val="center"/>
          </w:tcPr>
          <w:p>
            <w:pPr>
              <w:spacing w:after="60"/>
              <w:jc w:val="center"/>
            </w:pPr>
            <w:r/>
            <w:r>
              <w:rPr>
                <w:rFonts w:ascii="Calibri" w:hAnsi="Calibri"/>
                <w:b w:val="0"/>
                <w:sz w:val="21"/>
              </w:rPr>
              <w:t>1.32 MCHF</w:t>
            </w:r>
          </w:p>
        </w:tc>
        <w:tc>
          <w:tcPr>
            <w:tcW w:type="dxa" w:w="2016"/>
            <w:vAlign w:val="center"/>
          </w:tcPr>
          <w:p>
            <w:pPr>
              <w:spacing w:after="60"/>
              <w:jc w:val="center"/>
            </w:pPr>
            <w:r/>
            <w:r>
              <w:rPr>
                <w:rFonts w:ascii="Calibri" w:hAnsi="Calibri"/>
                <w:b w:val="0"/>
                <w:sz w:val="21"/>
              </w:rPr>
              <w:t>3.05 MCHF</w:t>
            </w:r>
          </w:p>
        </w:tc>
      </w:tr>
      <w:tr>
        <w:tc>
          <w:tcPr>
            <w:tcW w:type="dxa" w:w="3168"/>
            <w:vAlign w:val="center"/>
          </w:tcPr>
          <w:p>
            <w:pPr>
              <w:spacing w:after="60"/>
              <w:jc w:val="left"/>
            </w:pPr>
            <w:r/>
            <w:r>
              <w:rPr>
                <w:rFonts w:ascii="Calibri" w:hAnsi="Calibri"/>
                <w:b w:val="0"/>
                <w:sz w:val="21"/>
              </w:rPr>
              <w:t>Haut</w:t>
            </w:r>
          </w:p>
        </w:tc>
        <w:tc>
          <w:tcPr>
            <w:tcW w:type="dxa" w:w="2016"/>
            <w:vAlign w:val="center"/>
          </w:tcPr>
          <w:p>
            <w:pPr>
              <w:spacing w:after="60"/>
              <w:jc w:val="center"/>
            </w:pPr>
            <w:r/>
            <w:r>
              <w:rPr>
                <w:rFonts w:ascii="Calibri" w:hAnsi="Calibri"/>
                <w:b w:val="0"/>
                <w:sz w:val="21"/>
              </w:rPr>
              <w:t>878 kCHF</w:t>
            </w:r>
          </w:p>
        </w:tc>
        <w:tc>
          <w:tcPr>
            <w:tcW w:type="dxa" w:w="2016"/>
            <w:vAlign w:val="center"/>
          </w:tcPr>
          <w:p>
            <w:pPr>
              <w:spacing w:after="60"/>
              <w:jc w:val="center"/>
            </w:pPr>
            <w:r/>
            <w:r>
              <w:rPr>
                <w:rFonts w:ascii="Calibri" w:hAnsi="Calibri"/>
                <w:b w:val="0"/>
                <w:sz w:val="21"/>
              </w:rPr>
              <w:t>3.17 MCHF</w:t>
            </w:r>
          </w:p>
        </w:tc>
        <w:tc>
          <w:tcPr>
            <w:tcW w:type="dxa" w:w="2016"/>
            <w:vAlign w:val="center"/>
          </w:tcPr>
          <w:p>
            <w:pPr>
              <w:spacing w:after="60"/>
              <w:jc w:val="center"/>
            </w:pPr>
            <w:r/>
            <w:r>
              <w:rPr>
                <w:rFonts w:ascii="Calibri" w:hAnsi="Calibri"/>
                <w:b w:val="0"/>
                <w:sz w:val="21"/>
              </w:rPr>
              <w:t>8.01 MCHF</w:t>
            </w:r>
          </w:p>
        </w:tc>
      </w:tr>
    </w:tbl>
    <w:p/>
    <w:p>
      <w:pPr>
        <w:pStyle w:val="Heading1"/>
        <w:jc w:val="left"/>
      </w:pPr>
      <w:r>
        <w:rPr>
          <w:rFonts w:ascii="Calibri" w:hAnsi="Calibri"/>
          <w:b w:val="0"/>
        </w:rPr>
        <w:t>9. Decomposition du scenario moyen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3456"/>
            <w:shd w:fill="F2F4F7"/>
            <w:vAlign w:val="center"/>
          </w:tcPr>
          <w:p>
            <w:pPr>
              <w:spacing w:after="60"/>
              <w:jc w:val="left"/>
            </w:pPr>
            <w:r/>
            <w:r>
              <w:rPr>
                <w:rFonts w:ascii="Calibri" w:hAnsi="Calibri"/>
                <w:b/>
                <w:color w:val="0B2545"/>
                <w:sz w:val="21"/>
              </w:rPr>
              <w:t>Ligne</w:t>
            </w:r>
          </w:p>
        </w:tc>
        <w:tc>
          <w:tcPr>
            <w:tcW w:type="dxa" w:w="1728"/>
            <w:shd w:fill="F2F4F7"/>
            <w:vAlign w:val="center"/>
          </w:tcPr>
          <w:p>
            <w:pPr>
              <w:spacing w:after="60"/>
              <w:jc w:val="left"/>
            </w:pPr>
            <w:r/>
            <w:r>
              <w:rPr>
                <w:rFonts w:ascii="Calibri" w:hAnsi="Calibri"/>
                <w:b/>
                <w:color w:val="0B2545"/>
                <w:sz w:val="21"/>
              </w:rPr>
              <w:t>A1</w:t>
            </w:r>
          </w:p>
        </w:tc>
        <w:tc>
          <w:tcPr>
            <w:tcW w:type="dxa" w:w="1728"/>
            <w:shd w:fill="F2F4F7"/>
            <w:vAlign w:val="center"/>
          </w:tcPr>
          <w:p>
            <w:pPr>
              <w:spacing w:after="60"/>
              <w:jc w:val="left"/>
            </w:pPr>
            <w:r/>
            <w:r>
              <w:rPr>
                <w:rFonts w:ascii="Calibri" w:hAnsi="Calibri"/>
                <w:b/>
                <w:color w:val="0B2545"/>
                <w:sz w:val="21"/>
              </w:rPr>
              <w:t>A2</w:t>
            </w:r>
          </w:p>
        </w:tc>
        <w:tc>
          <w:tcPr>
            <w:tcW w:type="dxa" w:w="1728"/>
            <w:shd w:fill="F2F4F7"/>
            <w:vAlign w:val="center"/>
          </w:tcPr>
          <w:p>
            <w:pPr>
              <w:spacing w:after="60"/>
              <w:jc w:val="left"/>
            </w:pPr>
            <w:r/>
            <w:r>
              <w:rPr>
                <w:rFonts w:ascii="Calibri" w:hAnsi="Calibri"/>
                <w:b/>
                <w:color w:val="0B2545"/>
                <w:sz w:val="21"/>
              </w:rPr>
              <w:t>A3</w:t>
            </w:r>
          </w:p>
        </w:tc>
      </w:tr>
      <w:tr>
        <w:tc>
          <w:tcPr>
            <w:tcW w:type="dxa" w:w="3456"/>
            <w:vAlign w:val="center"/>
          </w:tcPr>
          <w:p>
            <w:pPr>
              <w:spacing w:after="60"/>
              <w:jc w:val="left"/>
            </w:pPr>
            <w:r/>
            <w:r>
              <w:rPr>
                <w:rFonts w:ascii="Calibri" w:hAnsi="Calibri"/>
                <w:b w:val="0"/>
                <w:sz w:val="21"/>
              </w:rPr>
              <w:t>Packs de lancement</w:t>
            </w:r>
          </w:p>
        </w:tc>
        <w:tc>
          <w:tcPr>
            <w:tcW w:type="dxa" w:w="1728"/>
            <w:vAlign w:val="center"/>
          </w:tcPr>
          <w:p>
            <w:pPr>
              <w:spacing w:after="60"/>
              <w:jc w:val="center"/>
            </w:pPr>
            <w:r/>
            <w:r>
              <w:rPr>
                <w:rFonts w:ascii="Calibri" w:hAnsi="Calibri"/>
                <w:b w:val="0"/>
                <w:sz w:val="21"/>
              </w:rPr>
              <w:t>68 kCHF</w:t>
            </w:r>
          </w:p>
        </w:tc>
        <w:tc>
          <w:tcPr>
            <w:tcW w:type="dxa" w:w="1728"/>
            <w:vAlign w:val="center"/>
          </w:tcPr>
          <w:p>
            <w:pPr>
              <w:spacing w:after="60"/>
              <w:jc w:val="center"/>
            </w:pPr>
            <w:r/>
            <w:r>
              <w:rPr>
                <w:rFonts w:ascii="Calibri" w:hAnsi="Calibri"/>
                <w:b w:val="0"/>
                <w:sz w:val="21"/>
              </w:rPr>
              <w:t>174 kCHF</w:t>
            </w:r>
          </w:p>
        </w:tc>
        <w:tc>
          <w:tcPr>
            <w:tcW w:type="dxa" w:w="1728"/>
            <w:vAlign w:val="center"/>
          </w:tcPr>
          <w:p>
            <w:pPr>
              <w:spacing w:after="60"/>
              <w:jc w:val="center"/>
            </w:pPr>
            <w:r/>
            <w:r>
              <w:rPr>
                <w:rFonts w:ascii="Calibri" w:hAnsi="Calibri"/>
                <w:b w:val="0"/>
                <w:sz w:val="21"/>
              </w:rPr>
              <w:t>220 kCHF</w:t>
            </w:r>
          </w:p>
        </w:tc>
      </w:tr>
      <w:tr>
        <w:tc>
          <w:tcPr>
            <w:tcW w:type="dxa" w:w="3456"/>
            <w:vAlign w:val="center"/>
          </w:tcPr>
          <w:p>
            <w:pPr>
              <w:spacing w:after="60"/>
              <w:jc w:val="left"/>
            </w:pPr>
            <w:r/>
            <w:r>
              <w:rPr>
                <w:rFonts w:ascii="Calibri" w:hAnsi="Calibri"/>
                <w:b w:val="0"/>
                <w:sz w:val="21"/>
              </w:rPr>
              <w:t>Abonnements restaurateurs</w:t>
            </w:r>
          </w:p>
        </w:tc>
        <w:tc>
          <w:tcPr>
            <w:tcW w:type="dxa" w:w="1728"/>
            <w:vAlign w:val="center"/>
          </w:tcPr>
          <w:p>
            <w:pPr>
              <w:spacing w:after="60"/>
              <w:jc w:val="center"/>
            </w:pPr>
            <w:r/>
            <w:r>
              <w:rPr>
                <w:rFonts w:ascii="Calibri" w:hAnsi="Calibri"/>
                <w:b w:val="0"/>
                <w:sz w:val="21"/>
              </w:rPr>
              <w:t>40 kCHF</w:t>
            </w:r>
          </w:p>
        </w:tc>
        <w:tc>
          <w:tcPr>
            <w:tcW w:type="dxa" w:w="1728"/>
            <w:vAlign w:val="center"/>
          </w:tcPr>
          <w:p>
            <w:pPr>
              <w:spacing w:after="60"/>
              <w:jc w:val="center"/>
            </w:pPr>
            <w:r/>
            <w:r>
              <w:rPr>
                <w:rFonts w:ascii="Calibri" w:hAnsi="Calibri"/>
                <w:b w:val="0"/>
                <w:sz w:val="21"/>
              </w:rPr>
              <w:t>108 kCHF</w:t>
            </w:r>
          </w:p>
        </w:tc>
        <w:tc>
          <w:tcPr>
            <w:tcW w:type="dxa" w:w="1728"/>
            <w:vAlign w:val="center"/>
          </w:tcPr>
          <w:p>
            <w:pPr>
              <w:spacing w:after="60"/>
              <w:jc w:val="center"/>
            </w:pPr>
            <w:r/>
            <w:r>
              <w:rPr>
                <w:rFonts w:ascii="Calibri" w:hAnsi="Calibri"/>
                <w:b w:val="0"/>
                <w:sz w:val="21"/>
              </w:rPr>
              <w:t>230 kCHF</w:t>
            </w:r>
          </w:p>
        </w:tc>
      </w:tr>
      <w:tr>
        <w:tc>
          <w:tcPr>
            <w:tcW w:type="dxa" w:w="3456"/>
            <w:vAlign w:val="center"/>
          </w:tcPr>
          <w:p>
            <w:pPr>
              <w:spacing w:after="60"/>
              <w:jc w:val="left"/>
            </w:pPr>
            <w:r/>
            <w:r>
              <w:rPr>
                <w:rFonts w:ascii="Calibri" w:hAnsi="Calibri"/>
                <w:b w:val="0"/>
                <w:sz w:val="21"/>
              </w:rPr>
              <w:t>Frais de reservation</w:t>
            </w:r>
          </w:p>
        </w:tc>
        <w:tc>
          <w:tcPr>
            <w:tcW w:type="dxa" w:w="1728"/>
            <w:vAlign w:val="center"/>
          </w:tcPr>
          <w:p>
            <w:pPr>
              <w:spacing w:after="60"/>
              <w:jc w:val="center"/>
            </w:pPr>
            <w:r/>
            <w:r>
              <w:rPr>
                <w:rFonts w:ascii="Calibri" w:hAnsi="Calibri"/>
                <w:b w:val="0"/>
                <w:sz w:val="21"/>
              </w:rPr>
              <w:t>97 kCHF</w:t>
            </w:r>
          </w:p>
        </w:tc>
        <w:tc>
          <w:tcPr>
            <w:tcW w:type="dxa" w:w="1728"/>
            <w:vAlign w:val="center"/>
          </w:tcPr>
          <w:p>
            <w:pPr>
              <w:spacing w:after="60"/>
              <w:jc w:val="center"/>
            </w:pPr>
            <w:r/>
            <w:r>
              <w:rPr>
                <w:rFonts w:ascii="Calibri" w:hAnsi="Calibri"/>
                <w:b w:val="0"/>
                <w:sz w:val="21"/>
              </w:rPr>
              <w:t>311 kCHF</w:t>
            </w:r>
          </w:p>
        </w:tc>
        <w:tc>
          <w:tcPr>
            <w:tcW w:type="dxa" w:w="1728"/>
            <w:vAlign w:val="center"/>
          </w:tcPr>
          <w:p>
            <w:pPr>
              <w:spacing w:after="60"/>
              <w:jc w:val="center"/>
            </w:pPr>
            <w:r/>
            <w:r>
              <w:rPr>
                <w:rFonts w:ascii="Calibri" w:hAnsi="Calibri"/>
                <w:b w:val="0"/>
                <w:sz w:val="21"/>
              </w:rPr>
              <w:t>700 kCHF</w:t>
            </w:r>
          </w:p>
        </w:tc>
      </w:tr>
      <w:tr>
        <w:tc>
          <w:tcPr>
            <w:tcW w:type="dxa" w:w="3456"/>
            <w:vAlign w:val="center"/>
          </w:tcPr>
          <w:p>
            <w:pPr>
              <w:spacing w:after="60"/>
              <w:jc w:val="left"/>
            </w:pPr>
            <w:r/>
            <w:r>
              <w:rPr>
                <w:rFonts w:ascii="Calibri" w:hAnsi="Calibri"/>
                <w:b w:val="0"/>
                <w:sz w:val="21"/>
              </w:rPr>
              <w:t>Commandes directes</w:t>
            </w:r>
          </w:p>
        </w:tc>
        <w:tc>
          <w:tcPr>
            <w:tcW w:type="dxa" w:w="1728"/>
            <w:vAlign w:val="center"/>
          </w:tcPr>
          <w:p>
            <w:pPr>
              <w:spacing w:after="60"/>
              <w:jc w:val="center"/>
            </w:pPr>
            <w:r/>
            <w:r>
              <w:rPr>
                <w:rFonts w:ascii="Calibri" w:hAnsi="Calibri"/>
                <w:b w:val="0"/>
                <w:sz w:val="21"/>
              </w:rPr>
              <w:t>108 kCHF</w:t>
            </w:r>
          </w:p>
        </w:tc>
        <w:tc>
          <w:tcPr>
            <w:tcW w:type="dxa" w:w="1728"/>
            <w:vAlign w:val="center"/>
          </w:tcPr>
          <w:p>
            <w:pPr>
              <w:spacing w:after="60"/>
              <w:jc w:val="center"/>
            </w:pPr>
            <w:r/>
            <w:r>
              <w:rPr>
                <w:rFonts w:ascii="Calibri" w:hAnsi="Calibri"/>
                <w:b w:val="0"/>
                <w:sz w:val="21"/>
              </w:rPr>
              <w:t>514 kCHF</w:t>
            </w:r>
          </w:p>
        </w:tc>
        <w:tc>
          <w:tcPr>
            <w:tcW w:type="dxa" w:w="1728"/>
            <w:vAlign w:val="center"/>
          </w:tcPr>
          <w:p>
            <w:pPr>
              <w:spacing w:after="60"/>
              <w:jc w:val="center"/>
            </w:pPr>
            <w:r/>
            <w:r>
              <w:rPr>
                <w:rFonts w:ascii="Calibri" w:hAnsi="Calibri"/>
                <w:b w:val="0"/>
                <w:sz w:val="21"/>
              </w:rPr>
              <w:t>1.35 MCHF</w:t>
            </w:r>
          </w:p>
        </w:tc>
      </w:tr>
      <w:tr>
        <w:tc>
          <w:tcPr>
            <w:tcW w:type="dxa" w:w="3456"/>
            <w:vAlign w:val="center"/>
          </w:tcPr>
          <w:p>
            <w:pPr>
              <w:spacing w:after="60"/>
              <w:jc w:val="left"/>
            </w:pPr>
            <w:r/>
            <w:r>
              <w:rPr>
                <w:rFonts w:ascii="Calibri" w:hAnsi="Calibri"/>
                <w:b w:val="0"/>
                <w:sz w:val="21"/>
              </w:rPr>
              <w:t>Campagnes sponsorisees</w:t>
            </w:r>
          </w:p>
        </w:tc>
        <w:tc>
          <w:tcPr>
            <w:tcW w:type="dxa" w:w="1728"/>
            <w:vAlign w:val="center"/>
          </w:tcPr>
          <w:p>
            <w:pPr>
              <w:spacing w:after="60"/>
              <w:jc w:val="center"/>
            </w:pPr>
            <w:r/>
            <w:r>
              <w:rPr>
                <w:rFonts w:ascii="Calibri" w:hAnsi="Calibri"/>
                <w:b w:val="0"/>
                <w:sz w:val="21"/>
              </w:rPr>
              <w:t>20 kCHF</w:t>
            </w:r>
          </w:p>
        </w:tc>
        <w:tc>
          <w:tcPr>
            <w:tcW w:type="dxa" w:w="1728"/>
            <w:vAlign w:val="center"/>
          </w:tcPr>
          <w:p>
            <w:pPr>
              <w:spacing w:after="60"/>
              <w:jc w:val="center"/>
            </w:pPr>
            <w:r/>
            <w:r>
              <w:rPr>
                <w:rFonts w:ascii="Calibri" w:hAnsi="Calibri"/>
                <w:b w:val="0"/>
                <w:sz w:val="21"/>
              </w:rPr>
              <w:t>85 kCHF</w:t>
            </w:r>
          </w:p>
        </w:tc>
        <w:tc>
          <w:tcPr>
            <w:tcW w:type="dxa" w:w="1728"/>
            <w:vAlign w:val="center"/>
          </w:tcPr>
          <w:p>
            <w:pPr>
              <w:spacing w:after="60"/>
              <w:jc w:val="center"/>
            </w:pPr>
            <w:r/>
            <w:r>
              <w:rPr>
                <w:rFonts w:ascii="Calibri" w:hAnsi="Calibri"/>
                <w:b w:val="0"/>
                <w:sz w:val="21"/>
              </w:rPr>
              <w:t>180 kCHF</w:t>
            </w:r>
          </w:p>
        </w:tc>
      </w:tr>
      <w:tr>
        <w:tc>
          <w:tcPr>
            <w:tcW w:type="dxa" w:w="3456"/>
            <w:vAlign w:val="center"/>
          </w:tcPr>
          <w:p>
            <w:pPr>
              <w:spacing w:after="60"/>
              <w:jc w:val="left"/>
            </w:pPr>
            <w:r/>
            <w:r>
              <w:rPr>
                <w:rFonts w:ascii="Calibri" w:hAnsi="Calibri"/>
                <w:b w:val="0"/>
                <w:sz w:val="21"/>
              </w:rPr>
              <w:t>Tok One</w:t>
            </w:r>
          </w:p>
        </w:tc>
        <w:tc>
          <w:tcPr>
            <w:tcW w:type="dxa" w:w="1728"/>
            <w:vAlign w:val="center"/>
          </w:tcPr>
          <w:p>
            <w:pPr>
              <w:spacing w:after="60"/>
              <w:jc w:val="center"/>
            </w:pPr>
            <w:r/>
            <w:r>
              <w:rPr>
                <w:rFonts w:ascii="Calibri" w:hAnsi="Calibri"/>
                <w:b w:val="0"/>
                <w:sz w:val="21"/>
              </w:rPr>
              <w:t>32 kCHF</w:t>
            </w:r>
          </w:p>
        </w:tc>
        <w:tc>
          <w:tcPr>
            <w:tcW w:type="dxa" w:w="1728"/>
            <w:vAlign w:val="center"/>
          </w:tcPr>
          <w:p>
            <w:pPr>
              <w:spacing w:after="60"/>
              <w:jc w:val="center"/>
            </w:pPr>
            <w:r/>
            <w:r>
              <w:rPr>
                <w:rFonts w:ascii="Calibri" w:hAnsi="Calibri"/>
                <w:b w:val="0"/>
                <w:sz w:val="21"/>
              </w:rPr>
              <w:t>127 kCHF</w:t>
            </w:r>
          </w:p>
        </w:tc>
        <w:tc>
          <w:tcPr>
            <w:tcW w:type="dxa" w:w="1728"/>
            <w:vAlign w:val="center"/>
          </w:tcPr>
          <w:p>
            <w:pPr>
              <w:spacing w:after="60"/>
              <w:jc w:val="center"/>
            </w:pPr>
            <w:r/>
            <w:r>
              <w:rPr>
                <w:rFonts w:ascii="Calibri" w:hAnsi="Calibri"/>
                <w:b w:val="0"/>
                <w:sz w:val="21"/>
              </w:rPr>
              <w:t>370 kCHF</w:t>
            </w:r>
          </w:p>
        </w:tc>
      </w:tr>
    </w:tbl>
    <w:p/>
    <w:p>
      <w:pPr>
        <w:jc w:val="left"/>
      </w:pPr>
      <w:r>
        <w:rPr>
          <w:rFonts w:ascii="Calibri" w:hAnsi="Calibri"/>
          <w:b w:val="0"/>
        </w:rPr>
        <w:t>Lecture: l'annee 1 est essentiellement financee par le B2B et les reservations. L'annee 2 valide la recurrence. L'annee 3 est celle ou les commandes directes deviennent le premier moteur de revenu.</w:t>
      </w:r>
    </w:p>
    <w:p>
      <w:pPr>
        <w:pStyle w:val="Heading1"/>
        <w:jc w:val="left"/>
      </w:pPr>
      <w:r>
        <w:rPr>
          <w:rFonts w:ascii="Calibri" w:hAnsi="Calibri"/>
          <w:b w:val="0"/>
        </w:rPr>
        <w:t>10. Go-to-market</w:t>
      </w:r>
    </w:p>
    <w:p>
      <w:pPr>
        <w:pStyle w:val="ListNumber"/>
        <w:spacing w:after="80" w:line="276" w:lineRule="auto"/>
      </w:pPr>
      <w:r>
        <w:rPr>
          <w:rFonts w:ascii="Calibri" w:hAnsi="Calibri"/>
          <w:sz w:val="22"/>
        </w:rPr>
        <w:t>0 a 12 mois: Geneve. Signer 20 a 35 restaurants actifs, standardiser l'onboarding, pousser les packs, reservations et premiers flux Tok One.</w:t>
      </w:r>
    </w:p>
    <w:p>
      <w:pPr>
        <w:pStyle w:val="ListNumber"/>
        <w:spacing w:after="80" w:line="276" w:lineRule="auto"/>
      </w:pPr>
      <w:r>
        <w:rPr>
          <w:rFonts w:ascii="Calibri" w:hAnsi="Calibri"/>
          <w:sz w:val="22"/>
        </w:rPr>
        <w:t>12 a 24 mois: Lausanne + 1 zone romande. Industrialiser la prospection, la demo et le support restaurateur. Commencer a densifier les campagnes sponsorisees.</w:t>
      </w:r>
    </w:p>
    <w:p>
      <w:pPr>
        <w:pStyle w:val="ListNumber"/>
        <w:spacing w:after="80" w:line="276" w:lineRule="auto"/>
      </w:pPr>
      <w:r>
        <w:rPr>
          <w:rFonts w:ascii="Calibri" w:hAnsi="Calibri"/>
          <w:sz w:val="22"/>
        </w:rPr>
        <w:t>24 a 36 mois: concentration sur la retention, la densite locale et l'upsell. N'etendre que ce qui prouve sa marge.</w:t>
      </w:r>
    </w:p>
    <w:p>
      <w:pPr>
        <w:pStyle w:val="Heading1"/>
        <w:jc w:val="left"/>
      </w:pPr>
      <w:r>
        <w:rPr>
          <w:rFonts w:ascii="Calibri" w:hAnsi="Calibri"/>
          <w:b w:val="0"/>
        </w:rPr>
        <w:t>11. Strategie commerciale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592"/>
            <w:shd w:fill="F2F4F7"/>
            <w:vAlign w:val="center"/>
          </w:tcPr>
          <w:p>
            <w:pPr>
              <w:spacing w:after="60"/>
              <w:jc w:val="left"/>
            </w:pPr>
            <w:r/>
            <w:r>
              <w:rPr>
                <w:rFonts w:ascii="Calibri" w:hAnsi="Calibri"/>
                <w:b/>
                <w:color w:val="0B2545"/>
                <w:sz w:val="21"/>
              </w:rPr>
              <w:t>Canal</w:t>
            </w:r>
          </w:p>
        </w:tc>
        <w:tc>
          <w:tcPr>
            <w:tcW w:type="dxa" w:w="2304"/>
            <w:shd w:fill="F2F4F7"/>
            <w:vAlign w:val="center"/>
          </w:tcPr>
          <w:p>
            <w:pPr>
              <w:spacing w:after="60"/>
              <w:jc w:val="left"/>
            </w:pPr>
            <w:r/>
            <w:r>
              <w:rPr>
                <w:rFonts w:ascii="Calibri" w:hAnsi="Calibri"/>
                <w:b/>
                <w:color w:val="0B2545"/>
                <w:sz w:val="21"/>
              </w:rPr>
              <w:t>Objectif</w:t>
            </w:r>
          </w:p>
        </w:tc>
        <w:tc>
          <w:tcPr>
            <w:tcW w:type="dxa" w:w="4464"/>
            <w:shd w:fill="F2F4F7"/>
            <w:vAlign w:val="center"/>
          </w:tcPr>
          <w:p>
            <w:pPr>
              <w:spacing w:after="60"/>
              <w:jc w:val="left"/>
            </w:pPr>
            <w:r/>
            <w:r>
              <w:rPr>
                <w:rFonts w:ascii="Calibri" w:hAnsi="Calibri"/>
                <w:b/>
                <w:color w:val="0B2545"/>
                <w:sz w:val="21"/>
              </w:rPr>
              <w:t>Message commercial</w:t>
            </w:r>
          </w:p>
        </w:tc>
      </w:tr>
      <w:tr>
        <w:tc>
          <w:tcPr>
            <w:tcW w:type="dxa" w:w="2592"/>
            <w:vAlign w:val="center"/>
          </w:tcPr>
          <w:p>
            <w:pPr>
              <w:spacing w:after="60"/>
              <w:jc w:val="left"/>
            </w:pPr>
            <w:r/>
            <w:r>
              <w:rPr>
                <w:rFonts w:ascii="Calibri" w:hAnsi="Calibri"/>
                <w:b w:val="0"/>
                <w:sz w:val="21"/>
              </w:rPr>
              <w:t>Prospection directe</w:t>
            </w:r>
          </w:p>
        </w:tc>
        <w:tc>
          <w:tcPr>
            <w:tcW w:type="dxa" w:w="2304"/>
            <w:vAlign w:val="center"/>
          </w:tcPr>
          <w:p>
            <w:pPr>
              <w:spacing w:after="60"/>
              <w:jc w:val="left"/>
            </w:pPr>
            <w:r/>
            <w:r>
              <w:rPr>
                <w:rFonts w:ascii="Calibri" w:hAnsi="Calibri"/>
                <w:b w:val="0"/>
                <w:sz w:val="21"/>
              </w:rPr>
              <w:t>Signer les premiers comptes</w:t>
            </w:r>
          </w:p>
        </w:tc>
        <w:tc>
          <w:tcPr>
            <w:tcW w:type="dxa" w:w="4464"/>
            <w:vAlign w:val="center"/>
          </w:tcPr>
          <w:p>
            <w:pPr>
              <w:spacing w:after="60"/>
              <w:jc w:val="left"/>
            </w:pPr>
            <w:r/>
            <w:r>
              <w:rPr>
                <w:rFonts w:ascii="Calibri" w:hAnsi="Calibri"/>
                <w:b w:val="0"/>
                <w:sz w:val="21"/>
              </w:rPr>
              <w:t>Moins de commission, plus de controle</w:t>
            </w:r>
          </w:p>
        </w:tc>
      </w:tr>
      <w:tr>
        <w:tc>
          <w:tcPr>
            <w:tcW w:type="dxa" w:w="2592"/>
            <w:vAlign w:val="center"/>
          </w:tcPr>
          <w:p>
            <w:pPr>
              <w:spacing w:after="60"/>
              <w:jc w:val="left"/>
            </w:pPr>
            <w:r/>
            <w:r>
              <w:rPr>
                <w:rFonts w:ascii="Calibri" w:hAnsi="Calibri"/>
                <w:b w:val="0"/>
                <w:sz w:val="21"/>
              </w:rPr>
              <w:t>Landing pages B2B</w:t>
            </w:r>
          </w:p>
        </w:tc>
        <w:tc>
          <w:tcPr>
            <w:tcW w:type="dxa" w:w="2304"/>
            <w:vAlign w:val="center"/>
          </w:tcPr>
          <w:p>
            <w:pPr>
              <w:spacing w:after="60"/>
              <w:jc w:val="left"/>
            </w:pPr>
            <w:r/>
            <w:r>
              <w:rPr>
                <w:rFonts w:ascii="Calibri" w:hAnsi="Calibri"/>
                <w:b w:val="0"/>
                <w:sz w:val="21"/>
              </w:rPr>
              <w:t>Generer des leads inbound</w:t>
            </w:r>
          </w:p>
        </w:tc>
        <w:tc>
          <w:tcPr>
            <w:tcW w:type="dxa" w:w="4464"/>
            <w:vAlign w:val="center"/>
          </w:tcPr>
          <w:p>
            <w:pPr>
              <w:spacing w:after="60"/>
              <w:jc w:val="left"/>
            </w:pPr>
            <w:r/>
            <w:r>
              <w:rPr>
                <w:rFonts w:ascii="Calibri" w:hAnsi="Calibri"/>
                <w:b w:val="0"/>
                <w:sz w:val="21"/>
              </w:rPr>
              <w:t>Alternative locale premium et mesurable</w:t>
            </w:r>
          </w:p>
        </w:tc>
      </w:tr>
      <w:tr>
        <w:tc>
          <w:tcPr>
            <w:tcW w:type="dxa" w:w="2592"/>
            <w:vAlign w:val="center"/>
          </w:tcPr>
          <w:p>
            <w:pPr>
              <w:spacing w:after="60"/>
              <w:jc w:val="left"/>
            </w:pPr>
            <w:r/>
            <w:r>
              <w:rPr>
                <w:rFonts w:ascii="Calibri" w:hAnsi="Calibri"/>
                <w:b w:val="0"/>
                <w:sz w:val="21"/>
              </w:rPr>
              <w:t>Google Business / SEO local</w:t>
            </w:r>
          </w:p>
        </w:tc>
        <w:tc>
          <w:tcPr>
            <w:tcW w:type="dxa" w:w="2304"/>
            <w:vAlign w:val="center"/>
          </w:tcPr>
          <w:p>
            <w:pPr>
              <w:spacing w:after="60"/>
              <w:jc w:val="left"/>
            </w:pPr>
            <w:r/>
            <w:r>
              <w:rPr>
                <w:rFonts w:ascii="Calibri" w:hAnsi="Calibri"/>
                <w:b w:val="0"/>
                <w:sz w:val="21"/>
              </w:rPr>
              <w:t>Capturer l'intention</w:t>
            </w:r>
          </w:p>
        </w:tc>
        <w:tc>
          <w:tcPr>
            <w:tcW w:type="dxa" w:w="4464"/>
            <w:vAlign w:val="center"/>
          </w:tcPr>
          <w:p>
            <w:pPr>
              <w:spacing w:after="60"/>
              <w:jc w:val="left"/>
            </w:pPr>
            <w:r/>
            <w:r>
              <w:rPr>
                <w:rFonts w:ascii="Calibri" w:hAnsi="Calibri"/>
                <w:b w:val="0"/>
                <w:sz w:val="21"/>
              </w:rPr>
              <w:t>Reservation et commande directe sans friction</w:t>
            </w:r>
          </w:p>
        </w:tc>
      </w:tr>
      <w:tr>
        <w:tc>
          <w:tcPr>
            <w:tcW w:type="dxa" w:w="2592"/>
            <w:vAlign w:val="center"/>
          </w:tcPr>
          <w:p>
            <w:pPr>
              <w:spacing w:after="60"/>
              <w:jc w:val="left"/>
            </w:pPr>
            <w:r/>
            <w:r>
              <w:rPr>
                <w:rFonts w:ascii="Calibri" w:hAnsi="Calibri"/>
                <w:b w:val="0"/>
                <w:sz w:val="21"/>
              </w:rPr>
              <w:t>Partenariats restaurants vitrines</w:t>
            </w:r>
          </w:p>
        </w:tc>
        <w:tc>
          <w:tcPr>
            <w:tcW w:type="dxa" w:w="2304"/>
            <w:vAlign w:val="center"/>
          </w:tcPr>
          <w:p>
            <w:pPr>
              <w:spacing w:after="60"/>
              <w:jc w:val="left"/>
            </w:pPr>
            <w:r/>
            <w:r>
              <w:rPr>
                <w:rFonts w:ascii="Calibri" w:hAnsi="Calibri"/>
                <w:b w:val="0"/>
                <w:sz w:val="21"/>
              </w:rPr>
              <w:t>Creer la preuve</w:t>
            </w:r>
          </w:p>
        </w:tc>
        <w:tc>
          <w:tcPr>
            <w:tcW w:type="dxa" w:w="4464"/>
            <w:vAlign w:val="center"/>
          </w:tcPr>
          <w:p>
            <w:pPr>
              <w:spacing w:after="60"/>
              <w:jc w:val="left"/>
            </w:pPr>
            <w:r/>
            <w:r>
              <w:rPr>
                <w:rFonts w:ascii="Calibri" w:hAnsi="Calibri"/>
                <w:b w:val="0"/>
                <w:sz w:val="21"/>
              </w:rPr>
              <w:t>Cas clients, contenu, bouche-a-oreille</w:t>
            </w:r>
          </w:p>
        </w:tc>
      </w:tr>
    </w:tbl>
    <w:p/>
    <w:p>
      <w:pPr>
        <w:pStyle w:val="Heading1"/>
        <w:jc w:val="left"/>
      </w:pPr>
      <w:r>
        <w:rPr>
          <w:rFonts w:ascii="Calibri" w:hAnsi="Calibri"/>
          <w:b w:val="0"/>
        </w:rPr>
        <w:t>12. Operations et execution</w:t>
      </w:r>
    </w:p>
    <w:p>
      <w:pPr>
        <w:jc w:val="left"/>
      </w:pPr>
      <w:r>
        <w:rPr>
          <w:rFonts w:ascii="Calibri" w:hAnsi="Calibri"/>
          <w:b w:val="0"/>
        </w:rPr>
        <w:t>Le repository montre que les zones critiques sont deja bien identifiees: paiements Stripe, RLS Supabase, workflow d'activation, admin incidents, notifications et compta. Cela permet de penser le business plan comme un sujet d'execution commerciale et de priorisation, plus que comme un sujet de faisabilite produit pure.</w:t>
      </w:r>
    </w:p>
    <w:p>
      <w:pPr>
        <w:pStyle w:val="ListBullet"/>
        <w:spacing w:after="80" w:line="276" w:lineRule="auto"/>
      </w:pPr>
      <w:r>
        <w:rPr>
          <w:rFonts w:ascii="Calibri" w:hAnsi="Calibri"/>
          <w:sz w:val="22"/>
        </w:rPr>
        <w:t>Ne pas ouvrir trop tot la logistique courier comme axe principal tant que la marge n'est pas lisible.</w:t>
      </w:r>
    </w:p>
    <w:p>
      <w:pPr>
        <w:pStyle w:val="ListBullet"/>
        <w:spacing w:after="80" w:line="276" w:lineRule="auto"/>
      </w:pPr>
      <w:r>
        <w:rPr>
          <w:rFonts w:ascii="Calibri" w:hAnsi="Calibri"/>
          <w:sz w:val="22"/>
        </w:rPr>
        <w:t>Mesurer strictement les temps d'onboarding restaurant, les incidents de paiement, le support, le taux d'activation menu et la recurrence d'usage.</w:t>
      </w:r>
    </w:p>
    <w:p>
      <w:pPr>
        <w:pStyle w:val="ListBullet"/>
        <w:spacing w:after="80" w:line="276" w:lineRule="auto"/>
      </w:pPr>
      <w:r>
        <w:rPr>
          <w:rFonts w:ascii="Calibri" w:hAnsi="Calibri"/>
          <w:sz w:val="22"/>
        </w:rPr>
        <w:t>Garder un cadre de feature flags et de gouvernance pour activer les modules ville par ville.</w:t>
      </w:r>
    </w:p>
    <w:p>
      <w:pPr>
        <w:pStyle w:val="Heading1"/>
        <w:jc w:val="left"/>
      </w:pPr>
      <w:r>
        <w:rPr>
          <w:rFonts w:ascii="Calibri" w:hAnsi="Calibri"/>
          <w:b w:val="0"/>
        </w:rPr>
        <w:t>13. KPIs de pilotage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160"/>
            <w:shd w:fill="F2F4F7"/>
            <w:vAlign w:val="center"/>
          </w:tcPr>
          <w:p>
            <w:pPr>
              <w:spacing w:after="60"/>
              <w:jc w:val="left"/>
            </w:pPr>
            <w:r/>
            <w:r>
              <w:rPr>
                <w:rFonts w:ascii="Calibri" w:hAnsi="Calibri"/>
                <w:b/>
                <w:color w:val="0B2545"/>
                <w:sz w:val="21"/>
              </w:rPr>
              <w:t>Bloc</w:t>
            </w:r>
          </w:p>
        </w:tc>
        <w:tc>
          <w:tcPr>
            <w:tcW w:type="dxa" w:w="2880"/>
            <w:shd w:fill="F2F4F7"/>
            <w:vAlign w:val="center"/>
          </w:tcPr>
          <w:p>
            <w:pPr>
              <w:spacing w:after="60"/>
              <w:jc w:val="left"/>
            </w:pPr>
            <w:r/>
            <w:r>
              <w:rPr>
                <w:rFonts w:ascii="Calibri" w:hAnsi="Calibri"/>
                <w:b/>
                <w:color w:val="0B2545"/>
                <w:sz w:val="21"/>
              </w:rPr>
              <w:t>KPI critique</w:t>
            </w:r>
          </w:p>
        </w:tc>
        <w:tc>
          <w:tcPr>
            <w:tcW w:type="dxa" w:w="4320"/>
            <w:shd w:fill="F2F4F7"/>
            <w:vAlign w:val="center"/>
          </w:tcPr>
          <w:p>
            <w:pPr>
              <w:spacing w:after="60"/>
              <w:jc w:val="left"/>
            </w:pPr>
            <w:r/>
            <w:r>
              <w:rPr>
                <w:rFonts w:ascii="Calibri" w:hAnsi="Calibri"/>
                <w:b/>
                <w:color w:val="0B2545"/>
                <w:sz w:val="21"/>
              </w:rPr>
              <w:t>Pourquoi</w:t>
            </w:r>
          </w:p>
        </w:tc>
      </w:tr>
      <w:tr>
        <w:tc>
          <w:tcPr>
            <w:tcW w:type="dxa" w:w="2160"/>
            <w:vAlign w:val="center"/>
          </w:tcPr>
          <w:p>
            <w:pPr>
              <w:spacing w:after="60"/>
              <w:jc w:val="left"/>
            </w:pPr>
            <w:r/>
            <w:r>
              <w:rPr>
                <w:rFonts w:ascii="Calibri" w:hAnsi="Calibri"/>
                <w:b w:val="0"/>
                <w:sz w:val="21"/>
              </w:rPr>
              <w:t>Acquisition resto</w:t>
            </w:r>
          </w:p>
        </w:tc>
        <w:tc>
          <w:tcPr>
            <w:tcW w:type="dxa" w:w="2880"/>
            <w:vAlign w:val="center"/>
          </w:tcPr>
          <w:p>
            <w:pPr>
              <w:spacing w:after="60"/>
              <w:jc w:val="left"/>
            </w:pPr>
            <w:r/>
            <w:r>
              <w:rPr>
                <w:rFonts w:ascii="Calibri" w:hAnsi="Calibri"/>
                <w:b w:val="0"/>
                <w:sz w:val="21"/>
              </w:rPr>
              <w:t>Restaurants signes / actives</w:t>
            </w:r>
          </w:p>
        </w:tc>
        <w:tc>
          <w:tcPr>
            <w:tcW w:type="dxa" w:w="4320"/>
            <w:vAlign w:val="center"/>
          </w:tcPr>
          <w:p>
            <w:pPr>
              <w:spacing w:after="60"/>
              <w:jc w:val="left"/>
            </w:pPr>
            <w:r/>
            <w:r>
              <w:rPr>
                <w:rFonts w:ascii="Calibri" w:hAnsi="Calibri"/>
                <w:b w:val="0"/>
                <w:sz w:val="21"/>
              </w:rPr>
              <w:t>Mesure la traction commerciale utile</w:t>
            </w:r>
          </w:p>
        </w:tc>
      </w:tr>
      <w:tr>
        <w:tc>
          <w:tcPr>
            <w:tcW w:type="dxa" w:w="2160"/>
            <w:vAlign w:val="center"/>
          </w:tcPr>
          <w:p>
            <w:pPr>
              <w:spacing w:after="60"/>
              <w:jc w:val="left"/>
            </w:pPr>
            <w:r/>
            <w:r>
              <w:rPr>
                <w:rFonts w:ascii="Calibri" w:hAnsi="Calibri"/>
                <w:b w:val="0"/>
                <w:sz w:val="21"/>
              </w:rPr>
              <w:t>Activation</w:t>
            </w:r>
          </w:p>
        </w:tc>
        <w:tc>
          <w:tcPr>
            <w:tcW w:type="dxa" w:w="2880"/>
            <w:vAlign w:val="center"/>
          </w:tcPr>
          <w:p>
            <w:pPr>
              <w:spacing w:after="60"/>
              <w:jc w:val="left"/>
            </w:pPr>
            <w:r/>
            <w:r>
              <w:rPr>
                <w:rFonts w:ascii="Calibri" w:hAnsi="Calibri"/>
                <w:b w:val="0"/>
                <w:sz w:val="21"/>
              </w:rPr>
              <w:t>Temps moyen onboarding / menu live</w:t>
            </w:r>
          </w:p>
        </w:tc>
        <w:tc>
          <w:tcPr>
            <w:tcW w:type="dxa" w:w="4320"/>
            <w:vAlign w:val="center"/>
          </w:tcPr>
          <w:p>
            <w:pPr>
              <w:spacing w:after="60"/>
              <w:jc w:val="left"/>
            </w:pPr>
            <w:r/>
            <w:r>
              <w:rPr>
                <w:rFonts w:ascii="Calibri" w:hAnsi="Calibri"/>
                <w:b w:val="0"/>
                <w:sz w:val="21"/>
              </w:rPr>
              <w:t>Conditionne le time-to-revenue</w:t>
            </w:r>
          </w:p>
        </w:tc>
      </w:tr>
      <w:tr>
        <w:tc>
          <w:tcPr>
            <w:tcW w:type="dxa" w:w="2160"/>
            <w:vAlign w:val="center"/>
          </w:tcPr>
          <w:p>
            <w:pPr>
              <w:spacing w:after="60"/>
              <w:jc w:val="left"/>
            </w:pPr>
            <w:r/>
            <w:r>
              <w:rPr>
                <w:rFonts w:ascii="Calibri" w:hAnsi="Calibri"/>
                <w:b w:val="0"/>
                <w:sz w:val="21"/>
              </w:rPr>
              <w:t>Transactions</w:t>
            </w:r>
          </w:p>
        </w:tc>
        <w:tc>
          <w:tcPr>
            <w:tcW w:type="dxa" w:w="2880"/>
            <w:vAlign w:val="center"/>
          </w:tcPr>
          <w:p>
            <w:pPr>
              <w:spacing w:after="60"/>
              <w:jc w:val="left"/>
            </w:pPr>
            <w:r/>
            <w:r>
              <w:rPr>
                <w:rFonts w:ascii="Calibri" w:hAnsi="Calibri"/>
                <w:b w:val="0"/>
                <w:sz w:val="21"/>
              </w:rPr>
              <w:t>Reservations, commandes, GMV</w:t>
            </w:r>
          </w:p>
        </w:tc>
        <w:tc>
          <w:tcPr>
            <w:tcW w:type="dxa" w:w="4320"/>
            <w:vAlign w:val="center"/>
          </w:tcPr>
          <w:p>
            <w:pPr>
              <w:spacing w:after="60"/>
              <w:jc w:val="left"/>
            </w:pPr>
            <w:r/>
            <w:r>
              <w:rPr>
                <w:rFonts w:ascii="Calibri" w:hAnsi="Calibri"/>
                <w:b w:val="0"/>
                <w:sz w:val="21"/>
              </w:rPr>
              <w:t>Mesure la profondeur d'usage</w:t>
            </w:r>
          </w:p>
        </w:tc>
      </w:tr>
      <w:tr>
        <w:tc>
          <w:tcPr>
            <w:tcW w:type="dxa" w:w="2160"/>
            <w:vAlign w:val="center"/>
          </w:tcPr>
          <w:p>
            <w:pPr>
              <w:spacing w:after="60"/>
              <w:jc w:val="left"/>
            </w:pPr>
            <w:r/>
            <w:r>
              <w:rPr>
                <w:rFonts w:ascii="Calibri" w:hAnsi="Calibri"/>
                <w:b w:val="0"/>
                <w:sz w:val="21"/>
              </w:rPr>
              <w:t>Retention</w:t>
            </w:r>
          </w:p>
        </w:tc>
        <w:tc>
          <w:tcPr>
            <w:tcW w:type="dxa" w:w="2880"/>
            <w:vAlign w:val="center"/>
          </w:tcPr>
          <w:p>
            <w:pPr>
              <w:spacing w:after="60"/>
              <w:jc w:val="left"/>
            </w:pPr>
            <w:r/>
            <w:r>
              <w:rPr>
                <w:rFonts w:ascii="Calibri" w:hAnsi="Calibri"/>
                <w:b w:val="0"/>
                <w:sz w:val="21"/>
              </w:rPr>
              <w:t>Churn resto, frequence client, reachat Tok One</w:t>
            </w:r>
          </w:p>
        </w:tc>
        <w:tc>
          <w:tcPr>
            <w:tcW w:type="dxa" w:w="4320"/>
            <w:vAlign w:val="center"/>
          </w:tcPr>
          <w:p>
            <w:pPr>
              <w:spacing w:after="60"/>
              <w:jc w:val="left"/>
            </w:pPr>
            <w:r/>
            <w:r>
              <w:rPr>
                <w:rFonts w:ascii="Calibri" w:hAnsi="Calibri"/>
                <w:b w:val="0"/>
                <w:sz w:val="21"/>
              </w:rPr>
              <w:t>Mesure la qualite du PMF</w:t>
            </w:r>
          </w:p>
        </w:tc>
      </w:tr>
      <w:tr>
        <w:tc>
          <w:tcPr>
            <w:tcW w:type="dxa" w:w="2160"/>
            <w:vAlign w:val="center"/>
          </w:tcPr>
          <w:p>
            <w:pPr>
              <w:spacing w:after="60"/>
              <w:jc w:val="left"/>
            </w:pPr>
            <w:r/>
            <w:r>
              <w:rPr>
                <w:rFonts w:ascii="Calibri" w:hAnsi="Calibri"/>
                <w:b w:val="0"/>
                <w:sz w:val="21"/>
              </w:rPr>
              <w:t>Unit economics</w:t>
            </w:r>
          </w:p>
        </w:tc>
        <w:tc>
          <w:tcPr>
            <w:tcW w:type="dxa" w:w="2880"/>
            <w:vAlign w:val="center"/>
          </w:tcPr>
          <w:p>
            <w:pPr>
              <w:spacing w:after="60"/>
              <w:jc w:val="left"/>
            </w:pPr>
            <w:r/>
            <w:r>
              <w:rPr>
                <w:rFonts w:ascii="Calibri" w:hAnsi="Calibri"/>
                <w:b w:val="0"/>
                <w:sz w:val="21"/>
              </w:rPr>
              <w:t>CAC, LTV, take rate nette, marge par ligne</w:t>
            </w:r>
          </w:p>
        </w:tc>
        <w:tc>
          <w:tcPr>
            <w:tcW w:type="dxa" w:w="4320"/>
            <w:vAlign w:val="center"/>
          </w:tcPr>
          <w:p>
            <w:pPr>
              <w:spacing w:after="60"/>
              <w:jc w:val="left"/>
            </w:pPr>
            <w:r/>
            <w:r>
              <w:rPr>
                <w:rFonts w:ascii="Calibri" w:hAnsi="Calibri"/>
                <w:b w:val="0"/>
                <w:sz w:val="21"/>
              </w:rPr>
              <w:t>Evite la croissance destructrice</w:t>
            </w:r>
          </w:p>
        </w:tc>
      </w:tr>
    </w:tbl>
    <w:p/>
    <w:p>
      <w:pPr>
        <w:pStyle w:val="Heading1"/>
        <w:jc w:val="left"/>
      </w:pPr>
      <w:r>
        <w:rPr>
          <w:rFonts w:ascii="Calibri" w:hAnsi="Calibri"/>
          <w:b w:val="0"/>
        </w:rPr>
        <w:t>14. Principaux risques</w:t>
      </w:r>
    </w:p>
    <w:p>
      <w:pPr>
        <w:pStyle w:val="ListBullet"/>
        <w:spacing w:after="80" w:line="276" w:lineRule="auto"/>
      </w:pPr>
      <w:r>
        <w:rPr>
          <w:rFonts w:ascii="Calibri" w:hAnsi="Calibri"/>
          <w:sz w:val="22"/>
        </w:rPr>
        <w:t>Trop de largeur produit avant une densite locale suffisante.</w:t>
      </w:r>
    </w:p>
    <w:p>
      <w:pPr>
        <w:pStyle w:val="ListBullet"/>
        <w:spacing w:after="80" w:line="276" w:lineRule="auto"/>
      </w:pPr>
      <w:r>
        <w:rPr>
          <w:rFonts w:ascii="Calibri" w:hAnsi="Calibri"/>
          <w:sz w:val="22"/>
        </w:rPr>
        <w:t>Complexite support / remboursement / incident si le transactionnel scale avant les ops.</w:t>
      </w:r>
    </w:p>
    <w:p>
      <w:pPr>
        <w:pStyle w:val="ListBullet"/>
        <w:spacing w:after="80" w:line="276" w:lineRule="auto"/>
      </w:pPr>
      <w:r>
        <w:rPr>
          <w:rFonts w:ascii="Calibri" w:hAnsi="Calibri"/>
          <w:sz w:val="22"/>
        </w:rPr>
        <w:t>Acquisition B2C trop precoce si l'offre restaurant reste trop peu dense.</w:t>
      </w:r>
    </w:p>
    <w:p>
      <w:pPr>
        <w:pStyle w:val="ListBullet"/>
        <w:spacing w:after="80" w:line="276" w:lineRule="auto"/>
      </w:pPr>
      <w:r>
        <w:rPr>
          <w:rFonts w:ascii="Calibri" w:hAnsi="Calibri"/>
          <w:sz w:val="22"/>
        </w:rPr>
        <w:t>Confusion de positionnement si TOK se presente a la fois comme SaaS, marketplace, media et logisticien sans ordre clair.</w:t>
      </w:r>
    </w:p>
    <w:p>
      <w:pPr>
        <w:pStyle w:val="Heading1"/>
        <w:jc w:val="left"/>
      </w:pPr>
      <w:r>
        <w:rPr>
          <w:rFonts w:ascii="Calibri" w:hAnsi="Calibri"/>
          <w:b w:val="0"/>
        </w:rPr>
        <w:t>15. Recommandation strategique</w:t>
      </w:r>
    </w:p>
    <w:p>
      <w:pPr>
        <w:jc w:val="left"/>
      </w:pPr>
      <w:r>
        <w:rPr>
          <w:rFonts w:ascii="Calibri" w:hAnsi="Calibri"/>
          <w:b w:val="0"/>
        </w:rPr>
        <w:t>Le meilleur plan n'est pas de chercher le scenario haut immediatement. Il faut viser le scenario moyen comme objectif directeur: il est suffisamment ambitieux pour attirer partenaires et investisseurs, tout en restant ancre dans des hypotheses denses et pilotables.</w:t>
      </w:r>
    </w:p>
    <w:p>
      <w:pPr>
        <w:pStyle w:val="ListBullet"/>
        <w:spacing w:after="80" w:line="276" w:lineRule="auto"/>
      </w:pPr>
      <w:r>
        <w:rPr>
          <w:rFonts w:ascii="Calibri" w:hAnsi="Calibri"/>
          <w:sz w:val="22"/>
        </w:rPr>
        <w:t>Priorite revenu 12 mois: packs + abonnements + reservations.</w:t>
      </w:r>
    </w:p>
    <w:p>
      <w:pPr>
        <w:pStyle w:val="ListBullet"/>
        <w:spacing w:after="80" w:line="276" w:lineRule="auto"/>
      </w:pPr>
      <w:r>
        <w:rPr>
          <w:rFonts w:ascii="Calibri" w:hAnsi="Calibri"/>
          <w:sz w:val="22"/>
        </w:rPr>
        <w:t>Priorite produit 12 mois: fiabilite, activation, SEO local, admin ops, campagnes simples.</w:t>
      </w:r>
    </w:p>
    <w:p>
      <w:pPr>
        <w:pStyle w:val="ListBullet"/>
        <w:spacing w:after="80" w:line="276" w:lineRule="auto"/>
      </w:pPr>
      <w:r>
        <w:rPr>
          <w:rFonts w:ascii="Calibri" w:hAnsi="Calibri"/>
          <w:sz w:val="22"/>
        </w:rPr>
        <w:t>Priorite 24 mois: commandes directes et Tok One comme accelerateurs de recurrence.</w:t>
      </w:r>
    </w:p>
    <w:p>
      <w:pPr>
        <w:pStyle w:val="ListBullet"/>
        <w:spacing w:after="80" w:line="276" w:lineRule="auto"/>
      </w:pPr>
      <w:r>
        <w:rPr>
          <w:rFonts w:ascii="Calibri" w:hAnsi="Calibri"/>
          <w:sz w:val="22"/>
        </w:rPr>
        <w:t>Priorite 36 mois: CRM premium, campagnes sponsorisees, IA et expansion selective.</w:t>
      </w:r>
    </w:p>
    <w:p>
      <w:pPr>
        <w:pStyle w:val="Heading1"/>
        <w:jc w:val="left"/>
      </w:pPr>
      <w:r>
        <w:rPr>
          <w:rFonts w:ascii="Calibri" w:hAnsi="Calibri"/>
          <w:b w:val="0"/>
        </w:rPr>
        <w:t>16. Conclusion</w:t>
      </w:r>
    </w:p>
    <w:p>
      <w:pPr>
        <w:jc w:val="left"/>
      </w:pPr>
      <w:r>
        <w:rPr>
          <w:rFonts w:ascii="Calibri" w:hAnsi="Calibri"/>
          <w:b w:val="0"/>
        </w:rPr>
        <w:t>TOK peut raisonnablement viser entre 1.0 MCHF et 3.0 MCHF de revenu annuel a horizon trois ans sans hypothese irreelle. Le levier decisif n'est pas une guerre frontale du delivery mais un systeme local, premium et restaurant-first ou chaque ligne de revenu renforce les autres.</w:t>
      </w:r>
    </w:p>
    <w:p>
      <w:pPr>
        <w:sectPr>
          <w:headerReference w:type="default" r:id="rId9"/>
          <w:footerReference w:type="default" r:id="rId10"/>
          <w:pgSz w:w="12240" w:h="15840"/>
          <w:pgMar w:top="1440" w:right="1440" w:bottom="1440" w:left="1440" w:header="706" w:footer="706" w:gutter="0"/>
          <w:cols w:space="720"/>
          <w:docGrid w:linePitch="360"/>
        </w:sectPr>
      </w:pPr>
    </w:p>
    <w:p>
      <w:pPr>
        <w:pStyle w:val="Heading1"/>
        <w:jc w:val="left"/>
      </w:pPr>
      <w:r>
        <w:rPr>
          <w:rFonts w:ascii="Calibri" w:hAnsi="Calibri"/>
          <w:b w:val="0"/>
        </w:rPr>
        <w:t>Annexe - Sources et ancrages utilises</w:t>
      </w:r>
    </w:p>
    <w:p>
      <w:pPr>
        <w:pStyle w:val="ListBullet"/>
        <w:spacing w:after="80" w:line="276" w:lineRule="auto"/>
      </w:pPr>
      <w:r>
        <w:rPr>
          <w:rFonts w:ascii="Calibri" w:hAnsi="Calibri"/>
          <w:sz w:val="22"/>
        </w:rPr>
        <w:t>Repository TOK / TheTok local: lecture du routing, des pages, des migrations Supabase, des fonctions Edge et des prix seeds au 17 juin 2026.</w:t>
      </w:r>
    </w:p>
    <w:p>
      <w:pPr>
        <w:pStyle w:val="ListBullet"/>
        <w:spacing w:after="80" w:line="276" w:lineRule="auto"/>
      </w:pPr>
      <w:r>
        <w:rPr>
          <w:rFonts w:ascii="Calibri" w:hAnsi="Calibri"/>
          <w:sz w:val="22"/>
        </w:rPr>
        <w:t>Office federal de la statistique (Suisse): consommation des menages, rubrique restaurants and accommodation services, acces juin 2026.</w:t>
      </w:r>
    </w:p>
    <w:p>
      <w:pPr>
        <w:pStyle w:val="ListBullet"/>
        <w:spacing w:after="80" w:line="276" w:lineRule="auto"/>
      </w:pPr>
      <w:r>
        <w:rPr>
          <w:rFonts w:ascii="Calibri" w:hAnsi="Calibri"/>
          <w:sz w:val="22"/>
        </w:rPr>
        <w:t>Stripe - Payments in Switzerland: adoption cartes et sans contact, acces juin 2026.</w:t>
      </w:r>
    </w:p>
    <w:p>
      <w:pPr>
        <w:pStyle w:val="ListBullet"/>
        <w:spacing w:after="80" w:line="276" w:lineRule="auto"/>
      </w:pPr>
      <w:r>
        <w:rPr>
          <w:rFonts w:ascii="Calibri" w:hAnsi="Calibri"/>
          <w:sz w:val="22"/>
        </w:rPr>
        <w:t>GastroSuisse - conjoncture 2026: signal de pression sur le chiffre d'affaires du secteur.</w:t>
      </w:r>
    </w:p>
    <w:p>
      <w:pPr>
        <w:pStyle w:val="ListBullet"/>
        <w:spacing w:after="80" w:line="276" w:lineRule="auto"/>
      </w:pPr>
      <w:r>
        <w:rPr>
          <w:rFonts w:ascii="Calibri" w:hAnsi="Calibri"/>
          <w:sz w:val="22"/>
        </w:rPr>
        <w:t>Zenchef pricing / positioning: reference de marche sur l'angle zero commission / zero commission per cover.</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Document de travail | Estimations indicatives basees sur le produit actuel et des hypotheses de marche raisonnables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TOK | Business Plan 2026-2029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