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Snag — HSWA Compliance Response &amp; Product Roadmap</w:t>
      </w:r>
    </w:p>
    <w:p>
      <w:pPr>
        <w:spacing w:after="80"/>
      </w:pPr>
      <w:r>
        <w:rPr>
          <w:i/>
          <w:iCs/>
          <w:color w:val="6B7280"/>
          <w:sz w:val="22"/>
          <w:szCs w:val="22"/>
        </w:rPr>
        <w:t xml:space="preserve">A codebase-verified response to the “NZ Health &amp; Safety Legislative Landscape” analysis, with concrete feature, wording, and layout recommendations.</w:t>
      </w:r>
    </w:p>
    <w:p>
      <w:pPr>
        <w:spacing w:after="40"/>
      </w:pPr>
      <w:r>
        <w:rPr>
          <w:color w:val="6B7280"/>
          <w:sz w:val="18"/>
          <w:szCs w:val="18"/>
        </w:rPr>
        <w:t xml:space="preserve">Prepared 19 July 2026 • Not legal advice — see disclaimer at the end of this document</w:t>
      </w:r>
    </w:p>
    <w:p>
      <w:pPr>
        <w:spacing w:after="40"/>
      </w:pPr>
      <w:r>
        <w:rPr>
          <w:color w:val="6B7280"/>
          <w:sz w:val="18"/>
          <w:szCs w:val="18"/>
        </w:rPr>
        <w:t xml:space="preserve">Companion to: Snag NZ HS Compliance Analysis (20 July 2026)</w:t>
      </w:r>
    </w:p>
    <w:p>
      <w:pPr>
        <w:pStyle w:val="Heading1"/>
        <w:pBdr>
          <w:bottom w:val="single" w:color="2563EB" w:sz="6" w:space="4"/>
        </w:pBdr>
        <w:spacing w:after="140" w:before="320"/>
      </w:pPr>
      <w:r>
        <w:t xml:space="preserve">1. Executive Summary</w:t>
      </w:r>
    </w:p>
    <w:p>
      <w:pPr>
        <w:spacing w:after="140"/>
      </w:pPr>
      <w:r>
        <w:t xml:space="preserve">The analysis Snag received sets out New Zealand's HSWA framework accurately and proposes a sound, well-sequenced set of product responses. This document is the second half of that exercise: it checks those recommendations against </w:t>
      </w:r>
      <w:r>
        <w:rPr>
          <w:b/>
          <w:bCs/>
          <w:i w:val="false"/>
          <w:iCs w:val="false"/>
        </w:rPr>
        <w:t xml:space="preserve">the actual Snag codebase</w:t>
      </w:r>
      <w:r>
        <w:t xml:space="preserve"> as it stands today — every schema table, RPC, edge function, and screen referenced below was read directly, not inferred — and turns them into a concrete, buildable roadmap.</w:t>
      </w:r>
    </w:p>
    <w:p>
      <w:pPr>
        <w:spacing w:after="140"/>
      </w:pPr>
      <w:r>
        <w:t xml:space="preserve">Two findings change the shape of the response. First, the highest-priority gap the source analysis identifies — a missing notifiable-event decision aid — turns out to be </w:t>
      </w:r>
      <w:r>
        <w:rPr>
          <w:b/>
          <w:bCs/>
          <w:i w:val="false"/>
          <w:iCs w:val="false"/>
        </w:rPr>
        <w:t xml:space="preserve">narrower than assumed</w:t>
      </w:r>
      <w:r>
        <w:t xml:space="preserve">: the underlying flag (</w:t>
      </w:r>
      <w:r>
        <w:rPr>
          <w:rFonts w:ascii="Consolas" w:cs="Consolas" w:eastAsia="Consolas" w:hAnsi="Consolas"/>
          <w:b w:val="false"/>
          <w:bCs w:val="false"/>
          <w:i w:val="false"/>
          <w:iCs w:val="false"/>
          <w:color w:val="B91C1C"/>
          <w:shd w:fill="F3F4F6" w:val="clear"/>
        </w:rPr>
        <w:t xml:space="preserve">is_notifiable</w:t>
      </w:r>
      <w:r>
        <w:t xml:space="preserve">) and its RPC (</w:t>
      </w:r>
      <w:r>
        <w:rPr>
          <w:rFonts w:ascii="Consolas" w:cs="Consolas" w:eastAsia="Consolas" w:hAnsi="Consolas"/>
          <w:b w:val="false"/>
          <w:bCs w:val="false"/>
          <w:i w:val="false"/>
          <w:iCs w:val="false"/>
          <w:color w:val="B91C1C"/>
          <w:shd w:fill="F3F4F6" w:val="clear"/>
        </w:rPr>
        <w:t xml:space="preserve">set_notifiable_flag</w:t>
      </w:r>
      <w:r>
        <w:t xml:space="preserve">) already exist server-side and even appear in the exported investigation PDF — nothing in the app ever calls them. The work is a guided screen and a wiring job, not a new data model. Second, Snag's record-retention posture is </w:t>
      </w:r>
      <w:r>
        <w:rPr>
          <w:b/>
          <w:bCs/>
          <w:i w:val="false"/>
          <w:iCs w:val="false"/>
        </w:rPr>
        <w:t xml:space="preserve">stricter than HSWA requires, not laxer</w:t>
      </w:r>
      <w:r>
        <w:t xml:space="preserve">: deletion of a snag is unconditionally blocked forever, not just for the five-year statutory minimum. The retention risk running the other way — Privacy Act data-minimisation — is the one worth addressing.</w:t>
      </w:r>
    </w:p>
    <w:p>
      <w:pPr>
        <w:spacing w:after="140"/>
      </w:pPr>
      <w:r>
        <w:t xml:space="preserve">The standout new recommendation in this document, developed at the user's request, is a fully specified </w:t>
      </w:r>
      <w:r>
        <w:rPr>
          <w:b/>
          <w:bCs/>
          <w:i w:val="false"/>
          <w:iCs w:val="false"/>
        </w:rPr>
        <w:t xml:space="preserve">Snag Compliance Concierge</w:t>
      </w:r>
      <w:r>
        <w:t xml:space="preserve">: an internal, cross-organisation triage role and console that lets Snag's own staff review ambiguous notifiable-event and critical-severity snags across all customer orgs, without touching customer investigation records or consuming a customer seat. It is designed as a premium differentiator, built on patterns (SECURITY DEFINER RPCs, audit_log) already established in the codebase.</w:t>
      </w:r>
    </w:p>
    <w:p>
      <w:pPr>
        <w:pBdr>
          <w:left w:val="single" w:color="2563EB" w:sz="24" w:space="12"/>
        </w:pBdr>
        <w:shd w:fill="EFF6FF" w:val="clear"/>
        <w:spacing w:after="200" w:before="100"/>
        <w:ind w:left="100" w:right="100"/>
      </w:pPr>
      <w:r>
        <w:rPr>
          <w:b/>
          <w:bCs/>
          <w:i w:val="false"/>
          <w:iCs w:val="false"/>
        </w:rPr>
        <w:t xml:space="preserve">Headline sequencing: </w:t>
      </w:r>
      <w:r>
        <w:t xml:space="preserve">Phase 2 (Compliance Baseline) — notifiable-event decision support + retention/privacy policy + wording fixes — is low-scope and addresses live legal exposure. It should be pulled forward ahead of everything else in this document.</w:t>
      </w:r>
    </w:p>
    <w:p>
      <w:pPr>
        <w:pStyle w:val="Heading1"/>
        <w:pBdr>
          <w:bottom w:val="single" w:color="2563EB" w:sz="6" w:space="4"/>
        </w:pBdr>
        <w:spacing w:after="140" w:before="320"/>
      </w:pPr>
      <w:r>
        <w:t xml:space="preserve">2. Method</w:t>
      </w:r>
    </w:p>
    <w:p>
      <w:pPr>
        <w:spacing w:after="140"/>
      </w:pPr>
      <w:r>
        <w:t xml:space="preserve">Three read-only research passes were run directly against the repository at </w:t>
      </w:r>
      <w:r>
        <w:rPr>
          <w:rFonts w:ascii="Consolas" w:cs="Consolas" w:eastAsia="Consolas" w:hAnsi="Consolas"/>
          <w:b w:val="false"/>
          <w:bCs w:val="false"/>
          <w:i w:val="false"/>
          <w:iCs w:val="false"/>
          <w:color w:val="B91C1C"/>
          <w:shd w:fill="F3F4F6" w:val="clear"/>
        </w:rPr>
        <w:t xml:space="preserve">/home/user/snag-app</w:t>
      </w:r>
      <w:r>
        <w:t xml:space="preserve"> on 19 July 2026: (1) every file in </w:t>
      </w:r>
      <w:r>
        <w:rPr>
          <w:rFonts w:ascii="Consolas" w:cs="Consolas" w:eastAsia="Consolas" w:hAnsi="Consolas"/>
          <w:b w:val="false"/>
          <w:bCs w:val="false"/>
          <w:i w:val="false"/>
          <w:iCs w:val="false"/>
          <w:color w:val="B91C1C"/>
          <w:shd w:fill="F3F4F6" w:val="clear"/>
        </w:rPr>
        <w:t xml:space="preserve">supabase/migrations/</w:t>
      </w:r>
      <w:r>
        <w:t xml:space="preserve"> (69 files) plus all five edge functions in </w:t>
      </w:r>
      <w:r>
        <w:rPr>
          <w:rFonts w:ascii="Consolas" w:cs="Consolas" w:eastAsia="Consolas" w:hAnsi="Consolas"/>
          <w:b w:val="false"/>
          <w:bCs w:val="false"/>
          <w:i w:val="false"/>
          <w:iCs w:val="false"/>
          <w:color w:val="B91C1C"/>
          <w:shd w:fill="F3F4F6" w:val="clear"/>
        </w:rPr>
        <w:t xml:space="preserve">supabase/functions/</w:t>
      </w:r>
      <w:r>
        <w:t xml:space="preserve">; (2) every screen, navigation route, and component under </w:t>
      </w:r>
      <w:r>
        <w:rPr>
          <w:rFonts w:ascii="Consolas" w:cs="Consolas" w:eastAsia="Consolas" w:hAnsi="Consolas"/>
          <w:b w:val="false"/>
          <w:bCs w:val="false"/>
          <w:i w:val="false"/>
          <w:iCs w:val="false"/>
          <w:color w:val="B91C1C"/>
          <w:shd w:fill="F3F4F6" w:val="clear"/>
        </w:rPr>
        <w:t xml:space="preserve">src/</w:t>
      </w:r>
      <w:r>
        <w:t xml:space="preserve">; (3) the repo's own roadmap documents (</w:t>
      </w:r>
      <w:r>
        <w:rPr>
          <w:rFonts w:ascii="Consolas" w:cs="Consolas" w:eastAsia="Consolas" w:hAnsi="Consolas"/>
          <w:b w:val="false"/>
          <w:bCs w:val="false"/>
          <w:i w:val="false"/>
          <w:iCs w:val="false"/>
          <w:color w:val="B91C1C"/>
          <w:shd w:fill="F3F4F6" w:val="clear"/>
        </w:rPr>
        <w:t xml:space="preserve">MVP-SPEC.md</w:t>
      </w:r>
      <w:r>
        <w:t xml:space="preserve">, </w:t>
      </w:r>
      <w:r>
        <w:rPr>
          <w:rFonts w:ascii="Consolas" w:cs="Consolas" w:eastAsia="Consolas" w:hAnsi="Consolas"/>
          <w:b w:val="false"/>
          <w:bCs w:val="false"/>
          <w:i w:val="false"/>
          <w:iCs w:val="false"/>
          <w:color w:val="B91C1C"/>
          <w:shd w:fill="F3F4F6" w:val="clear"/>
        </w:rPr>
        <w:t xml:space="preserve">Snag-Architecture-Build-Plan.md</w:t>
      </w:r>
      <w:r>
        <w:t xml:space="preserve">) and recent git history. Where this document's findings differ from the source analysis's assumptions about “Snag's current architecture,” the difference is called out explicitly in Section 3 rather than silently folded in — this is meant to be checkable, not just trusted.</w:t>
      </w:r>
    </w:p>
    <w:p>
      <w:pPr>
        <w:pStyle w:val="Heading1"/>
        <w:pBdr>
          <w:bottom w:val="single" w:color="2563EB" w:sz="6" w:space="4"/>
        </w:pBdr>
        <w:spacing w:after="140" w:before="320"/>
      </w:pPr>
      <w:r>
        <w:t xml:space="preserve">3. Corrections to the Source Analysis</w:t>
      </w:r>
    </w:p>
    <w:p>
      <w:pPr>
        <w:spacing w:after="140"/>
      </w:pPr>
      <w:r>
        <w:t xml:space="preserve">The source analysis is right about the law and right about the direction of travel. These five points refine its picture of the product it was assessing:</w:t>
      </w:r>
    </w:p>
    <w:p>
      <w:pPr>
        <w:pStyle w:val="ListParagraph"/>
        <w:numPr>
          <w:ilvl w:val="0"/>
          <w:numId w:val="2"/>
        </w:numPr>
        <w:spacing w:after="80"/>
      </w:pPr>
      <w:r>
        <w:rPr>
          <w:b/>
          <w:bCs/>
          <w:i w:val="false"/>
          <w:iCs w:val="false"/>
        </w:rPr>
        <w:t xml:space="preserve">Notifiable-event flag already half-built. </w:t>
      </w:r>
      <w:r>
        <w:t xml:space="preserve">Part E called this the “single highest-value, highest-liability gap” and Part F.1.1 proposed building decision support for it. In fact </w:t>
      </w:r>
      <w:r>
        <w:rPr>
          <w:rFonts w:ascii="Consolas" w:cs="Consolas" w:eastAsia="Consolas" w:hAnsi="Consolas"/>
          <w:b w:val="false"/>
          <w:bCs w:val="false"/>
          <w:i w:val="false"/>
          <w:iCs w:val="false"/>
          <w:color w:val="B91C1C"/>
          <w:shd w:fill="F3F4F6" w:val="clear"/>
        </w:rPr>
        <w:t xml:space="preserve">snags.is_notifiable</w:t>
      </w:r>
      <w:r>
        <w:t xml:space="preserve"> and the </w:t>
      </w:r>
      <w:r>
        <w:rPr>
          <w:rFonts w:ascii="Consolas" w:cs="Consolas" w:eastAsia="Consolas" w:hAnsi="Consolas"/>
          <w:b w:val="false"/>
          <w:bCs w:val="false"/>
          <w:i w:val="false"/>
          <w:iCs w:val="false"/>
          <w:color w:val="B91C1C"/>
          <w:shd w:fill="F3F4F6" w:val="clear"/>
        </w:rPr>
        <w:t xml:space="preserve">set_notifiable_flag()</w:t>
      </w:r>
      <w:r>
        <w:t xml:space="preserve"> RPC already exist and are already rendered in the exported investigation PDF (“Flagged as a potentially notifiable event”). No screen or button in the app ever calls the RPC. The gap is a missing guided UI, not a missing capability — this makes it cheaper to close than the source analysis assumed.</w:t>
      </w:r>
    </w:p>
    <w:p>
      <w:pPr>
        <w:pStyle w:val="ListParagraph"/>
        <w:numPr>
          <w:ilvl w:val="0"/>
          <w:numId w:val="2"/>
        </w:numPr>
        <w:spacing w:after="80"/>
      </w:pPr>
      <w:r>
        <w:rPr>
          <w:b/>
          <w:bCs/>
          <w:i w:val="false"/>
          <w:iCs w:val="false"/>
        </w:rPr>
        <w:t xml:space="preserve">Retention risk runs the other way. </w:t>
      </w:r>
      <w:r>
        <w:t xml:space="preserve">The source analysis worried about one retention policy failing to serve two masters (HSWA's 5-year minimum vs. the Privacy Act's storage-limitation principle). The code shows Snag already went further than the law requires: a 2026-07-08 migration hardened snag deletion from “blocked within the 5-year window” to “blocked unconditionally, forever” (</w:t>
      </w:r>
      <w:r>
        <w:rPr>
          <w:rFonts w:ascii="Consolas" w:cs="Consolas" w:eastAsia="Consolas" w:hAnsi="Consolas"/>
          <w:b w:val="false"/>
          <w:bCs w:val="false"/>
          <w:i w:val="false"/>
          <w:iCs w:val="false"/>
          <w:color w:val="B91C1C"/>
          <w:shd w:fill="F3F4F6" w:val="clear"/>
        </w:rPr>
        <w:t xml:space="preserve">revoke delete on public.snags</w:t>
      </w:r>
      <w:r>
        <w:t xml:space="preserve">). </w:t>
      </w:r>
      <w:r>
        <w:rPr>
          <w:rFonts w:ascii="Consolas" w:cs="Consolas" w:eastAsia="Consolas" w:hAnsi="Consolas"/>
          <w:b w:val="false"/>
          <w:bCs w:val="false"/>
          <w:i w:val="false"/>
          <w:iCs w:val="false"/>
          <w:color w:val="B91C1C"/>
          <w:shd w:fill="F3F4F6" w:val="clear"/>
        </w:rPr>
        <w:t xml:space="preserve">retained_until</w:t>
      </w:r>
      <w:r>
        <w:t xml:space="preserve"> (created_at + 5 years) is now a display field only. The real exposure is holding personal/health information indefinitely with no minimisation step, not premature deletion of evidence.</w:t>
      </w:r>
    </w:p>
    <w:p>
      <w:pPr>
        <w:pStyle w:val="ListParagraph"/>
        <w:numPr>
          <w:ilvl w:val="0"/>
          <w:numId w:val="2"/>
        </w:numPr>
        <w:spacing w:after="80"/>
      </w:pPr>
      <w:r>
        <w:rPr>
          <w:b/>
          <w:bCs/>
          <w:i w:val="false"/>
          <w:iCs w:val="false"/>
        </w:rPr>
        <w:t xml:space="preserve">RCA and corrective actions are already in the mobile app; debriefs are not. </w:t>
      </w:r>
      <w:r>
        <w:t xml:space="preserve">Part E credits Snag with “the Serious Lane's RCA and debrief flow.” The 5-Whys RCA flow (</w:t>
      </w:r>
      <w:r>
        <w:rPr>
          <w:rFonts w:ascii="Consolas" w:cs="Consolas" w:eastAsia="Consolas" w:hAnsi="Consolas"/>
          <w:b w:val="false"/>
          <w:bCs w:val="false"/>
          <w:i w:val="false"/>
          <w:iCs w:val="false"/>
          <w:color w:val="B91C1C"/>
          <w:shd w:fill="F3F4F6" w:val="clear"/>
        </w:rPr>
        <w:t xml:space="preserve">RcaPanel.tsx</w:t>
      </w:r>
      <w:r>
        <w:t xml:space="preserve">) and corrective actions with independent verification (</w:t>
      </w:r>
      <w:r>
        <w:rPr>
          <w:rFonts w:ascii="Consolas" w:cs="Consolas" w:eastAsia="Consolas" w:hAnsi="Consolas"/>
          <w:b w:val="false"/>
          <w:bCs w:val="false"/>
          <w:i w:val="false"/>
          <w:iCs w:val="false"/>
          <w:color w:val="B91C1C"/>
          <w:shd w:fill="F3F4F6" w:val="clear"/>
        </w:rPr>
        <w:t xml:space="preserve">CorrectiveActionsPanel.tsx</w:t>
      </w:r>
      <w:r>
        <w:t xml:space="preserve">) are fully built and wired. Debriefs (</w:t>
      </w:r>
      <w:r>
        <w:rPr>
          <w:rFonts w:ascii="Consolas" w:cs="Consolas" w:eastAsia="Consolas" w:hAnsi="Consolas"/>
          <w:b w:val="false"/>
          <w:bCs w:val="false"/>
          <w:i w:val="false"/>
          <w:iCs w:val="false"/>
          <w:color w:val="B91C1C"/>
          <w:shd w:fill="F3F4F6" w:val="clear"/>
        </w:rPr>
        <w:t xml:space="preserve">snag_debriefs</w:t>
      </w:r>
      <w:r>
        <w:t xml:space="preserve">, </w:t>
      </w:r>
      <w:r>
        <w:rPr>
          <w:rFonts w:ascii="Consolas" w:cs="Consolas" w:eastAsia="Consolas" w:hAnsi="Consolas"/>
          <w:b w:val="false"/>
          <w:bCs w:val="false"/>
          <w:i w:val="false"/>
          <w:iCs w:val="false"/>
          <w:color w:val="B91C1C"/>
          <w:shd w:fill="F3F4F6" w:val="clear"/>
        </w:rPr>
        <w:t xml:space="preserve">start_debrief</w:t>
      </w:r>
      <w:r>
        <w:t xml:space="preserve">/</w:t>
      </w:r>
      <w:r>
        <w:rPr>
          <w:rFonts w:ascii="Consolas" w:cs="Consolas" w:eastAsia="Consolas" w:hAnsi="Consolas"/>
          <w:b w:val="false"/>
          <w:bCs w:val="false"/>
          <w:i w:val="false"/>
          <w:iCs w:val="false"/>
          <w:color w:val="B91C1C"/>
          <w:shd w:fill="F3F4F6" w:val="clear"/>
        </w:rPr>
        <w:t xml:space="preserve">complete_debrief</w:t>
      </w:r>
      <w:r>
        <w:t xml:space="preserve"> and related RPCs) exist only in the database — there is no mobile screen for them, and the one code comment claiming debriefs “stay on the web app” does not correspond to any web app call site found in this repository. This is a real, separate gap (see F8), distinct from the RCA gap the source analysis implied was still open.</w:t>
      </w:r>
    </w:p>
    <w:p>
      <w:pPr>
        <w:pStyle w:val="ListParagraph"/>
        <w:numPr>
          <w:ilvl w:val="0"/>
          <w:numId w:val="2"/>
        </w:numPr>
        <w:spacing w:after="80"/>
      </w:pPr>
      <w:r>
        <w:rPr>
          <w:b/>
          <w:bCs/>
          <w:i w:val="false"/>
          <w:iCs w:val="false"/>
        </w:rPr>
        <w:t xml:space="preserve">The source analysis's phase names don't match the repo's actual phases — and two are already done. </w:t>
      </w:r>
      <w:r>
        <w:t xml:space="preserve">Part G sequences recommendations against “Ship-Ready → Supervisor Core/CAPA → Field Reliability → Commercial Validation.” Only the first two names exist in this repository (as git commit language, not as headings in MVP-SPEC.md or the build plan), and both are already shipped: commit </w:t>
      </w:r>
      <w:r>
        <w:rPr>
          <w:rFonts w:ascii="Consolas" w:cs="Consolas" w:eastAsia="Consolas" w:hAnsi="Consolas"/>
          <w:b w:val="false"/>
          <w:bCs w:val="false"/>
          <w:i w:val="false"/>
          <w:iCs w:val="false"/>
          <w:color w:val="B91C1C"/>
          <w:shd w:fill="F3F4F6" w:val="clear"/>
        </w:rPr>
        <w:t xml:space="preserve">4b48b61</w:t>
      </w:r>
      <w:r>
        <w:t xml:space="preserve"> (17 July 2026) wired </w:t>
      </w:r>
      <w:r>
        <w:rPr>
          <w:rFonts w:ascii="Consolas" w:cs="Consolas" w:eastAsia="Consolas" w:hAnsi="Consolas"/>
          <w:b w:val="false"/>
          <w:bCs w:val="false"/>
          <w:i w:val="false"/>
          <w:iCs w:val="false"/>
          <w:color w:val="B91C1C"/>
          <w:shd w:fill="F3F4F6" w:val="clear"/>
        </w:rPr>
        <w:t xml:space="preserve">reassign_rca</w:t>
      </w:r>
      <w:r>
        <w:t xml:space="preserve">/</w:t>
      </w:r>
      <w:r>
        <w:rPr>
          <w:rFonts w:ascii="Consolas" w:cs="Consolas" w:eastAsia="Consolas" w:hAnsi="Consolas"/>
          <w:b w:val="false"/>
          <w:bCs w:val="false"/>
          <w:i w:val="false"/>
          <w:iCs w:val="false"/>
          <w:color w:val="B91C1C"/>
          <w:shd w:fill="F3F4F6" w:val="clear"/>
        </w:rPr>
        <w:t xml:space="preserve">cancel_rca</w:t>
      </w:r>
      <w:r>
        <w:t xml:space="preserve"> into the mobile UI (Phase 0) and delivered corrective-action verification (Phase 1). “Field Reliability” and “Commercial Validation” do not appear anywhere in the repo. Section 9 below proposes new phase numbers that start from where the codebase actually is.</w:t>
      </w:r>
    </w:p>
    <w:p>
      <w:pPr>
        <w:pStyle w:val="ListParagraph"/>
        <w:numPr>
          <w:ilvl w:val="0"/>
          <w:numId w:val="2"/>
        </w:numPr>
        <w:spacing w:after="80"/>
      </w:pPr>
      <w:r>
        <w:rPr>
          <w:b/>
          <w:bCs/>
          <w:i w:val="false"/>
          <w:iCs w:val="false"/>
        </w:rPr>
        <w:t xml:space="preserve">One stale line in Snag's own spec, unrelated to compliance but worth a fix in passing. </w:t>
      </w:r>
      <w:r>
        <w:t xml:space="preserve">MVP-SPEC.md's “Out of scope” list still names “QR reporting,” but per-site QR public reporting shipped on 18 July 2026 (</w:t>
      </w:r>
      <w:r>
        <w:rPr>
          <w:rFonts w:ascii="Consolas" w:cs="Consolas" w:eastAsia="Consolas" w:hAnsi="Consolas"/>
          <w:b w:val="false"/>
          <w:bCs w:val="false"/>
          <w:i w:val="false"/>
          <w:iCs w:val="false"/>
          <w:color w:val="B91C1C"/>
          <w:shd w:fill="F3F4F6" w:val="clear"/>
        </w:rPr>
        <w:t xml:space="preserve">20260718090000_qr_site_public_reporting.sql</w:t>
      </w:r>
      <w:r>
        <w:t xml:space="preserve">). Flagged here for doc hygiene, not proposed as product work.</w:t>
      </w:r>
    </w:p>
    <w:p>
      <w:pPr>
        <w:pStyle w:val="Heading1"/>
        <w:pBdr>
          <w:bottom w:val="single" w:color="2563EB" w:sz="6" w:space="4"/>
        </w:pBdr>
        <w:spacing w:after="140" w:before="320"/>
      </w:pPr>
      <w:r>
        <w:t xml:space="preserve">4. Compliance Assessment Table</w:t>
      </w:r>
    </w:p>
    <w:p>
      <w:pPr>
        <w:spacing w:after="140"/>
      </w:pPr>
      <w:r>
        <w:t xml:space="preserve">A refined version of the source analysis's Part E, with each row checked against the live schema/codebase and mapped to a specific proposed feature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900"/>
        <w:gridCol w:w="2126"/>
        <w:gridCol w:w="800"/>
      </w:tblGrid>
      <w:tr>
        <w:trPr>
          <w:tblHeader/>
        </w:trPr>
        <w:tc>
          <w:tcPr>
            <w:tcW w:type="dxa" w:w="1500"/>
            <w:shd w:fill="1F2937" w:val="clear"/>
            <w:tcMar>
              <w:top w:type="dxa" w:w="80"/>
              <w:left w:type="dxa" w:w="100"/>
              <w:bottom w:type="dxa" w:w="80"/>
              <w:right w:type="dxa" w:w="100"/>
            </w:tcMar>
            <w:vAlign w:val="center"/>
          </w:tcPr>
          <w:p>
            <w:r>
              <w:rPr>
                <w:b/>
                <w:bCs/>
                <w:color w:val="FFFFFF"/>
                <w:sz w:val="19"/>
                <w:szCs w:val="19"/>
              </w:rPr>
              <w:t xml:space="preserve">Area</w:t>
            </w:r>
          </w:p>
        </w:tc>
        <w:tc>
          <w:tcPr>
            <w:tcW w:type="dxa" w:w="2700"/>
            <w:shd w:fill="1F2937" w:val="clear"/>
            <w:tcMar>
              <w:top w:type="dxa" w:w="80"/>
              <w:left w:type="dxa" w:w="100"/>
              <w:bottom w:type="dxa" w:w="80"/>
              <w:right w:type="dxa" w:w="100"/>
            </w:tcMar>
            <w:vAlign w:val="center"/>
          </w:tcPr>
          <w:p>
            <w:r>
              <w:rPr>
                <w:b/>
                <w:bCs/>
                <w:color w:val="FFFFFF"/>
                <w:sz w:val="19"/>
                <w:szCs w:val="19"/>
              </w:rPr>
              <w:t xml:space="preserve">Current state (verified)</w:t>
            </w:r>
          </w:p>
        </w:tc>
        <w:tc>
          <w:tcPr>
            <w:tcW w:type="dxa" w:w="1900"/>
            <w:shd w:fill="1F2937" w:val="clear"/>
            <w:tcMar>
              <w:top w:type="dxa" w:w="80"/>
              <w:left w:type="dxa" w:w="100"/>
              <w:bottom w:type="dxa" w:w="80"/>
              <w:right w:type="dxa" w:w="100"/>
            </w:tcMar>
            <w:vAlign w:val="center"/>
          </w:tcPr>
          <w:p>
            <w:r>
              <w:rPr>
                <w:b/>
                <w:bCs/>
                <w:color w:val="FFFFFF"/>
                <w:sz w:val="19"/>
                <w:szCs w:val="19"/>
              </w:rPr>
              <w:t xml:space="preserve">Gap</w:t>
            </w:r>
          </w:p>
        </w:tc>
        <w:tc>
          <w:tcPr>
            <w:tcW w:type="dxa" w:w="2126"/>
            <w:shd w:fill="1F2937" w:val="clear"/>
            <w:tcMar>
              <w:top w:type="dxa" w:w="80"/>
              <w:left w:type="dxa" w:w="100"/>
              <w:bottom w:type="dxa" w:w="80"/>
              <w:right w:type="dxa" w:w="100"/>
            </w:tcMar>
            <w:vAlign w:val="center"/>
          </w:tcPr>
          <w:p>
            <w:r>
              <w:rPr>
                <w:b/>
                <w:bCs/>
                <w:color w:val="FFFFFF"/>
                <w:sz w:val="19"/>
                <w:szCs w:val="19"/>
              </w:rPr>
              <w:t xml:space="preserve">Proposed feature</w:t>
            </w:r>
          </w:p>
        </w:tc>
        <w:tc>
          <w:tcPr>
            <w:tcW w:type="dxa" w:w="800"/>
            <w:shd w:fill="1F2937" w:val="clear"/>
            <w:tcMar>
              <w:top w:type="dxa" w:w="80"/>
              <w:left w:type="dxa" w:w="100"/>
              <w:bottom w:type="dxa" w:w="80"/>
              <w:right w:type="dxa" w:w="100"/>
            </w:tcMar>
            <w:vAlign w:val="center"/>
          </w:tcPr>
          <w:p>
            <w:r>
              <w:rPr>
                <w:b/>
                <w:bCs/>
                <w:color w:val="FFFFFF"/>
                <w:sz w:val="19"/>
                <w:szCs w:val="19"/>
              </w:rPr>
              <w:t xml:space="preserve">Priority</w:t>
            </w:r>
          </w:p>
        </w:tc>
      </w:tr>
      <w:tr>
        <w:tc>
          <w:tcPr>
            <w:tcW w:type="dxa" w:w="1500"/>
            <w:tcMar>
              <w:top w:type="dxa" w:w="80"/>
              <w:left w:type="dxa" w:w="100"/>
              <w:bottom w:type="dxa" w:w="80"/>
              <w:right w:type="dxa" w:w="100"/>
            </w:tcMar>
            <w:vAlign w:val="center"/>
          </w:tcPr>
          <w:p>
            <w:r>
              <w:rPr>
                <w:b w:val="false"/>
                <w:bCs w:val="false"/>
                <w:sz w:val="19"/>
                <w:szCs w:val="19"/>
              </w:rPr>
              <w:t xml:space="preserve">Notifiable-event handling</w:t>
            </w:r>
          </w:p>
        </w:tc>
        <w:tc>
          <w:tcPr>
            <w:tcW w:type="dxa" w:w="2700"/>
            <w:tcMar>
              <w:top w:type="dxa" w:w="80"/>
              <w:left w:type="dxa" w:w="100"/>
              <w:bottom w:type="dxa" w:w="80"/>
              <w:right w:type="dxa" w:w="100"/>
            </w:tcMar>
            <w:vAlign w:val="center"/>
          </w:tcPr>
          <w:p>
            <w:r>
              <w:rPr>
                <w:b w:val="false"/>
                <w:bCs w:val="false"/>
                <w:sz w:val="19"/>
                <w:szCs w:val="19"/>
              </w:rPr>
              <w:t xml:space="preserve">is_notifiable flag + RPC exist; no UI ever sets it; no “preserve the site” prompt anywhere</w:t>
            </w:r>
          </w:p>
        </w:tc>
        <w:tc>
          <w:tcPr>
            <w:tcW w:type="dxa" w:w="1900"/>
            <w:tcMar>
              <w:top w:type="dxa" w:w="80"/>
              <w:left w:type="dxa" w:w="100"/>
              <w:bottom w:type="dxa" w:w="80"/>
              <w:right w:type="dxa" w:w="100"/>
            </w:tcMar>
            <w:vAlign w:val="center"/>
          </w:tcPr>
          <w:p>
            <w:r>
              <w:rPr>
                <w:b w:val="false"/>
                <w:bCs w:val="false"/>
                <w:sz w:val="19"/>
                <w:szCs w:val="19"/>
              </w:rPr>
              <w:t xml:space="preserve">No decision support or urgency prompt at point of report</w:t>
            </w:r>
          </w:p>
        </w:tc>
        <w:tc>
          <w:tcPr>
            <w:tcW w:type="dxa" w:w="2126"/>
            <w:tcMar>
              <w:top w:type="dxa" w:w="80"/>
              <w:left w:type="dxa" w:w="100"/>
              <w:bottom w:type="dxa" w:w="80"/>
              <w:right w:type="dxa" w:w="100"/>
            </w:tcMar>
            <w:vAlign w:val="center"/>
          </w:tcPr>
          <w:p>
            <w:r>
              <w:rPr>
                <w:b w:val="false"/>
                <w:bCs w:val="false"/>
                <w:sz w:val="19"/>
                <w:szCs w:val="19"/>
              </w:rPr>
              <w:t xml:space="preserve">F1 — Notifiable-event decision support</w:t>
            </w:r>
          </w:p>
        </w:tc>
        <w:tc>
          <w:tcPr>
            <w:tcW w:type="dxa" w:w="800"/>
            <w:tcMar>
              <w:top w:type="dxa" w:w="80"/>
              <w:left w:type="dxa" w:w="100"/>
              <w:bottom w:type="dxa" w:w="80"/>
              <w:right w:type="dxa" w:w="100"/>
            </w:tcMar>
            <w:vAlign w:val="center"/>
          </w:tcPr>
          <w:p>
            <w:r>
              <w:rPr>
                <w:b w:val="false"/>
                <w:bCs w:val="false"/>
                <w:sz w:val="19"/>
                <w:szCs w:val="19"/>
              </w:rPr>
              <w:t xml:space="preserve">Highest</w:t>
            </w:r>
          </w:p>
        </w:tc>
      </w:tr>
      <w:tr>
        <w:tc>
          <w:tcPr>
            <w:tcW w:type="dxa" w:w="1500"/>
            <w:shd w:fill="F3F4F6" w:val="clear"/>
            <w:tcMar>
              <w:top w:type="dxa" w:w="80"/>
              <w:left w:type="dxa" w:w="100"/>
              <w:bottom w:type="dxa" w:w="80"/>
              <w:right w:type="dxa" w:w="100"/>
            </w:tcMar>
            <w:vAlign w:val="center"/>
          </w:tcPr>
          <w:p>
            <w:r>
              <w:rPr>
                <w:b w:val="false"/>
                <w:bCs w:val="false"/>
                <w:sz w:val="19"/>
                <w:szCs w:val="19"/>
              </w:rPr>
              <w:t xml:space="preserve">Record retention</w:t>
            </w:r>
          </w:p>
        </w:tc>
        <w:tc>
          <w:tcPr>
            <w:tcW w:type="dxa" w:w="2700"/>
            <w:shd w:fill="F3F4F6" w:val="clear"/>
            <w:tcMar>
              <w:top w:type="dxa" w:w="80"/>
              <w:left w:type="dxa" w:w="100"/>
              <w:bottom w:type="dxa" w:w="80"/>
              <w:right w:type="dxa" w:w="100"/>
            </w:tcMar>
            <w:vAlign w:val="center"/>
          </w:tcPr>
          <w:p>
            <w:r>
              <w:rPr>
                <w:b w:val="false"/>
                <w:bCs w:val="false"/>
                <w:sz w:val="19"/>
                <w:szCs w:val="19"/>
              </w:rPr>
              <w:t xml:space="preserve">Deletion unconditionally blocked forever; retained_until is display-only</w:t>
            </w:r>
          </w:p>
        </w:tc>
        <w:tc>
          <w:tcPr>
            <w:tcW w:type="dxa" w:w="1900"/>
            <w:shd w:fill="F3F4F6" w:val="clear"/>
            <w:tcMar>
              <w:top w:type="dxa" w:w="80"/>
              <w:left w:type="dxa" w:w="100"/>
              <w:bottom w:type="dxa" w:w="80"/>
              <w:right w:type="dxa" w:w="100"/>
            </w:tcMar>
            <w:vAlign w:val="center"/>
          </w:tcPr>
          <w:p>
            <w:r>
              <w:rPr>
                <w:b w:val="false"/>
                <w:bCs w:val="false"/>
                <w:sz w:val="19"/>
                <w:szCs w:val="19"/>
              </w:rPr>
              <w:t xml:space="preserve">No minimisation step for non-essential personal/health detail beyond the 5-year mark</w:t>
            </w:r>
          </w:p>
        </w:tc>
        <w:tc>
          <w:tcPr>
            <w:tcW w:type="dxa" w:w="2126"/>
            <w:shd w:fill="F3F4F6" w:val="clear"/>
            <w:tcMar>
              <w:top w:type="dxa" w:w="80"/>
              <w:left w:type="dxa" w:w="100"/>
              <w:bottom w:type="dxa" w:w="80"/>
              <w:right w:type="dxa" w:w="100"/>
            </w:tcMar>
            <w:vAlign w:val="center"/>
          </w:tcPr>
          <w:p>
            <w:r>
              <w:rPr>
                <w:b w:val="false"/>
                <w:bCs w:val="false"/>
                <w:sz w:val="19"/>
                <w:szCs w:val="19"/>
              </w:rPr>
              <w:t xml:space="preserve">F2 — Retention &amp; privacy-minimisation policy</w:t>
            </w:r>
          </w:p>
        </w:tc>
        <w:tc>
          <w:tcPr>
            <w:tcW w:type="dxa" w:w="800"/>
            <w:shd w:fill="F3F4F6" w:val="clear"/>
            <w:tcMar>
              <w:top w:type="dxa" w:w="80"/>
              <w:left w:type="dxa" w:w="100"/>
              <w:bottom w:type="dxa" w:w="80"/>
              <w:right w:type="dxa" w:w="100"/>
            </w:tcMar>
            <w:vAlign w:val="center"/>
          </w:tcPr>
          <w:p>
            <w:r>
              <w:rPr>
                <w:b w:val="false"/>
                <w:bCs w:val="false"/>
                <w:sz w:val="19"/>
                <w:szCs w:val="19"/>
              </w:rPr>
              <w:t xml:space="preserve">Highest</w:t>
            </w:r>
          </w:p>
        </w:tc>
      </w:tr>
      <w:tr>
        <w:tc>
          <w:tcPr>
            <w:tcW w:type="dxa" w:w="1500"/>
            <w:tcMar>
              <w:top w:type="dxa" w:w="80"/>
              <w:left w:type="dxa" w:w="100"/>
              <w:bottom w:type="dxa" w:w="80"/>
              <w:right w:type="dxa" w:w="100"/>
            </w:tcMar>
            <w:vAlign w:val="center"/>
          </w:tcPr>
          <w:p>
            <w:r>
              <w:rPr>
                <w:b w:val="false"/>
                <w:bCs w:val="false"/>
                <w:sz w:val="19"/>
                <w:szCs w:val="19"/>
              </w:rPr>
              <w:t xml:space="preserve">Officer / governance evidence</w:t>
            </w:r>
          </w:p>
        </w:tc>
        <w:tc>
          <w:tcPr>
            <w:tcW w:type="dxa" w:w="2700"/>
            <w:tcMar>
              <w:top w:type="dxa" w:w="80"/>
              <w:left w:type="dxa" w:w="100"/>
              <w:bottom w:type="dxa" w:w="80"/>
              <w:right w:type="dxa" w:w="100"/>
            </w:tcMar>
            <w:vAlign w:val="center"/>
          </w:tcPr>
          <w:p>
            <w:r>
              <w:rPr>
                <w:b w:val="false"/>
                <w:bCs w:val="false"/>
                <w:sz w:val="19"/>
                <w:szCs w:val="19"/>
              </w:rPr>
              <w:t xml:space="preserve">get_org_stats / get_site_breakdown exist; ReportsScreen and AdminDashboardScreen are read-only, not due-diligence-framed</w:t>
            </w:r>
          </w:p>
        </w:tc>
        <w:tc>
          <w:tcPr>
            <w:tcW w:type="dxa" w:w="1900"/>
            <w:tcMar>
              <w:top w:type="dxa" w:w="80"/>
              <w:left w:type="dxa" w:w="100"/>
              <w:bottom w:type="dxa" w:w="80"/>
              <w:right w:type="dxa" w:w="100"/>
            </w:tcMar>
            <w:vAlign w:val="center"/>
          </w:tcPr>
          <w:p>
            <w:r>
              <w:rPr>
                <w:b w:val="false"/>
                <w:bCs w:val="false"/>
                <w:sz w:val="19"/>
                <w:szCs w:val="19"/>
              </w:rPr>
              <w:t xml:space="preserve">No periodic artefact an officer can keep on file</w:t>
            </w:r>
          </w:p>
        </w:tc>
        <w:tc>
          <w:tcPr>
            <w:tcW w:type="dxa" w:w="2126"/>
            <w:tcMar>
              <w:top w:type="dxa" w:w="80"/>
              <w:left w:type="dxa" w:w="100"/>
              <w:bottom w:type="dxa" w:w="80"/>
              <w:right w:type="dxa" w:w="100"/>
            </w:tcMar>
            <w:vAlign w:val="center"/>
          </w:tcPr>
          <w:p>
            <w:r>
              <w:rPr>
                <w:b w:val="false"/>
                <w:bCs w:val="false"/>
                <w:sz w:val="19"/>
                <w:szCs w:val="19"/>
              </w:rPr>
              <w:t xml:space="preserve">F3 — Governance due-diligence export</w:t>
            </w:r>
          </w:p>
        </w:tc>
        <w:tc>
          <w:tcPr>
            <w:tcW w:type="dxa" w:w="800"/>
            <w:tcMar>
              <w:top w:type="dxa" w:w="80"/>
              <w:left w:type="dxa" w:w="100"/>
              <w:bottom w:type="dxa" w:w="80"/>
              <w:right w:type="dxa" w:w="100"/>
            </w:tcMar>
            <w:vAlign w:val="center"/>
          </w:tcPr>
          <w:p>
            <w:r>
              <w:rPr>
                <w:b w:val="false"/>
                <w:bCs w:val="false"/>
                <w:sz w:val="19"/>
                <w:szCs w:val="19"/>
              </w:rPr>
              <w:t xml:space="preserve">Medium</w:t>
            </w:r>
          </w:p>
        </w:tc>
      </w:tr>
      <w:tr>
        <w:tc>
          <w:tcPr>
            <w:tcW w:type="dxa" w:w="1500"/>
            <w:shd w:fill="F3F4F6" w:val="clear"/>
            <w:tcMar>
              <w:top w:type="dxa" w:w="80"/>
              <w:left w:type="dxa" w:w="100"/>
              <w:bottom w:type="dxa" w:w="80"/>
              <w:right w:type="dxa" w:w="100"/>
            </w:tcMar>
            <w:vAlign w:val="center"/>
          </w:tcPr>
          <w:p>
            <w:r>
              <w:rPr>
                <w:b w:val="false"/>
                <w:bCs w:val="false"/>
                <w:sz w:val="19"/>
                <w:szCs w:val="19"/>
              </w:rPr>
              <w:t xml:space="preserve">Multi-PCBU / shared-site notification</w:t>
            </w:r>
          </w:p>
        </w:tc>
        <w:tc>
          <w:tcPr>
            <w:tcW w:type="dxa" w:w="2700"/>
            <w:shd w:fill="F3F4F6" w:val="clear"/>
            <w:tcMar>
              <w:top w:type="dxa" w:w="80"/>
              <w:left w:type="dxa" w:w="100"/>
              <w:bottom w:type="dxa" w:w="80"/>
              <w:right w:type="dxa" w:w="100"/>
            </w:tcMar>
            <w:vAlign w:val="center"/>
          </w:tcPr>
          <w:p>
            <w:r>
              <w:rPr>
                <w:b w:val="false"/>
                <w:bCs w:val="false"/>
                <w:sz w:val="19"/>
                <w:szCs w:val="19"/>
              </w:rPr>
              <w:t xml:space="preserve">org_memberships and site_members already support contractors spanning orgs</w:t>
            </w:r>
          </w:p>
        </w:tc>
        <w:tc>
          <w:tcPr>
            <w:tcW w:type="dxa" w:w="1900"/>
            <w:shd w:fill="F3F4F6" w:val="clear"/>
            <w:tcMar>
              <w:top w:type="dxa" w:w="80"/>
              <w:left w:type="dxa" w:w="100"/>
              <w:bottom w:type="dxa" w:w="80"/>
              <w:right w:type="dxa" w:w="100"/>
            </w:tcMar>
            <w:vAlign w:val="center"/>
          </w:tcPr>
          <w:p>
            <w:r>
              <w:rPr>
                <w:b w:val="false"/>
                <w:bCs w:val="false"/>
                <w:sz w:val="19"/>
                <w:szCs w:val="19"/>
              </w:rPr>
              <w:t xml:space="preserve">No field recording which PCBU is nominated to notify</w:t>
            </w:r>
          </w:p>
        </w:tc>
        <w:tc>
          <w:tcPr>
            <w:tcW w:type="dxa" w:w="2126"/>
            <w:shd w:fill="F3F4F6" w:val="clear"/>
            <w:tcMar>
              <w:top w:type="dxa" w:w="80"/>
              <w:left w:type="dxa" w:w="100"/>
              <w:bottom w:type="dxa" w:w="80"/>
              <w:right w:type="dxa" w:w="100"/>
            </w:tcMar>
            <w:vAlign w:val="center"/>
          </w:tcPr>
          <w:p>
            <w:r>
              <w:rPr>
                <w:b w:val="false"/>
                <w:bCs w:val="false"/>
                <w:sz w:val="19"/>
                <w:szCs w:val="19"/>
              </w:rPr>
              <w:t xml:space="preserve">F4 — Multi-PCBU notification nomination</w:t>
            </w:r>
          </w:p>
        </w:tc>
        <w:tc>
          <w:tcPr>
            <w:tcW w:type="dxa" w:w="800"/>
            <w:shd w:fill="F3F4F6" w:val="clear"/>
            <w:tcMar>
              <w:top w:type="dxa" w:w="80"/>
              <w:left w:type="dxa" w:w="100"/>
              <w:bottom w:type="dxa" w:w="80"/>
              <w:right w:type="dxa" w:w="100"/>
            </w:tcMar>
            <w:vAlign w:val="center"/>
          </w:tcPr>
          <w:p>
            <w:r>
              <w:rPr>
                <w:b w:val="false"/>
                <w:bCs w:val="false"/>
                <w:sz w:val="19"/>
                <w:szCs w:val="19"/>
              </w:rPr>
              <w:t xml:space="preserve">Medium</w:t>
            </w:r>
          </w:p>
        </w:tc>
      </w:tr>
      <w:tr>
        <w:tc>
          <w:tcPr>
            <w:tcW w:type="dxa" w:w="1500"/>
            <w:tcMar>
              <w:top w:type="dxa" w:w="80"/>
              <w:left w:type="dxa" w:w="100"/>
              <w:bottom w:type="dxa" w:w="80"/>
              <w:right w:type="dxa" w:w="100"/>
            </w:tcMar>
            <w:vAlign w:val="center"/>
          </w:tcPr>
          <w:p>
            <w:r>
              <w:rPr>
                <w:b w:val="false"/>
                <w:bCs w:val="false"/>
                <w:sz w:val="19"/>
                <w:szCs w:val="19"/>
              </w:rPr>
              <w:t xml:space="preserve">Worker participation (HSR)</w:t>
            </w:r>
          </w:p>
        </w:tc>
        <w:tc>
          <w:tcPr>
            <w:tcW w:type="dxa" w:w="2700"/>
            <w:tcMar>
              <w:top w:type="dxa" w:w="80"/>
              <w:left w:type="dxa" w:w="100"/>
              <w:bottom w:type="dxa" w:w="80"/>
              <w:right w:type="dxa" w:w="100"/>
            </w:tcMar>
            <w:vAlign w:val="center"/>
          </w:tcPr>
          <w:p>
            <w:r>
              <w:rPr>
                <w:b w:val="false"/>
                <w:bCs w:val="false"/>
                <w:sz w:val="19"/>
                <w:szCs w:val="19"/>
              </w:rPr>
              <w:t xml:space="preserve">Only 3 roles exist anywhere in the schema (worker, supervisor, officer_admin); every check is a hardcoded 3-way compare</w:t>
            </w:r>
          </w:p>
        </w:tc>
        <w:tc>
          <w:tcPr>
            <w:tcW w:type="dxa" w:w="1900"/>
            <w:tcMar>
              <w:top w:type="dxa" w:w="80"/>
              <w:left w:type="dxa" w:w="100"/>
              <w:bottom w:type="dxa" w:w="80"/>
              <w:right w:type="dxa" w:w="100"/>
            </w:tcMar>
            <w:vAlign w:val="center"/>
          </w:tcPr>
          <w:p>
            <w:r>
              <w:rPr>
                <w:b w:val="false"/>
                <w:bCs w:val="false"/>
                <w:sz w:val="19"/>
                <w:szCs w:val="19"/>
              </w:rPr>
              <w:t xml:space="preserve">No HSR role or HSR-specific visibility</w:t>
            </w:r>
          </w:p>
        </w:tc>
        <w:tc>
          <w:tcPr>
            <w:tcW w:type="dxa" w:w="2126"/>
            <w:tcMar>
              <w:top w:type="dxa" w:w="80"/>
              <w:left w:type="dxa" w:w="100"/>
              <w:bottom w:type="dxa" w:w="80"/>
              <w:right w:type="dxa" w:w="100"/>
            </w:tcMar>
            <w:vAlign w:val="center"/>
          </w:tcPr>
          <w:p>
            <w:r>
              <w:rPr>
                <w:b w:val="false"/>
                <w:bCs w:val="false"/>
                <w:sz w:val="19"/>
                <w:szCs w:val="19"/>
              </w:rPr>
              <w:t xml:space="preserve">F5 — HSR role &amp; visibility</w:t>
            </w:r>
          </w:p>
        </w:tc>
        <w:tc>
          <w:tcPr>
            <w:tcW w:type="dxa" w:w="800"/>
            <w:tcMar>
              <w:top w:type="dxa" w:w="80"/>
              <w:left w:type="dxa" w:w="100"/>
              <w:bottom w:type="dxa" w:w="80"/>
              <w:right w:type="dxa" w:w="100"/>
            </w:tcMar>
            <w:vAlign w:val="center"/>
          </w:tcPr>
          <w:p>
            <w:r>
              <w:rPr>
                <w:b w:val="false"/>
                <w:bCs w:val="false"/>
                <w:sz w:val="19"/>
                <w:szCs w:val="19"/>
              </w:rPr>
              <w:t xml:space="preserve">Medium</w:t>
            </w:r>
          </w:p>
        </w:tc>
      </w:tr>
      <w:tr>
        <w:tc>
          <w:tcPr>
            <w:tcW w:type="dxa" w:w="1500"/>
            <w:shd w:fill="F3F4F6" w:val="clear"/>
            <w:tcMar>
              <w:top w:type="dxa" w:w="80"/>
              <w:left w:type="dxa" w:w="100"/>
              <w:bottom w:type="dxa" w:w="80"/>
              <w:right w:type="dxa" w:w="100"/>
            </w:tcMar>
            <w:vAlign w:val="center"/>
          </w:tcPr>
          <w:p>
            <w:r>
              <w:rPr>
                <w:b w:val="false"/>
                <w:bCs w:val="false"/>
                <w:sz w:val="19"/>
                <w:szCs w:val="19"/>
              </w:rPr>
              <w:t xml:space="preserve">Critical-risk taxonomy</w:t>
            </w:r>
          </w:p>
        </w:tc>
        <w:tc>
          <w:tcPr>
            <w:tcW w:type="dxa" w:w="2700"/>
            <w:shd w:fill="F3F4F6" w:val="clear"/>
            <w:tcMar>
              <w:top w:type="dxa" w:w="80"/>
              <w:left w:type="dxa" w:w="100"/>
              <w:bottom w:type="dxa" w:w="80"/>
              <w:right w:type="dxa" w:w="100"/>
            </w:tcMar>
            <w:vAlign w:val="center"/>
          </w:tcPr>
          <w:p>
            <w:r>
              <w:rPr>
                <w:b w:val="false"/>
                <w:bCs w:val="false"/>
                <w:sz w:val="19"/>
                <w:szCs w:val="19"/>
              </w:rPr>
              <w:t xml:space="preserve">Not modelled; severity's ‘critical’ value is per-incident, not an org-level register. MVP-SPEC already excludes “critical-risk registers”</w:t>
            </w:r>
          </w:p>
        </w:tc>
        <w:tc>
          <w:tcPr>
            <w:tcW w:type="dxa" w:w="1900"/>
            <w:shd w:fill="F3F4F6" w:val="clear"/>
            <w:tcMar>
              <w:top w:type="dxa" w:w="80"/>
              <w:left w:type="dxa" w:w="100"/>
              <w:bottom w:type="dxa" w:w="80"/>
              <w:right w:type="dxa" w:w="100"/>
            </w:tcMar>
            <w:vAlign w:val="center"/>
          </w:tcPr>
          <w:p>
            <w:r>
              <w:rPr>
                <w:b w:val="false"/>
                <w:bCs w:val="false"/>
                <w:sz w:val="19"/>
                <w:szCs w:val="19"/>
              </w:rPr>
              <w:t xml:space="preserve">2026 Amendment Act concept absent, by design</w:t>
            </w:r>
          </w:p>
        </w:tc>
        <w:tc>
          <w:tcPr>
            <w:tcW w:type="dxa" w:w="2126"/>
            <w:shd w:fill="F3F4F6" w:val="clear"/>
            <w:tcMar>
              <w:top w:type="dxa" w:w="80"/>
              <w:left w:type="dxa" w:w="100"/>
              <w:bottom w:type="dxa" w:w="80"/>
              <w:right w:type="dxa" w:w="100"/>
            </w:tcMar>
            <w:vAlign w:val="center"/>
          </w:tcPr>
          <w:p>
            <w:r>
              <w:rPr>
                <w:b w:val="false"/>
                <w:bCs w:val="false"/>
                <w:sz w:val="19"/>
                <w:szCs w:val="19"/>
              </w:rPr>
              <w:t xml:space="preserve">F6 — Critical-risk tag (dormant field only)</w:t>
            </w:r>
          </w:p>
        </w:tc>
        <w:tc>
          <w:tcPr>
            <w:tcW w:type="dxa" w:w="800"/>
            <w:shd w:fill="F3F4F6" w:val="clear"/>
            <w:tcMar>
              <w:top w:type="dxa" w:w="80"/>
              <w:left w:type="dxa" w:w="100"/>
              <w:bottom w:type="dxa" w:w="80"/>
              <w:right w:type="dxa" w:w="100"/>
            </w:tcMar>
            <w:vAlign w:val="center"/>
          </w:tcPr>
          <w:p>
            <w:r>
              <w:rPr>
                <w:b w:val="false"/>
                <w:bCs w:val="false"/>
                <w:sz w:val="19"/>
                <w:szCs w:val="19"/>
              </w:rPr>
              <w:t xml:space="preserve">Backlog — post-election</w:t>
            </w:r>
          </w:p>
        </w:tc>
      </w:tr>
      <w:tr>
        <w:tc>
          <w:tcPr>
            <w:tcW w:type="dxa" w:w="1500"/>
            <w:tcMar>
              <w:top w:type="dxa" w:w="80"/>
              <w:left w:type="dxa" w:w="100"/>
              <w:bottom w:type="dxa" w:w="80"/>
              <w:right w:type="dxa" w:w="100"/>
            </w:tcMar>
            <w:vAlign w:val="center"/>
          </w:tcPr>
          <w:p>
            <w:r>
              <w:rPr>
                <w:b w:val="false"/>
                <w:bCs w:val="false"/>
                <w:sz w:val="19"/>
                <w:szCs w:val="19"/>
              </w:rPr>
              <w:t xml:space="preserve">Psychosocial hazards</w:t>
            </w:r>
          </w:p>
        </w:tc>
        <w:tc>
          <w:tcPr>
            <w:tcW w:type="dxa" w:w="2700"/>
            <w:tcMar>
              <w:top w:type="dxa" w:w="80"/>
              <w:left w:type="dxa" w:w="100"/>
              <w:bottom w:type="dxa" w:w="80"/>
              <w:right w:type="dxa" w:w="100"/>
            </w:tcMar>
            <w:vAlign w:val="center"/>
          </w:tcPr>
          <w:p>
            <w:r>
              <w:rPr>
                <w:b w:val="false"/>
                <w:bCs w:val="false"/>
                <w:sz w:val="19"/>
                <w:szCs w:val="19"/>
              </w:rPr>
              <w:t xml:space="preserve">snag_kind has no psychosocial category or tag; zero references in schema or code</w:t>
            </w:r>
          </w:p>
        </w:tc>
        <w:tc>
          <w:tcPr>
            <w:tcW w:type="dxa" w:w="1900"/>
            <w:tcMar>
              <w:top w:type="dxa" w:w="80"/>
              <w:left w:type="dxa" w:w="100"/>
              <w:bottom w:type="dxa" w:w="80"/>
              <w:right w:type="dxa" w:w="100"/>
            </w:tcMar>
            <w:vAlign w:val="center"/>
          </w:tcPr>
          <w:p>
            <w:r>
              <w:rPr>
                <w:b w:val="false"/>
                <w:bCs w:val="false"/>
                <w:sz w:val="19"/>
                <w:szCs w:val="19"/>
              </w:rPr>
              <w:t xml:space="preserve">Mental-health/bullying harms not distinguished from physical hazards</w:t>
            </w:r>
          </w:p>
        </w:tc>
        <w:tc>
          <w:tcPr>
            <w:tcW w:type="dxa" w:w="2126"/>
            <w:tcMar>
              <w:top w:type="dxa" w:w="80"/>
              <w:left w:type="dxa" w:w="100"/>
              <w:bottom w:type="dxa" w:w="80"/>
              <w:right w:type="dxa" w:w="100"/>
            </w:tcMar>
            <w:vAlign w:val="center"/>
          </w:tcPr>
          <w:p>
            <w:r>
              <w:rPr>
                <w:b w:val="false"/>
                <w:bCs w:val="false"/>
                <w:sz w:val="19"/>
                <w:szCs w:val="19"/>
              </w:rPr>
              <w:t xml:space="preserve">F7 — Psychosocial hazard category</w:t>
            </w:r>
          </w:p>
        </w:tc>
        <w:tc>
          <w:tcPr>
            <w:tcW w:type="dxa" w:w="800"/>
            <w:tcMar>
              <w:top w:type="dxa" w:w="80"/>
              <w:left w:type="dxa" w:w="100"/>
              <w:bottom w:type="dxa" w:w="80"/>
              <w:right w:type="dxa" w:w="100"/>
            </w:tcMar>
            <w:vAlign w:val="center"/>
          </w:tcPr>
          <w:p>
            <w:r>
              <w:rPr>
                <w:b w:val="false"/>
                <w:bCs w:val="false"/>
                <w:sz w:val="19"/>
                <w:szCs w:val="19"/>
              </w:rPr>
              <w:t xml:space="preserve">Backlog — post-election</w:t>
            </w:r>
          </w:p>
        </w:tc>
      </w:tr>
      <w:tr>
        <w:tc>
          <w:tcPr>
            <w:tcW w:type="dxa" w:w="1500"/>
            <w:shd w:fill="F3F4F6" w:val="clear"/>
            <w:tcMar>
              <w:top w:type="dxa" w:w="80"/>
              <w:left w:type="dxa" w:w="100"/>
              <w:bottom w:type="dxa" w:w="80"/>
              <w:right w:type="dxa" w:w="100"/>
            </w:tcMar>
            <w:vAlign w:val="center"/>
          </w:tcPr>
          <w:p>
            <w:r>
              <w:rPr>
                <w:b w:val="false"/>
                <w:bCs w:val="false"/>
                <w:sz w:val="19"/>
                <w:szCs w:val="19"/>
              </w:rPr>
              <w:t xml:space="preserve">Investigate→change→record loop</w:t>
            </w:r>
          </w:p>
        </w:tc>
        <w:tc>
          <w:tcPr>
            <w:tcW w:type="dxa" w:w="2700"/>
            <w:shd w:fill="F3F4F6" w:val="clear"/>
            <w:tcMar>
              <w:top w:type="dxa" w:w="80"/>
              <w:left w:type="dxa" w:w="100"/>
              <w:bottom w:type="dxa" w:w="80"/>
              <w:right w:type="dxa" w:w="100"/>
            </w:tcMar>
            <w:vAlign w:val="center"/>
          </w:tcPr>
          <w:p>
            <w:r>
              <w:rPr>
                <w:b w:val="false"/>
                <w:bCs w:val="false"/>
                <w:sz w:val="19"/>
                <w:szCs w:val="19"/>
              </w:rPr>
              <w:t xml:space="preserve">RCA and corrective actions fully built in-app; debriefs exist server-side only, no mobile UI</w:t>
            </w:r>
          </w:p>
        </w:tc>
        <w:tc>
          <w:tcPr>
            <w:tcW w:type="dxa" w:w="1900"/>
            <w:shd w:fill="F3F4F6" w:val="clear"/>
            <w:tcMar>
              <w:top w:type="dxa" w:w="80"/>
              <w:left w:type="dxa" w:w="100"/>
              <w:bottom w:type="dxa" w:w="80"/>
              <w:right w:type="dxa" w:w="100"/>
            </w:tcMar>
            <w:vAlign w:val="center"/>
          </w:tcPr>
          <w:p>
            <w:r>
              <w:rPr>
                <w:b w:val="false"/>
                <w:bCs w:val="false"/>
                <w:sz w:val="19"/>
                <w:szCs w:val="19"/>
              </w:rPr>
              <w:t xml:space="preserve">Debrief step of the loop is invisible to users</w:t>
            </w:r>
          </w:p>
        </w:tc>
        <w:tc>
          <w:tcPr>
            <w:tcW w:type="dxa" w:w="2126"/>
            <w:shd w:fill="F3F4F6" w:val="clear"/>
            <w:tcMar>
              <w:top w:type="dxa" w:w="80"/>
              <w:left w:type="dxa" w:w="100"/>
              <w:bottom w:type="dxa" w:w="80"/>
              <w:right w:type="dxa" w:w="100"/>
            </w:tcMar>
            <w:vAlign w:val="center"/>
          </w:tcPr>
          <w:p>
            <w:r>
              <w:rPr>
                <w:b w:val="false"/>
                <w:bCs w:val="false"/>
                <w:sz w:val="19"/>
                <w:szCs w:val="19"/>
              </w:rPr>
              <w:t xml:space="preserve">F8 — Debrief mobile UI</w:t>
            </w:r>
          </w:p>
        </w:tc>
        <w:tc>
          <w:tcPr>
            <w:tcW w:type="dxa" w:w="800"/>
            <w:shd w:fill="F3F4F6" w:val="clear"/>
            <w:tcMar>
              <w:top w:type="dxa" w:w="80"/>
              <w:left w:type="dxa" w:w="100"/>
              <w:bottom w:type="dxa" w:w="80"/>
              <w:right w:type="dxa" w:w="100"/>
            </w:tcMar>
            <w:vAlign w:val="center"/>
          </w:tcPr>
          <w:p>
            <w:r>
              <w:rPr>
                <w:b w:val="false"/>
                <w:bCs w:val="false"/>
                <w:sz w:val="19"/>
                <w:szCs w:val="19"/>
              </w:rPr>
              <w:t xml:space="preserve">Medium</w:t>
            </w:r>
          </w:p>
        </w:tc>
      </w:tr>
      <w:tr>
        <w:tc>
          <w:tcPr>
            <w:tcW w:type="dxa" w:w="1500"/>
            <w:tcMar>
              <w:top w:type="dxa" w:w="80"/>
              <w:left w:type="dxa" w:w="100"/>
              <w:bottom w:type="dxa" w:w="80"/>
              <w:right w:type="dxa" w:w="100"/>
            </w:tcMar>
            <w:vAlign w:val="center"/>
          </w:tcPr>
          <w:p>
            <w:r>
              <w:rPr>
                <w:b w:val="false"/>
                <w:bCs w:val="false"/>
                <w:sz w:val="19"/>
                <w:szCs w:val="19"/>
              </w:rPr>
              <w:t xml:space="preserve">Ambiguous / high-stakes triage</w:t>
            </w:r>
          </w:p>
        </w:tc>
        <w:tc>
          <w:tcPr>
            <w:tcW w:type="dxa" w:w="2700"/>
            <w:tcMar>
              <w:top w:type="dxa" w:w="80"/>
              <w:left w:type="dxa" w:w="100"/>
              <w:bottom w:type="dxa" w:w="80"/>
              <w:right w:type="dxa" w:w="100"/>
            </w:tcMar>
            <w:vAlign w:val="center"/>
          </w:tcPr>
          <w:p>
            <w:r>
              <w:rPr>
                <w:b w:val="false"/>
                <w:bCs w:val="false"/>
                <w:sz w:val="19"/>
                <w:szCs w:val="19"/>
              </w:rPr>
              <w:t xml:space="preserve">No human review layer above customer org staff for hard calls</w:t>
            </w:r>
          </w:p>
        </w:tc>
        <w:tc>
          <w:tcPr>
            <w:tcW w:type="dxa" w:w="1900"/>
            <w:tcMar>
              <w:top w:type="dxa" w:w="80"/>
              <w:left w:type="dxa" w:w="100"/>
              <w:bottom w:type="dxa" w:w="80"/>
              <w:right w:type="dxa" w:w="100"/>
            </w:tcMar>
            <w:vAlign w:val="center"/>
          </w:tcPr>
          <w:p>
            <w:r>
              <w:rPr>
                <w:b w:val="false"/>
                <w:bCs w:val="false"/>
                <w:sz w:val="19"/>
                <w:szCs w:val="19"/>
              </w:rPr>
              <w:t xml:space="preserve">Customers with no in-house H&amp;S expertise have nowhere to escalate an unclear notifiable-event judgement</w:t>
            </w:r>
          </w:p>
        </w:tc>
        <w:tc>
          <w:tcPr>
            <w:tcW w:type="dxa" w:w="2126"/>
            <w:tcMar>
              <w:top w:type="dxa" w:w="80"/>
              <w:left w:type="dxa" w:w="100"/>
              <w:bottom w:type="dxa" w:w="80"/>
              <w:right w:type="dxa" w:w="100"/>
            </w:tcMar>
            <w:vAlign w:val="center"/>
          </w:tcPr>
          <w:p>
            <w:r>
              <w:rPr>
                <w:b w:val="false"/>
                <w:bCs w:val="false"/>
                <w:sz w:val="19"/>
                <w:szCs w:val="19"/>
              </w:rPr>
              <w:t xml:space="preserve">F9 — Snag Compliance Concierge</w:t>
            </w:r>
          </w:p>
        </w:tc>
        <w:tc>
          <w:tcPr>
            <w:tcW w:type="dxa" w:w="800"/>
            <w:tcMar>
              <w:top w:type="dxa" w:w="80"/>
              <w:left w:type="dxa" w:w="100"/>
              <w:bottom w:type="dxa" w:w="80"/>
              <w:right w:type="dxa" w:w="100"/>
            </w:tcMar>
            <w:vAlign w:val="center"/>
          </w:tcPr>
          <w:p>
            <w:r>
              <w:rPr>
                <w:b w:val="false"/>
                <w:bCs w:val="false"/>
                <w:sz w:val="19"/>
                <w:szCs w:val="19"/>
              </w:rPr>
              <w:t xml:space="preserve">Medium–High (differentiator)</w:t>
            </w:r>
          </w:p>
        </w:tc>
      </w:tr>
    </w:tbl>
    <w:p>
      <w:r>
        <w:br w:type="page"/>
      </w:r>
    </w:p>
    <w:p>
      <w:pPr>
        <w:pStyle w:val="Heading1"/>
        <w:pBdr>
          <w:bottom w:val="single" w:color="2563EB" w:sz="6" w:space="4"/>
        </w:pBdr>
        <w:spacing w:after="140" w:before="320"/>
      </w:pPr>
      <w:r>
        <w:t xml:space="preserve">5. Recommended Product Features</w:t>
      </w:r>
    </w:p>
    <w:p>
      <w:pPr>
        <w:spacing w:after="140"/>
      </w:pPr>
      <w:r>
        <w:t xml:space="preserve">Each item lists what it is and why, a rough effort size (S/M/L), the files or tables it touches, and which phase it belongs to (Section 9).</w:t>
      </w:r>
    </w:p>
    <w:p>
      <w:pPr>
        <w:pStyle w:val="Heading2"/>
        <w:spacing w:after="100" w:before="240"/>
      </w:pPr>
      <w:r>
        <w:t xml:space="preserve">F1 — Notifiable-event decision support</w:t>
      </w:r>
    </w:p>
    <w:p>
      <w:pPr>
        <w:spacing w:after="140"/>
      </w:pPr>
      <w:r>
        <w:rPr>
          <w:b w:val="false"/>
          <w:bCs w:val="false"/>
          <w:i/>
          <w:iCs/>
        </w:rPr>
        <w:t xml:space="preserve">Priority: Highest • Effort: S • Phase 2</w:t>
      </w:r>
    </w:p>
    <w:p>
      <w:pPr>
        <w:spacing w:after="140"/>
      </w:pPr>
      <w:r>
        <w:t xml:space="preserve">A short guided flow, triggered from the existing “Report a Serious Incident” path (</w:t>
      </w:r>
      <w:r>
        <w:rPr>
          <w:rFonts w:ascii="Consolas" w:cs="Consolas" w:eastAsia="Consolas" w:hAnsi="Consolas"/>
          <w:b w:val="false"/>
          <w:bCs w:val="false"/>
          <w:i w:val="false"/>
          <w:iCs w:val="false"/>
          <w:color w:val="B91C1C"/>
          <w:shd w:fill="F3F4F6" w:val="clear"/>
        </w:rPr>
        <w:t xml:space="preserve">ReportIncidentDetailsScreen.tsx</w:t>
      </w:r>
      <w:r>
        <w:t xml:space="preserve"> → </w:t>
      </w:r>
      <w:r>
        <w:rPr>
          <w:rFonts w:ascii="Consolas" w:cs="Consolas" w:eastAsia="Consolas" w:hAnsi="Consolas"/>
          <w:b w:val="false"/>
          <w:bCs w:val="false"/>
          <w:i w:val="false"/>
          <w:iCs w:val="false"/>
          <w:color w:val="B91C1C"/>
          <w:shd w:fill="F3F4F6" w:val="clear"/>
        </w:rPr>
        <w:t xml:space="preserve">ReportIncidentReviewScreen.tsx</w:t>
      </w:r>
      <w:r>
        <w:t xml:space="preserve">), that walks the reporter or supervisor through WorkSafe's notifiable-event criteria (death, notifiable injury/illness, notifiable incident), surfaces a “preserve the site” instruction immediately if the criteria are plausibly met, and calls the already-existing </w:t>
      </w:r>
      <w:r>
        <w:rPr>
          <w:rFonts w:ascii="Consolas" w:cs="Consolas" w:eastAsia="Consolas" w:hAnsi="Consolas"/>
          <w:b w:val="false"/>
          <w:bCs w:val="false"/>
          <w:i w:val="false"/>
          <w:iCs w:val="false"/>
          <w:color w:val="B91C1C"/>
          <w:shd w:fill="F3F4F6" w:val="clear"/>
        </w:rPr>
        <w:t xml:space="preserve">set_notifiable_flag()</w:t>
      </w:r>
      <w:r>
        <w:t xml:space="preserve"> RPC with a timestamp — directly relevant to HSWA's “as soon as possible” notification duty. A fourth outcome, “unsure — escalate for review,” should route into the F9 triage queue rather than forcing a binary yes/no from a reporter under stress.</w:t>
      </w:r>
    </w:p>
    <w:p>
      <w:pPr>
        <w:spacing w:after="140"/>
      </w:pPr>
      <w:r>
        <w:t xml:space="preserve">Touches: a new screen or step in the incident-report stack; </w:t>
      </w:r>
      <w:r>
        <w:rPr>
          <w:rFonts w:ascii="Consolas" w:cs="Consolas" w:eastAsia="Consolas" w:hAnsi="Consolas"/>
          <w:b w:val="false"/>
          <w:bCs w:val="false"/>
          <w:i w:val="false"/>
          <w:iCs w:val="false"/>
          <w:color w:val="B91C1C"/>
          <w:shd w:fill="F3F4F6" w:val="clear"/>
        </w:rPr>
        <w:t xml:space="preserve">src/lib/supabase.ts</w:t>
      </w:r>
      <w:r>
        <w:t xml:space="preserve"> (wire the existing RPC call); </w:t>
      </w:r>
      <w:r>
        <w:rPr>
          <w:rFonts w:ascii="Consolas" w:cs="Consolas" w:eastAsia="Consolas" w:hAnsi="Consolas"/>
          <w:b w:val="false"/>
          <w:bCs w:val="false"/>
          <w:i w:val="false"/>
          <w:iCs w:val="false"/>
          <w:color w:val="B91C1C"/>
          <w:shd w:fill="F3F4F6" w:val="clear"/>
        </w:rPr>
        <w:t xml:space="preserve">IssueDetailScreen.tsx</w:t>
      </w:r>
      <w:r>
        <w:t xml:space="preserve"> (surface the flag/timestamp once set).</w:t>
      </w:r>
    </w:p>
    <w:p>
      <w:pPr>
        <w:pStyle w:val="Heading2"/>
        <w:spacing w:after="100" w:before="240"/>
      </w:pPr>
      <w:r>
        <w:t xml:space="preserve">F2 — Retention &amp; privacy-minimisation policy</w:t>
      </w:r>
    </w:p>
    <w:p>
      <w:pPr>
        <w:spacing w:after="140"/>
      </w:pPr>
      <w:r>
        <w:rPr>
          <w:b w:val="false"/>
          <w:bCs w:val="false"/>
          <w:i/>
          <w:iCs/>
        </w:rPr>
        <w:t xml:space="preserve">Priority: Highest • Effort: M • Phase 2</w:t>
      </w:r>
    </w:p>
    <w:p>
      <w:pPr>
        <w:spacing w:after="140"/>
      </w:pPr>
      <w:r>
        <w:t xml:space="preserve">Because hard deletion of a snag is deliberately and permanently blocked (Section 3), the right lever is minimisation, not deletion: a scheduled step that redacts or generalises non-essential personal/health detail (e.g. witness contact detail, granular medical description) once a record passes a defined age, while preserving the core notifiable-event facts required for the 5-year HSWA record. Pair this with an in-app, customer-facing retention statement (what's kept, for how long, and why) so the policy is visible, not just enforced server-side.</w:t>
      </w:r>
    </w:p>
    <w:p>
      <w:pPr>
        <w:spacing w:after="140"/>
      </w:pPr>
      <w:r>
        <w:t xml:space="preserve">Touches: a new scheduled job alongside the existing </w:t>
      </w:r>
      <w:r>
        <w:rPr>
          <w:rFonts w:ascii="Consolas" w:cs="Consolas" w:eastAsia="Consolas" w:hAnsi="Consolas"/>
          <w:b w:val="false"/>
          <w:bCs w:val="false"/>
          <w:i w:val="false"/>
          <w:iCs w:val="false"/>
          <w:color w:val="B91C1C"/>
          <w:shd w:fill="F3F4F6" w:val="clear"/>
        </w:rPr>
        <w:t xml:space="preserve">overdue_actions_digest_cron</w:t>
      </w:r>
      <w:r>
        <w:t xml:space="preserve"> pattern; a documented policy surfaced in </w:t>
      </w:r>
      <w:r>
        <w:rPr>
          <w:rFonts w:ascii="Consolas" w:cs="Consolas" w:eastAsia="Consolas" w:hAnsi="Consolas"/>
          <w:b w:val="false"/>
          <w:bCs w:val="false"/>
          <w:i w:val="false"/>
          <w:iCs w:val="false"/>
          <w:color w:val="B91C1C"/>
          <w:shd w:fill="F3F4F6" w:val="clear"/>
        </w:rPr>
        <w:t xml:space="preserve">ProfileScreen.tsx</w:t>
      </w:r>
      <w:r>
        <w:t xml:space="preserve"> or org settings; no change to the existing delete-block (it should stay as-is).</w:t>
      </w:r>
    </w:p>
    <w:p>
      <w:pPr>
        <w:pStyle w:val="Heading2"/>
        <w:spacing w:after="100" w:before="240"/>
      </w:pPr>
      <w:r>
        <w:t xml:space="preserve">F3 — Governance due-diligence export</w:t>
      </w:r>
    </w:p>
    <w:p>
      <w:pPr>
        <w:spacing w:after="140"/>
      </w:pPr>
      <w:r>
        <w:rPr>
          <w:b w:val="false"/>
          <w:bCs w:val="false"/>
          <w:i/>
          <w:iCs/>
        </w:rPr>
        <w:t xml:space="preserve">Priority: Medium • Effort: M • Phase 3</w:t>
      </w:r>
    </w:p>
    <w:p>
      <w:pPr>
        <w:spacing w:after="140"/>
      </w:pPr>
      <w:r>
        <w:t xml:space="preserve">A periodic (e.g. quarterly) PDF/CSV summary of open risks, control review cadence, and resourcing — built on the existing </w:t>
      </w:r>
      <w:r>
        <w:rPr>
          <w:rFonts w:ascii="Consolas" w:cs="Consolas" w:eastAsia="Consolas" w:hAnsi="Consolas"/>
          <w:b w:val="false"/>
          <w:bCs w:val="false"/>
          <w:i w:val="false"/>
          <w:iCs w:val="false"/>
          <w:color w:val="B91C1C"/>
          <w:shd w:fill="F3F4F6" w:val="clear"/>
        </w:rPr>
        <w:t xml:space="preserve">get_org_stats()</w:t>
      </w:r>
      <w:r>
        <w:t xml:space="preserve"> and </w:t>
      </w:r>
      <w:r>
        <w:rPr>
          <w:rFonts w:ascii="Consolas" w:cs="Consolas" w:eastAsia="Consolas" w:hAnsi="Consolas"/>
          <w:b w:val="false"/>
          <w:bCs w:val="false"/>
          <w:i w:val="false"/>
          <w:iCs w:val="false"/>
          <w:color w:val="B91C1C"/>
          <w:shd w:fill="F3F4F6" w:val="clear"/>
        </w:rPr>
        <w:t xml:space="preserve">get_site_breakdown()</w:t>
      </w:r>
      <w:r>
        <w:t xml:space="preserve"> RPCs, which already power </w:t>
      </w:r>
      <w:r>
        <w:rPr>
          <w:rFonts w:ascii="Consolas" w:cs="Consolas" w:eastAsia="Consolas" w:hAnsi="Consolas"/>
          <w:b w:val="false"/>
          <w:bCs w:val="false"/>
          <w:i w:val="false"/>
          <w:iCs w:val="false"/>
          <w:color w:val="B91C1C"/>
          <w:shd w:fill="F3F4F6" w:val="clear"/>
        </w:rPr>
        <w:t xml:space="preserve">ReportsScreen.tsx</w:t>
      </w:r>
      <w:r>
        <w:t xml:space="preserve"> and </w:t>
      </w:r>
      <w:r>
        <w:rPr>
          <w:rFonts w:ascii="Consolas" w:cs="Consolas" w:eastAsia="Consolas" w:hAnsi="Consolas"/>
          <w:b w:val="false"/>
          <w:bCs w:val="false"/>
          <w:i w:val="false"/>
          <w:iCs w:val="false"/>
          <w:color w:val="B91C1C"/>
          <w:shd w:fill="F3F4F6" w:val="clear"/>
        </w:rPr>
        <w:t xml:space="preserve">AdminDashboardScreen.tsx</w:t>
      </w:r>
      <w:r>
        <w:t xml:space="preserve"> — reframed and packaged as the artefact an officer keeps on file to evidence due diligence, rather than a general stats screen.</w:t>
      </w:r>
    </w:p>
    <w:p>
      <w:pPr>
        <w:spacing w:after="140"/>
      </w:pPr>
      <w:r>
        <w:t xml:space="preserve">Touches: a new export edge function following the </w:t>
      </w:r>
      <w:r>
        <w:rPr>
          <w:rFonts w:ascii="Consolas" w:cs="Consolas" w:eastAsia="Consolas" w:hAnsi="Consolas"/>
          <w:b w:val="false"/>
          <w:bCs w:val="false"/>
          <w:i w:val="false"/>
          <w:iCs w:val="false"/>
          <w:color w:val="B91C1C"/>
          <w:shd w:fill="F3F4F6" w:val="clear"/>
        </w:rPr>
        <w:t xml:space="preserve">export-investigation</w:t>
      </w:r>
      <w:r>
        <w:t xml:space="preserve"> pattern; a new button on </w:t>
      </w:r>
      <w:r>
        <w:rPr>
          <w:rFonts w:ascii="Consolas" w:cs="Consolas" w:eastAsia="Consolas" w:hAnsi="Consolas"/>
          <w:b w:val="false"/>
          <w:bCs w:val="false"/>
          <w:i w:val="false"/>
          <w:iCs w:val="false"/>
          <w:color w:val="B91C1C"/>
          <w:shd w:fill="F3F4F6" w:val="clear"/>
        </w:rPr>
        <w:t xml:space="preserve">ReportsScreen.tsx</w:t>
      </w:r>
      <w:r>
        <w:t xml:space="preserve">.</w:t>
      </w:r>
    </w:p>
    <w:p>
      <w:pPr>
        <w:pStyle w:val="Heading2"/>
        <w:spacing w:after="100" w:before="240"/>
      </w:pPr>
      <w:r>
        <w:t xml:space="preserve">F4 — Multi-PCBU notification nomination</w:t>
      </w:r>
    </w:p>
    <w:p>
      <w:pPr>
        <w:spacing w:after="140"/>
      </w:pPr>
      <w:r>
        <w:rPr>
          <w:b w:val="false"/>
          <w:bCs w:val="false"/>
          <w:i/>
          <w:iCs/>
        </w:rPr>
        <w:t xml:space="preserve">Priority: Medium • Effort: S • Phase 3</w:t>
      </w:r>
    </w:p>
    <w:p>
      <w:pPr>
        <w:spacing w:after="140"/>
      </w:pPr>
      <w:r>
        <w:t xml:space="preserve">HSWA requires only one notification per event even where multiple PCBUs are involved, but all remain responsible for it happening. Snag already has the structural foundation for this via </w:t>
      </w:r>
      <w:r>
        <w:rPr>
          <w:rFonts w:ascii="Consolas" w:cs="Consolas" w:eastAsia="Consolas" w:hAnsi="Consolas"/>
          <w:b w:val="false"/>
          <w:bCs w:val="false"/>
          <w:i w:val="false"/>
          <w:iCs w:val="false"/>
          <w:color w:val="B91C1C"/>
          <w:shd w:fill="F3F4F6" w:val="clear"/>
        </w:rPr>
        <w:t xml:space="preserve">org_memberships</w:t>
      </w:r>
      <w:r>
        <w:t xml:space="preserve"> and cross-org </w:t>
      </w:r>
      <w:r>
        <w:rPr>
          <w:rFonts w:ascii="Consolas" w:cs="Consolas" w:eastAsia="Consolas" w:hAnsi="Consolas"/>
          <w:b w:val="false"/>
          <w:bCs w:val="false"/>
          <w:i w:val="false"/>
          <w:iCs w:val="false"/>
          <w:color w:val="B91C1C"/>
          <w:shd w:fill="F3F4F6" w:val="clear"/>
        </w:rPr>
        <w:t xml:space="preserve">site_members</w:t>
      </w:r>
      <w:r>
        <w:t xml:space="preserve"> (built for contractors). Add a lightweight field on a serious snag recording which PCBU/org has taken on notification responsibility, visible to all involved parties.</w:t>
      </w:r>
    </w:p>
    <w:p>
      <w:pPr>
        <w:spacing w:after="140"/>
      </w:pPr>
      <w:r>
        <w:t xml:space="preserve">Touches: a new nullable column on </w:t>
      </w:r>
      <w:r>
        <w:rPr>
          <w:rFonts w:ascii="Consolas" w:cs="Consolas" w:eastAsia="Consolas" w:hAnsi="Consolas"/>
          <w:b w:val="false"/>
          <w:bCs w:val="false"/>
          <w:i w:val="false"/>
          <w:iCs w:val="false"/>
          <w:color w:val="B91C1C"/>
          <w:shd w:fill="F3F4F6" w:val="clear"/>
        </w:rPr>
        <w:t xml:space="preserve">snags</w:t>
      </w:r>
      <w:r>
        <w:t xml:space="preserve"> plus a small RPC; a field in </w:t>
      </w:r>
      <w:r>
        <w:rPr>
          <w:rFonts w:ascii="Consolas" w:cs="Consolas" w:eastAsia="Consolas" w:hAnsi="Consolas"/>
          <w:b w:val="false"/>
          <w:bCs w:val="false"/>
          <w:i w:val="false"/>
          <w:iCs w:val="false"/>
          <w:color w:val="B91C1C"/>
          <w:shd w:fill="F3F4F6" w:val="clear"/>
        </w:rPr>
        <w:t xml:space="preserve">ManageIssuePanel.tsx</w:t>
      </w:r>
      <w:r>
        <w:t xml:space="preserve"> or </w:t>
      </w:r>
      <w:r>
        <w:rPr>
          <w:rFonts w:ascii="Consolas" w:cs="Consolas" w:eastAsia="Consolas" w:hAnsi="Consolas"/>
          <w:b w:val="false"/>
          <w:bCs w:val="false"/>
          <w:i w:val="false"/>
          <w:iCs w:val="false"/>
          <w:color w:val="B91C1C"/>
          <w:shd w:fill="F3F4F6" w:val="clear"/>
        </w:rPr>
        <w:t xml:space="preserve">InvestigationPanel.tsx</w:t>
      </w:r>
      <w:r>
        <w:t xml:space="preserve">.</w:t>
      </w:r>
    </w:p>
    <w:p>
      <w:pPr>
        <w:pStyle w:val="Heading2"/>
        <w:spacing w:after="100" w:before="240"/>
      </w:pPr>
      <w:r>
        <w:t xml:space="preserve">F5 — HSR role &amp; visibility</w:t>
      </w:r>
    </w:p>
    <w:p>
      <w:pPr>
        <w:spacing w:after="140"/>
      </w:pPr>
      <w:r>
        <w:rPr>
          <w:b w:val="false"/>
          <w:bCs w:val="false"/>
          <w:i/>
          <w:iCs/>
        </w:rPr>
        <w:t xml:space="preserve">Priority: Medium • Effort: L • Phase 4</w:t>
      </w:r>
    </w:p>
    <w:p>
      <w:pPr>
        <w:spacing w:after="140"/>
      </w:pPr>
      <w:r>
        <w:t xml:space="preserve">No Health &amp; Safety Representative role exists today — the entire schema recognises exactly three roles (</w:t>
      </w:r>
      <w:r>
        <w:rPr>
          <w:rFonts w:ascii="Consolas" w:cs="Consolas" w:eastAsia="Consolas" w:hAnsi="Consolas"/>
          <w:b w:val="false"/>
          <w:bCs w:val="false"/>
          <w:i w:val="false"/>
          <w:iCs w:val="false"/>
          <w:color w:val="B91C1C"/>
          <w:shd w:fill="F3F4F6" w:val="clear"/>
        </w:rPr>
        <w:t xml:space="preserve">worker</w:t>
      </w:r>
      <w:r>
        <w:t xml:space="preserve">, </w:t>
      </w:r>
      <w:r>
        <w:rPr>
          <w:rFonts w:ascii="Consolas" w:cs="Consolas" w:eastAsia="Consolas" w:hAnsi="Consolas"/>
          <w:b w:val="false"/>
          <w:bCs w:val="false"/>
          <w:i w:val="false"/>
          <w:iCs w:val="false"/>
          <w:color w:val="B91C1C"/>
          <w:shd w:fill="F3F4F6" w:val="clear"/>
        </w:rPr>
        <w:t xml:space="preserve">supervisor</w:t>
      </w:r>
      <w:r>
        <w:t xml:space="preserve">, </w:t>
      </w:r>
      <w:r>
        <w:rPr>
          <w:rFonts w:ascii="Consolas" w:cs="Consolas" w:eastAsia="Consolas" w:hAnsi="Consolas"/>
          <w:b w:val="false"/>
          <w:bCs w:val="false"/>
          <w:i w:val="false"/>
          <w:iCs w:val="false"/>
          <w:color w:val="B91C1C"/>
          <w:shd w:fill="F3F4F6" w:val="clear"/>
        </w:rPr>
        <w:t xml:space="preserve">officer_admin</w:t>
      </w:r>
      <w:r>
        <w:t xml:space="preserve">), and every RLS policy and RPC role check in the codebase is a hardcoded three-way string comparison rather than a general permissions abstraction. Adding a fourth role (or an HSR flag layered on top of </w:t>
      </w:r>
      <w:r>
        <w:rPr>
          <w:rFonts w:ascii="Consolas" w:cs="Consolas" w:eastAsia="Consolas" w:hAnsi="Consolas"/>
          <w:b w:val="false"/>
          <w:bCs w:val="false"/>
          <w:i w:val="false"/>
          <w:iCs w:val="false"/>
          <w:color w:val="B91C1C"/>
          <w:shd w:fill="F3F4F6" w:val="clear"/>
        </w:rPr>
        <w:t xml:space="preserve">worker</w:t>
      </w:r>
      <w:r>
        <w:t xml:space="preserve">) is a genuinely wider change than the other items here: it likely touches RLS policies and role checks across most tables, not just one screen. Recommend either a new </w:t>
      </w:r>
      <w:r>
        <w:rPr>
          <w:rFonts w:ascii="Consolas" w:cs="Consolas" w:eastAsia="Consolas" w:hAnsi="Consolas"/>
          <w:b w:val="false"/>
          <w:bCs w:val="false"/>
          <w:i w:val="false"/>
          <w:iCs w:val="false"/>
          <w:color w:val="B91C1C"/>
          <w:shd w:fill="F3F4F6" w:val="clear"/>
        </w:rPr>
        <w:t xml:space="preserve">user_role</w:t>
      </w:r>
      <w:r>
        <w:t xml:space="preserve"> enum value with its own narrower visibility scope (relevant hazard/incident data, not full site access), or a boolean </w:t>
      </w:r>
      <w:r>
        <w:rPr>
          <w:rFonts w:ascii="Consolas" w:cs="Consolas" w:eastAsia="Consolas" w:hAnsi="Consolas"/>
          <w:b w:val="false"/>
          <w:bCs w:val="false"/>
          <w:i w:val="false"/>
          <w:iCs w:val="false"/>
          <w:color w:val="B91C1C"/>
          <w:shd w:fill="F3F4F6" w:val="clear"/>
        </w:rPr>
        <w:t xml:space="preserve">is_hsr</w:t>
      </w:r>
      <w:r>
        <w:t xml:space="preserve"> flag on </w:t>
      </w:r>
      <w:r>
        <w:rPr>
          <w:rFonts w:ascii="Consolas" w:cs="Consolas" w:eastAsia="Consolas" w:hAnsi="Consolas"/>
          <w:b w:val="false"/>
          <w:bCs w:val="false"/>
          <w:i w:val="false"/>
          <w:iCs w:val="false"/>
          <w:color w:val="B91C1C"/>
          <w:shd w:fill="F3F4F6" w:val="clear"/>
        </w:rPr>
        <w:t xml:space="preserve">profiles</w:t>
      </w:r>
      <w:r>
        <w:t xml:space="preserve"> that layers onto the existing </w:t>
      </w:r>
      <w:r>
        <w:rPr>
          <w:rFonts w:ascii="Consolas" w:cs="Consolas" w:eastAsia="Consolas" w:hAnsi="Consolas"/>
          <w:b w:val="false"/>
          <w:bCs w:val="false"/>
          <w:i w:val="false"/>
          <w:iCs w:val="false"/>
          <w:color w:val="B91C1C"/>
          <w:shd w:fill="F3F4F6" w:val="clear"/>
        </w:rPr>
        <w:t xml:space="preserve">worker</w:t>
      </w:r>
      <w:r>
        <w:t xml:space="preserve"> role — the flag approach is lower-risk given how widely the role check is duplicated.</w:t>
      </w:r>
    </w:p>
    <w:p>
      <w:pPr>
        <w:spacing w:after="140"/>
      </w:pPr>
      <w:r>
        <w:t xml:space="preserve">Touches: </w:t>
      </w:r>
      <w:r>
        <w:rPr>
          <w:rFonts w:ascii="Consolas" w:cs="Consolas" w:eastAsia="Consolas" w:hAnsi="Consolas"/>
          <w:b w:val="false"/>
          <w:bCs w:val="false"/>
          <w:i w:val="false"/>
          <w:iCs w:val="false"/>
          <w:color w:val="B91C1C"/>
          <w:shd w:fill="F3F4F6" w:val="clear"/>
        </w:rPr>
        <w:t xml:space="preserve">profiles</w:t>
      </w:r>
      <w:r>
        <w:t xml:space="preserve"> migration; every RLS policy and SECURITY DEFINER RPC that currently branches on role; a new visibility scope in </w:t>
      </w:r>
      <w:r>
        <w:rPr>
          <w:rFonts w:ascii="Consolas" w:cs="Consolas" w:eastAsia="Consolas" w:hAnsi="Consolas"/>
          <w:b w:val="false"/>
          <w:bCs w:val="false"/>
          <w:i w:val="false"/>
          <w:iCs w:val="false"/>
          <w:color w:val="B91C1C"/>
          <w:shd w:fill="F3F4F6" w:val="clear"/>
        </w:rPr>
        <w:t xml:space="preserve">ManageOrganisationScreen.tsx</w:t>
      </w:r>
      <w:r>
        <w:t xml:space="preserve">.</w:t>
      </w:r>
    </w:p>
    <w:p>
      <w:pPr>
        <w:pStyle w:val="Heading2"/>
        <w:spacing w:after="100" w:before="240"/>
      </w:pPr>
      <w:r>
        <w:t xml:space="preserve">F6 — Critical-risk tag (dormant field only)</w:t>
      </w:r>
    </w:p>
    <w:p>
      <w:pPr>
        <w:spacing w:after="140"/>
      </w:pPr>
      <w:r>
        <w:rPr>
          <w:b w:val="false"/>
          <w:bCs w:val="false"/>
          <w:i/>
          <w:iCs/>
        </w:rPr>
        <w:t xml:space="preserve">Priority: Backlog — revisit after 7 Nov 2026 election • Effort: S • Not phased</w:t>
      </w:r>
    </w:p>
    <w:p>
      <w:pPr>
        <w:spacing w:after="140"/>
      </w:pPr>
      <w:r>
        <w:t xml:space="preserve">Add the field and a taxonomy aligned to the 2026 Amendment Act's “critical risk” definition and Schedule 2 of the ACC Act, but do not switch on any customer-facing workflow around it. MVP-SPEC.md already lists “critical-risk registers” as explicitly out of scope, which supports holding this until the Amendment Act's post-election fate is clear — building a customer-facing feature around a law that could still change, or be repealed, is the wrong bet to make now.</w:t>
      </w:r>
    </w:p>
    <w:p>
      <w:pPr>
        <w:pStyle w:val="Heading2"/>
        <w:spacing w:after="100" w:before="240"/>
      </w:pPr>
      <w:r>
        <w:t xml:space="preserve">F7 — Psychosocial hazard category</w:t>
      </w:r>
    </w:p>
    <w:p>
      <w:pPr>
        <w:spacing w:after="140"/>
      </w:pPr>
      <w:r>
        <w:rPr>
          <w:b w:val="false"/>
          <w:bCs w:val="false"/>
          <w:i/>
          <w:iCs/>
        </w:rPr>
        <w:t xml:space="preserve">Priority: Backlog — revisit after 7 Nov 2026 election • Effort: M • Not phased</w:t>
      </w:r>
    </w:p>
    <w:p>
      <w:pPr>
        <w:spacing w:after="140"/>
      </w:pPr>
      <w:r>
        <w:t xml:space="preserve">When this is picked up, recommend a tag or sub-classification field under the existing </w:t>
      </w:r>
      <w:r>
        <w:rPr>
          <w:rFonts w:ascii="Consolas" w:cs="Consolas" w:eastAsia="Consolas" w:hAnsi="Consolas"/>
          <w:b w:val="false"/>
          <w:bCs w:val="false"/>
          <w:i w:val="false"/>
          <w:iCs w:val="false"/>
          <w:color w:val="B91C1C"/>
          <w:shd w:fill="F3F4F6" w:val="clear"/>
        </w:rPr>
        <w:t xml:space="preserve">hazard</w:t>
      </w:r>
      <w:r>
        <w:t xml:space="preserve"> kind rather than a new </w:t>
      </w:r>
      <w:r>
        <w:rPr>
          <w:rFonts w:ascii="Consolas" w:cs="Consolas" w:eastAsia="Consolas" w:hAnsi="Consolas"/>
          <w:b w:val="false"/>
          <w:bCs w:val="false"/>
          <w:i w:val="false"/>
          <w:iCs w:val="false"/>
          <w:color w:val="B91C1C"/>
          <w:shd w:fill="F3F4F6" w:val="clear"/>
        </w:rPr>
        <w:t xml:space="preserve">snag_kind</w:t>
      </w:r>
      <w:r>
        <w:t xml:space="preserve"> value — a new kind would need its own lane-derivation and status-gate logic (</w:t>
      </w:r>
      <w:r>
        <w:rPr>
          <w:rFonts w:ascii="Consolas" w:cs="Consolas" w:eastAsia="Consolas" w:hAnsi="Consolas"/>
          <w:b w:val="false"/>
          <w:bCs w:val="false"/>
          <w:i w:val="false"/>
          <w:iCs w:val="false"/>
          <w:color w:val="B91C1C"/>
          <w:shd w:fill="F3F4F6" w:val="clear"/>
        </w:rPr>
        <w:t xml:space="preserve">snags.lane</w:t>
      </w:r>
      <w:r>
        <w:t xml:space="preserve"> is a generated column keyed off kind), whereas a sub-tag can reuse the serious lane's existing investigation flow. Elevated default visibility (restricted to a nominated H&amp;S lead, not all supervisors) will be needed given its sensitivity as health information — this should piggyback on whatever visibility mechanism F5 introduces.</w:t>
      </w:r>
    </w:p>
    <w:p>
      <w:pPr>
        <w:pStyle w:val="Heading2"/>
        <w:spacing w:after="100" w:before="240"/>
      </w:pPr>
      <w:r>
        <w:t xml:space="preserve">F8 — Debrief mobile UI</w:t>
      </w:r>
    </w:p>
    <w:p>
      <w:pPr>
        <w:spacing w:after="140"/>
      </w:pPr>
      <w:r>
        <w:rPr>
          <w:b w:val="false"/>
          <w:bCs w:val="false"/>
          <w:i/>
          <w:iCs/>
        </w:rPr>
        <w:t xml:space="preserve">Priority: Medium • Effort: M • Phase 3</w:t>
      </w:r>
    </w:p>
    <w:p>
      <w:pPr>
        <w:spacing w:after="140"/>
      </w:pPr>
      <w:r>
        <w:t xml:space="preserve">Not in the source analysis, but found during this review: the full debrief schema and RPC surface (</w:t>
      </w:r>
      <w:r>
        <w:rPr>
          <w:rFonts w:ascii="Consolas" w:cs="Consolas" w:eastAsia="Consolas" w:hAnsi="Consolas"/>
          <w:b w:val="false"/>
          <w:bCs w:val="false"/>
          <w:i w:val="false"/>
          <w:iCs w:val="false"/>
          <w:color w:val="B91C1C"/>
          <w:shd w:fill="F3F4F6" w:val="clear"/>
        </w:rPr>
        <w:t xml:space="preserve">snag_debriefs</w:t>
      </w:r>
      <w:r>
        <w:t xml:space="preserve">, </w:t>
      </w:r>
      <w:r>
        <w:rPr>
          <w:rFonts w:ascii="Consolas" w:cs="Consolas" w:eastAsia="Consolas" w:hAnsi="Consolas"/>
          <w:b w:val="false"/>
          <w:bCs w:val="false"/>
          <w:i w:val="false"/>
          <w:iCs w:val="false"/>
          <w:color w:val="B91C1C"/>
          <w:shd w:fill="F3F4F6" w:val="clear"/>
        </w:rPr>
        <w:t xml:space="preserve">debrief_findings</w:t>
      </w:r>
      <w:r>
        <w:t xml:space="preserve">, </w:t>
      </w:r>
      <w:r>
        <w:rPr>
          <w:rFonts w:ascii="Consolas" w:cs="Consolas" w:eastAsia="Consolas" w:hAnsi="Consolas"/>
          <w:b w:val="false"/>
          <w:bCs w:val="false"/>
          <w:i w:val="false"/>
          <w:iCs w:val="false"/>
          <w:color w:val="B91C1C"/>
          <w:shd w:fill="F3F4F6" w:val="clear"/>
        </w:rPr>
        <w:t xml:space="preserve">debrief_attendees</w:t>
      </w:r>
      <w:r>
        <w:t xml:space="preserve">, </w:t>
      </w:r>
      <w:r>
        <w:rPr>
          <w:rFonts w:ascii="Consolas" w:cs="Consolas" w:eastAsia="Consolas" w:hAnsi="Consolas"/>
          <w:b w:val="false"/>
          <w:bCs w:val="false"/>
          <w:i w:val="false"/>
          <w:iCs w:val="false"/>
          <w:color w:val="B91C1C"/>
          <w:shd w:fill="F3F4F6" w:val="clear"/>
        </w:rPr>
        <w:t xml:space="preserve">debrief_lessons</w:t>
      </w:r>
      <w:r>
        <w:t xml:space="preserve">, </w:t>
      </w:r>
      <w:r>
        <w:rPr>
          <w:rFonts w:ascii="Consolas" w:cs="Consolas" w:eastAsia="Consolas" w:hAnsi="Consolas"/>
          <w:b w:val="false"/>
          <w:bCs w:val="false"/>
          <w:i w:val="false"/>
          <w:iCs w:val="false"/>
          <w:color w:val="B91C1C"/>
          <w:shd w:fill="F3F4F6" w:val="clear"/>
        </w:rPr>
        <w:t xml:space="preserve">start_debrief</w:t>
      </w:r>
      <w:r>
        <w:t xml:space="preserve">/</w:t>
      </w:r>
      <w:r>
        <w:rPr>
          <w:rFonts w:ascii="Consolas" w:cs="Consolas" w:eastAsia="Consolas" w:hAnsi="Consolas"/>
          <w:b w:val="false"/>
          <w:bCs w:val="false"/>
          <w:i w:val="false"/>
          <w:iCs w:val="false"/>
          <w:color w:val="B91C1C"/>
          <w:shd w:fill="F3F4F6" w:val="clear"/>
        </w:rPr>
        <w:t xml:space="preserve">complete_debrief</w:t>
      </w:r>
      <w:r>
        <w:t xml:space="preserve">) already exists server-side with no mobile screen calling any of it. This is worth closing opportunistically because it's the missing half of the “investigate what happened, work out what to change, record it” loop that WorkSafe treats as good practice — RCA and corrective actions already cover the first two steps in-app; the debrief is the record-keeping step. Also fixes the stale in-code comment in </w:t>
      </w:r>
      <w:r>
        <w:rPr>
          <w:rFonts w:ascii="Consolas" w:cs="Consolas" w:eastAsia="Consolas" w:hAnsi="Consolas"/>
          <w:b w:val="false"/>
          <w:bCs w:val="false"/>
          <w:i w:val="false"/>
          <w:iCs w:val="false"/>
          <w:color w:val="B91C1C"/>
          <w:shd w:fill="F3F4F6" w:val="clear"/>
        </w:rPr>
        <w:t xml:space="preserve">InvestigationPanel.tsx</w:t>
      </w:r>
      <w:r>
        <w:t xml:space="preserve"> claiming debriefs “stay on the web app.”</w:t>
      </w:r>
    </w:p>
    <w:p>
      <w:pPr>
        <w:spacing w:after="140"/>
      </w:pPr>
      <w:r>
        <w:t xml:space="preserve">Touches: a new panel alongside </w:t>
      </w:r>
      <w:r>
        <w:rPr>
          <w:rFonts w:ascii="Consolas" w:cs="Consolas" w:eastAsia="Consolas" w:hAnsi="Consolas"/>
          <w:b w:val="false"/>
          <w:bCs w:val="false"/>
          <w:i w:val="false"/>
          <w:iCs w:val="false"/>
          <w:color w:val="B91C1C"/>
          <w:shd w:fill="F3F4F6" w:val="clear"/>
        </w:rPr>
        <w:t xml:space="preserve">RcaPanel.tsx</w:t>
      </w:r>
      <w:r>
        <w:t xml:space="preserve">/</w:t>
      </w:r>
      <w:r>
        <w:rPr>
          <w:rFonts w:ascii="Consolas" w:cs="Consolas" w:eastAsia="Consolas" w:hAnsi="Consolas"/>
          <w:b w:val="false"/>
          <w:bCs w:val="false"/>
          <w:i w:val="false"/>
          <w:iCs w:val="false"/>
          <w:color w:val="B91C1C"/>
          <w:shd w:fill="F3F4F6" w:val="clear"/>
        </w:rPr>
        <w:t xml:space="preserve">CorrectiveActionsPanel.tsx</w:t>
      </w:r>
      <w:r>
        <w:t xml:space="preserve"> on </w:t>
      </w:r>
      <w:r>
        <w:rPr>
          <w:rFonts w:ascii="Consolas" w:cs="Consolas" w:eastAsia="Consolas" w:hAnsi="Consolas"/>
          <w:b w:val="false"/>
          <w:bCs w:val="false"/>
          <w:i w:val="false"/>
          <w:iCs w:val="false"/>
          <w:color w:val="B91C1C"/>
          <w:shd w:fill="F3F4F6" w:val="clear"/>
        </w:rPr>
        <w:t xml:space="preserve">IssueDetailScreen.tsx</w:t>
      </w:r>
      <w:r>
        <w:t xml:space="preserve">; wiring the five existing RPCs into </w:t>
      </w:r>
      <w:r>
        <w:rPr>
          <w:rFonts w:ascii="Consolas" w:cs="Consolas" w:eastAsia="Consolas" w:hAnsi="Consolas"/>
          <w:b w:val="false"/>
          <w:bCs w:val="false"/>
          <w:i w:val="false"/>
          <w:iCs w:val="false"/>
          <w:color w:val="B91C1C"/>
          <w:shd w:fill="F3F4F6" w:val="clear"/>
        </w:rPr>
        <w:t xml:space="preserve">src/lib/supabase.ts</w:t>
      </w:r>
      <w:r>
        <w:t xml:space="preserve">.</w:t>
      </w:r>
    </w:p>
    <w:p>
      <w:pPr>
        <w:pStyle w:val="Heading2"/>
        <w:spacing w:after="100" w:before="240"/>
      </w:pPr>
      <w:r>
        <w:t xml:space="preserve">F9 — Snag Compliance Concierge (fully specified)</w:t>
      </w:r>
    </w:p>
    <w:p>
      <w:pPr>
        <w:spacing w:after="140"/>
      </w:pPr>
      <w:r>
        <w:rPr>
          <w:b w:val="false"/>
          <w:bCs w:val="false"/>
          <w:i/>
          <w:iCs/>
        </w:rPr>
        <w:t xml:space="preserve">Priority: Medium–High, differentiator • Effort: L • Phase 4</w:t>
      </w:r>
    </w:p>
    <w:p>
      <w:pPr>
        <w:spacing w:after="140"/>
      </w:pPr>
      <w:r>
        <w:t xml:space="preserve">The “behind-the-scenes team” feature: a Snag-side internal role and console that lets Snag's own staff help customers triage the hardest calls — particularly the F1 “unsure” outcome, and any critical-severity or notifiable-flagged snag — without ever becoming part of the customer's own investigation record or workforce.</w:t>
      </w:r>
    </w:p>
    <w:p>
      <w:pPr>
        <w:pStyle w:val="Heading3"/>
        <w:spacing w:after="80" w:before="180"/>
      </w:pPr>
      <w:r>
        <w:t xml:space="preserve">Role &amp; data model</w:t>
      </w:r>
    </w:p>
    <w:p>
      <w:pPr>
        <w:pStyle w:val="ListParagraph"/>
        <w:numPr>
          <w:ilvl w:val="0"/>
          <w:numId w:val="2"/>
        </w:numPr>
        <w:spacing w:after="80"/>
      </w:pPr>
      <w:r>
        <w:t xml:space="preserve">A new, structurally separate </w:t>
      </w:r>
      <w:r>
        <w:rPr>
          <w:rFonts w:ascii="Consolas" w:cs="Consolas" w:eastAsia="Consolas" w:hAnsi="Consolas"/>
          <w:b w:val="false"/>
          <w:bCs w:val="false"/>
          <w:i w:val="false"/>
          <w:iCs w:val="false"/>
          <w:color w:val="B91C1C"/>
          <w:shd w:fill="F3F4F6" w:val="clear"/>
        </w:rPr>
        <w:t xml:space="preserve">snag_staff</w:t>
      </w:r>
      <w:r>
        <w:t xml:space="preserve"> table (id, name, email, active) — deliberately kept out of </w:t>
      </w:r>
      <w:r>
        <w:rPr>
          <w:rFonts w:ascii="Consolas" w:cs="Consolas" w:eastAsia="Consolas" w:hAnsi="Consolas"/>
          <w:b w:val="false"/>
          <w:bCs w:val="false"/>
          <w:i w:val="false"/>
          <w:iCs w:val="false"/>
          <w:color w:val="B91C1C"/>
          <w:shd w:fill="F3F4F6" w:val="clear"/>
        </w:rPr>
        <w:t xml:space="preserve">profiles</w:t>
      </w:r>
      <w:r>
        <w:t xml:space="preserve">/</w:t>
      </w:r>
      <w:r>
        <w:rPr>
          <w:rFonts w:ascii="Consolas" w:cs="Consolas" w:eastAsia="Consolas" w:hAnsi="Consolas"/>
          <w:b w:val="false"/>
          <w:bCs w:val="false"/>
          <w:i w:val="false"/>
          <w:iCs w:val="false"/>
          <w:color w:val="B91C1C"/>
          <w:shd w:fill="F3F4F6" w:val="clear"/>
        </w:rPr>
        <w:t xml:space="preserve">org_memberships</w:t>
      </w:r>
      <w:r>
        <w:t xml:space="preserve"> so internal staff never occupy a customer seat or appear in any customer org's member list.</w:t>
      </w:r>
    </w:p>
    <w:p>
      <w:pPr>
        <w:pStyle w:val="ListParagraph"/>
        <w:numPr>
          <w:ilvl w:val="0"/>
          <w:numId w:val="2"/>
        </w:numPr>
        <w:spacing w:after="80"/>
      </w:pPr>
      <w:r>
        <w:t xml:space="preserve">A cross-org RLS carve-out: </w:t>
      </w:r>
      <w:r>
        <w:rPr>
          <w:rFonts w:ascii="Consolas" w:cs="Consolas" w:eastAsia="Consolas" w:hAnsi="Consolas"/>
          <w:b w:val="false"/>
          <w:bCs w:val="false"/>
          <w:i w:val="false"/>
          <w:iCs w:val="false"/>
          <w:color w:val="B91C1C"/>
          <w:shd w:fill="F3F4F6" w:val="clear"/>
        </w:rPr>
        <w:t xml:space="preserve">snag_staff</w:t>
      </w:r>
      <w:r>
        <w:t xml:space="preserve"> members get read access, via a SECURITY DEFINER helper analogous to the existing </w:t>
      </w:r>
      <w:r>
        <w:rPr>
          <w:rFonts w:ascii="Consolas" w:cs="Consolas" w:eastAsia="Consolas" w:hAnsi="Consolas"/>
          <w:b w:val="false"/>
          <w:bCs w:val="false"/>
          <w:i w:val="false"/>
          <w:iCs w:val="false"/>
          <w:color w:val="B91C1C"/>
          <w:shd w:fill="F3F4F6" w:val="clear"/>
        </w:rPr>
        <w:t xml:space="preserve">current_org_id()</w:t>
      </w:r>
      <w:r>
        <w:t xml:space="preserve">/</w:t>
      </w:r>
      <w:r>
        <w:rPr>
          <w:rFonts w:ascii="Consolas" w:cs="Consolas" w:eastAsia="Consolas" w:hAnsi="Consolas"/>
          <w:b w:val="false"/>
          <w:bCs w:val="false"/>
          <w:i w:val="false"/>
          <w:iCs w:val="false"/>
          <w:color w:val="B91C1C"/>
          <w:shd w:fill="F3F4F6" w:val="clear"/>
        </w:rPr>
        <w:t xml:space="preserve">current_role()</w:t>
      </w:r>
      <w:r>
        <w:t xml:space="preserve"> functions, scoped only to snags meeting the triage criteria below — not blanket cross-org access.</w:t>
      </w:r>
    </w:p>
    <w:p>
      <w:pPr>
        <w:pStyle w:val="Heading3"/>
        <w:spacing w:after="80" w:before="180"/>
      </w:pPr>
      <w:r>
        <w:t xml:space="preserve">Triage queue</w:t>
      </w:r>
    </w:p>
    <w:p>
      <w:pPr>
        <w:pStyle w:val="ListParagraph"/>
        <w:numPr>
          <w:ilvl w:val="0"/>
          <w:numId w:val="2"/>
        </w:numPr>
        <w:spacing w:after="80"/>
      </w:pPr>
      <w:r>
        <w:t xml:space="preserve">Auto-enqueue any snag where </w:t>
      </w:r>
      <w:r>
        <w:rPr>
          <w:rFonts w:ascii="Consolas" w:cs="Consolas" w:eastAsia="Consolas" w:hAnsi="Consolas"/>
          <w:b w:val="false"/>
          <w:bCs w:val="false"/>
          <w:i w:val="false"/>
          <w:iCs w:val="false"/>
          <w:color w:val="B91C1C"/>
          <w:shd w:fill="F3F4F6" w:val="clear"/>
        </w:rPr>
        <w:t xml:space="preserve">is_notifiable = true</w:t>
      </w:r>
      <w:r>
        <w:t xml:space="preserve">, </w:t>
      </w:r>
      <w:r>
        <w:rPr>
          <w:rFonts w:ascii="Consolas" w:cs="Consolas" w:eastAsia="Consolas" w:hAnsi="Consolas"/>
          <w:b w:val="false"/>
          <w:bCs w:val="false"/>
          <w:i w:val="false"/>
          <w:iCs w:val="false"/>
          <w:color w:val="B91C1C"/>
          <w:shd w:fill="F3F4F6" w:val="clear"/>
        </w:rPr>
        <w:t xml:space="preserve">severity = 'critical'</w:t>
      </w:r>
      <w:r>
        <w:t xml:space="preserve">, or F1's guided flow returns “unsure.”</w:t>
      </w:r>
    </w:p>
    <w:p>
      <w:pPr>
        <w:pStyle w:val="ListParagraph"/>
        <w:numPr>
          <w:ilvl w:val="0"/>
          <w:numId w:val="2"/>
        </w:numPr>
        <w:spacing w:after="80"/>
      </w:pPr>
      <w:r>
        <w:t xml:space="preserve">Queue view: org name, site, reference number, severity, time since flagged, and current checklist/RCA progress — reusing the same summary counts </w:t>
      </w:r>
      <w:r>
        <w:rPr>
          <w:rFonts w:ascii="Consolas" w:cs="Consolas" w:eastAsia="Consolas" w:hAnsi="Consolas"/>
          <w:b w:val="false"/>
          <w:bCs w:val="false"/>
          <w:i w:val="false"/>
          <w:iCs w:val="false"/>
          <w:color w:val="B91C1C"/>
          <w:shd w:fill="F3F4F6" w:val="clear"/>
        </w:rPr>
        <w:t xml:space="preserve">snags_with_details</w:t>
      </w:r>
      <w:r>
        <w:t xml:space="preserve"> already computes.</w:t>
      </w:r>
    </w:p>
    <w:p>
      <w:pPr>
        <w:pStyle w:val="Heading3"/>
        <w:spacing w:after="80" w:before="180"/>
      </w:pPr>
      <w:r>
        <w:t xml:space="preserve">Internal annotation channel</w:t>
      </w:r>
    </w:p>
    <w:p>
      <w:pPr>
        <w:pStyle w:val="ListParagraph"/>
        <w:numPr>
          <w:ilvl w:val="0"/>
          <w:numId w:val="2"/>
        </w:numPr>
        <w:spacing w:after="80"/>
      </w:pPr>
      <w:r>
        <w:t xml:space="preserve">Staff notes are visible to the customer's </w:t>
      </w:r>
      <w:r>
        <w:rPr>
          <w:rFonts w:ascii="Consolas" w:cs="Consolas" w:eastAsia="Consolas" w:hAnsi="Consolas"/>
          <w:b w:val="false"/>
          <w:bCs w:val="false"/>
          <w:i w:val="false"/>
          <w:iCs w:val="false"/>
          <w:color w:val="B91C1C"/>
          <w:shd w:fill="F3F4F6" w:val="clear"/>
        </w:rPr>
        <w:t xml:space="preserve">officer_admin</w:t>
      </w:r>
      <w:r>
        <w:t xml:space="preserve">/</w:t>
      </w:r>
      <w:r>
        <w:rPr>
          <w:rFonts w:ascii="Consolas" w:cs="Consolas" w:eastAsia="Consolas" w:hAnsi="Consolas"/>
          <w:b w:val="false"/>
          <w:bCs w:val="false"/>
          <w:i w:val="false"/>
          <w:iCs w:val="false"/>
          <w:color w:val="B91C1C"/>
          <w:shd w:fill="F3F4F6" w:val="clear"/>
        </w:rPr>
        <w:t xml:space="preserve">supervisor</w:t>
      </w:r>
      <w:r>
        <w:t xml:space="preserve"> roles only — never to the reporting worker, and never written into the customer's own </w:t>
      </w:r>
      <w:r>
        <w:rPr>
          <w:rFonts w:ascii="Consolas" w:cs="Consolas" w:eastAsia="Consolas" w:hAnsi="Consolas"/>
          <w:b w:val="false"/>
          <w:bCs w:val="false"/>
          <w:i w:val="false"/>
          <w:iCs w:val="false"/>
          <w:color w:val="B91C1C"/>
          <w:shd w:fill="F3F4F6" w:val="clear"/>
        </w:rPr>
        <w:t xml:space="preserve">investigations</w:t>
      </w:r>
      <w:r>
        <w:t xml:space="preserve">/</w:t>
      </w:r>
      <w:r>
        <w:rPr>
          <w:rFonts w:ascii="Consolas" w:cs="Consolas" w:eastAsia="Consolas" w:hAnsi="Consolas"/>
          <w:b w:val="false"/>
          <w:bCs w:val="false"/>
          <w:i w:val="false"/>
          <w:iCs w:val="false"/>
          <w:color w:val="B91C1C"/>
          <w:shd w:fill="F3F4F6" w:val="clear"/>
        </w:rPr>
        <w:t xml:space="preserve">snag_rca</w:t>
      </w:r>
      <w:r>
        <w:t xml:space="preserve"> records. This keeps the concierge's guidance advisory, and keeps it out of the natural-justice-sensitive RCA record the source analysis flags in Part E.</w:t>
      </w:r>
    </w:p>
    <w:p>
      <w:pPr>
        <w:pStyle w:val="ListParagraph"/>
        <w:numPr>
          <w:ilvl w:val="0"/>
          <w:numId w:val="2"/>
        </w:numPr>
        <w:spacing w:after="80"/>
      </w:pPr>
      <w:r>
        <w:t xml:space="preserve">Every action (viewed, noted, escalated, closed) is written to </w:t>
      </w:r>
      <w:r>
        <w:rPr>
          <w:rFonts w:ascii="Consolas" w:cs="Consolas" w:eastAsia="Consolas" w:hAnsi="Consolas"/>
          <w:b w:val="false"/>
          <w:bCs w:val="false"/>
          <w:i w:val="false"/>
          <w:iCs w:val="false"/>
          <w:color w:val="B91C1C"/>
          <w:shd w:fill="F3F4F6" w:val="clear"/>
        </w:rPr>
        <w:t xml:space="preserve">audit_log</w:t>
      </w:r>
      <w:r>
        <w:t xml:space="preserve"> via a SECURITY DEFINER RPC, exactly matching the audit pattern already used everywhere else in the schema — this is a new actor type, not a new architecture.</w:t>
      </w:r>
    </w:p>
    <w:p>
      <w:pPr>
        <w:pStyle w:val="Heading3"/>
        <w:spacing w:after="80" w:before="180"/>
      </w:pPr>
      <w:r>
        <w:t xml:space="preserve">Console</w:t>
      </w:r>
    </w:p>
    <w:p>
      <w:pPr>
        <w:pStyle w:val="ListParagraph"/>
        <w:numPr>
          <w:ilvl w:val="0"/>
          <w:numId w:val="2"/>
        </w:numPr>
        <w:spacing w:after="80"/>
      </w:pPr>
      <w:r>
        <w:t xml:space="preserve">Given the codebase already treats “debriefs stay on the web app” as its stated (if currently unrealised) separation of concerns, build the concierge queue as a small internal web console rather than a mobile screen — it's an internal tool used by a handful of Snag staff, not a customer-facing surface, and doesn't need to ship inside the Expo app.</w:t>
      </w:r>
    </w:p>
    <w:p>
      <w:pPr>
        <w:pStyle w:val="Heading3"/>
        <w:spacing w:after="80" w:before="180"/>
      </w:pPr>
      <w:r>
        <w:t xml:space="preserve">Positioning</w:t>
      </w:r>
    </w:p>
    <w:p>
      <w:pPr>
        <w:spacing w:after="140"/>
      </w:pPr>
      <w:r>
        <w:t xml:space="preserve">Recommend this as an opt-in premium tier rather than a baseline feature — it's a genuine differentiator (few competitors offer human compliance backup inside the product) but carries real operating cost (staffing, on-call coverage) that shouldn't be assumed to be free.</w:t>
      </w:r>
    </w:p>
    <w:p>
      <w:r>
        <w:br w:type="page"/>
      </w:r>
    </w:p>
    <w:p>
      <w:pPr>
        <w:pStyle w:val="Heading1"/>
        <w:pBdr>
          <w:bottom w:val="single" w:color="2563EB" w:sz="6" w:space="4"/>
        </w:pBdr>
        <w:spacing w:after="140" w:before="320"/>
      </w:pPr>
      <w:r>
        <w:t xml:space="preserve">6. Wording &amp; Copy Changes</w:t>
      </w:r>
    </w:p>
    <w:p>
      <w:pPr>
        <w:pStyle w:val="Heading2"/>
        <w:spacing w:after="100" w:before="240"/>
      </w:pPr>
      <w:r>
        <w:t xml:space="preserve">Misleading success-screen copy</w:t>
      </w:r>
    </w:p>
    <w:p>
      <w:pPr>
        <w:spacing w:after="140"/>
      </w:pPr>
      <w:r>
        <w:rPr>
          <w:b/>
          <w:bCs/>
          <w:i w:val="false"/>
          <w:iCs w:val="false"/>
        </w:rPr>
        <w:t xml:space="preserve">Where: </w:t>
      </w:r>
      <w:r>
        <w:rPr>
          <w:rFonts w:ascii="Consolas" w:cs="Consolas" w:eastAsia="Consolas" w:hAnsi="Consolas"/>
          <w:b w:val="false"/>
          <w:bCs w:val="false"/>
          <w:i w:val="false"/>
          <w:iCs w:val="false"/>
          <w:color w:val="B91C1C"/>
          <w:shd w:fill="F3F4F6" w:val="clear"/>
        </w:rPr>
        <w:t xml:space="preserve">ReportIncidentReviewScreen.tsx</w:t>
      </w:r>
      <w:r>
        <w:t xml:space="preserve"> success state.</w:t>
      </w:r>
    </w:p>
    <w:p>
      <w:pPr>
        <w:spacing w:after="140"/>
      </w:pPr>
      <w:r>
        <w:rPr>
          <w:b/>
          <w:bCs/>
          <w:i w:val="false"/>
          <w:iCs w:val="false"/>
        </w:rPr>
        <w:t xml:space="preserve">Current: </w:t>
      </w:r>
      <w:r>
        <w:rPr>
          <w:b w:val="false"/>
          <w:bCs w:val="false"/>
          <w:i/>
          <w:iCs/>
        </w:rPr>
        <w:t xml:space="preserve">“This has been logged… the right people have been notified.”</w:t>
      </w:r>
      <w:r>
        <w:t xml:space="preserve"> This reads as a statement of fact about external notification, but nothing in the current flow contacts WorkSafe or any regulator — it only triggers Snag's own internal </w:t>
      </w:r>
      <w:r>
        <w:rPr>
          <w:rFonts w:ascii="Consolas" w:cs="Consolas" w:eastAsia="Consolas" w:hAnsi="Consolas"/>
          <w:b w:val="false"/>
          <w:bCs w:val="false"/>
          <w:i w:val="false"/>
          <w:iCs w:val="false"/>
          <w:color w:val="B91C1C"/>
          <w:shd w:fill="F3F4F6" w:val="clear"/>
        </w:rPr>
        <w:t xml:space="preserve">notify-snag</w:t>
      </w:r>
      <w:r>
        <w:t xml:space="preserve"> email function to people within the same org.</w:t>
      </w:r>
    </w:p>
    <w:p>
      <w:pPr>
        <w:spacing w:after="140"/>
      </w:pPr>
      <w:r>
        <w:rPr>
          <w:b/>
          <w:bCs/>
          <w:i w:val="false"/>
          <w:iCs w:val="false"/>
        </w:rPr>
        <w:t xml:space="preserve">Recommended: </w:t>
      </w:r>
      <w:r>
        <w:rPr>
          <w:b w:val="false"/>
          <w:bCs w:val="false"/>
          <w:i/>
          <w:iCs/>
        </w:rPr>
        <w:t xml:space="preserve">“This has been logged and your organisation's health &amp; safety team has been notified.”</w:t>
      </w:r>
      <w:r>
        <w:t xml:space="preserve"> If F1 ships, this should branch: when the notifiable-event flow flags the incident, add a second line making the WorkSafe-notification step and its owner explicit, rather than folding it into the same reassuring sentence.</w:t>
      </w:r>
    </w:p>
    <w:p>
      <w:pPr>
        <w:pStyle w:val="Heading2"/>
        <w:spacing w:after="100" w:before="240"/>
      </w:pPr>
      <w:r>
        <w:t xml:space="preserve">New disclaimers</w:t>
      </w:r>
    </w:p>
    <w:p>
      <w:pPr>
        <w:spacing w:after="140"/>
      </w:pPr>
      <w:r>
        <w:t xml:space="preserve">Any new compliance-facing copy — the F1 decision-support flow, the F.2-style policy templates in Section 8, and any future critical-risk or psychosocial content — should carry a visible “this is general guidance, not legal advice; confirm with your own adviser” line, consistent with the source analysis's own disclaimer and its caution that the 2026 Amendment Act's fate is still contingent on the November election.</w:t>
      </w:r>
    </w:p>
    <w:p>
      <w:pPr>
        <w:pStyle w:val="Heading2"/>
        <w:spacing w:after="100" w:before="240"/>
      </w:pPr>
      <w:r>
        <w:t xml:space="preserve">Code-comment hygiene</w:t>
      </w:r>
    </w:p>
    <w:p>
      <w:pPr>
        <w:spacing w:after="140"/>
      </w:pPr>
      <w:r>
        <w:t xml:space="preserve">The </w:t>
      </w:r>
      <w:r>
        <w:rPr>
          <w:rFonts w:ascii="Consolas" w:cs="Consolas" w:eastAsia="Consolas" w:hAnsi="Consolas"/>
          <w:b w:val="false"/>
          <w:bCs w:val="false"/>
          <w:i w:val="false"/>
          <w:iCs w:val="false"/>
          <w:color w:val="B91C1C"/>
          <w:shd w:fill="F3F4F6" w:val="clear"/>
        </w:rPr>
        <w:t xml:space="preserve">InvestigationPanel.tsx</w:t>
      </w:r>
      <w:r>
        <w:t xml:space="preserve"> comment claiming debriefs “stay on the web app” should be corrected once F8 ships (or removed now if F8 is deferred) — it currently misdescribes the actual state of the feature to future engineers, which matters more than usual on a compliance-adjacent surface.</w:t>
      </w:r>
    </w:p>
    <w:p>
      <w:pPr>
        <w:pStyle w:val="Heading1"/>
        <w:pBdr>
          <w:bottom w:val="single" w:color="2563EB" w:sz="6" w:space="4"/>
        </w:pBdr>
        <w:spacing w:after="140" w:before="320"/>
      </w:pPr>
      <w:r>
        <w:t xml:space="preserve">7. Layout Notes</w:t>
      </w:r>
    </w:p>
    <w:p>
      <w:pPr>
        <w:spacing w:after="140"/>
      </w:pPr>
      <w:r>
        <w:t xml:space="preserve">No layout changes are recommended for the serious lane's visual identity — it already does its job. </w:t>
      </w:r>
      <w:r>
        <w:rPr>
          <w:rFonts w:ascii="Consolas" w:cs="Consolas" w:eastAsia="Consolas" w:hAnsi="Consolas"/>
          <w:b w:val="false"/>
          <w:bCs w:val="false"/>
          <w:i w:val="false"/>
          <w:iCs w:val="false"/>
          <w:color w:val="B91C1C"/>
          <w:shd w:fill="F3F4F6" w:val="clear"/>
        </w:rPr>
        <w:t xml:space="preserve">Colors.serious</w:t>
      </w:r>
      <w:r>
        <w:t xml:space="preserve">/</w:t>
      </w:r>
      <w:r>
        <w:rPr>
          <w:rFonts w:ascii="Consolas" w:cs="Consolas" w:eastAsia="Consolas" w:hAnsi="Consolas"/>
          <w:b w:val="false"/>
          <w:bCs w:val="false"/>
          <w:i w:val="false"/>
          <w:iCs w:val="false"/>
          <w:color w:val="B91C1C"/>
          <w:shd w:fill="F3F4F6" w:val="clear"/>
        </w:rPr>
        <w:t xml:space="preserve">seriousBg</w:t>
      </w:r>
      <w:r>
        <w:t xml:space="preserve"> and </w:t>
      </w:r>
      <w:r>
        <w:rPr>
          <w:rFonts w:ascii="Consolas" w:cs="Consolas" w:eastAsia="Consolas" w:hAnsi="Consolas"/>
          <w:b w:val="false"/>
          <w:bCs w:val="false"/>
          <w:i w:val="false"/>
          <w:iCs w:val="false"/>
          <w:color w:val="B91C1C"/>
          <w:shd w:fill="F3F4F6" w:val="clear"/>
        </w:rPr>
        <w:t xml:space="preserve">ScreenHeader</w:t>
      </w:r>
      <w:r>
        <w:t xml:space="preserve">'s </w:t>
      </w:r>
      <w:r>
        <w:rPr>
          <w:rFonts w:ascii="Consolas" w:cs="Consolas" w:eastAsia="Consolas" w:hAnsi="Consolas"/>
          <w:b w:val="false"/>
          <w:bCs w:val="false"/>
          <w:i w:val="false"/>
          <w:iCs w:val="false"/>
          <w:color w:val="B91C1C"/>
          <w:shd w:fill="F3F4F6" w:val="clear"/>
        </w:rPr>
        <w:t xml:space="preserve">tone="serious"</w:t>
      </w:r>
      <w:r>
        <w:t xml:space="preserve"> are used consistently and correctly across </w:t>
      </w:r>
      <w:r>
        <w:rPr>
          <w:rFonts w:ascii="Consolas" w:cs="Consolas" w:eastAsia="Consolas" w:hAnsi="Consolas"/>
          <w:b w:val="false"/>
          <w:bCs w:val="false"/>
          <w:i w:val="false"/>
          <w:iCs w:val="false"/>
          <w:color w:val="B91C1C"/>
          <w:shd w:fill="F3F4F6" w:val="clear"/>
        </w:rPr>
        <w:t xml:space="preserve">ReportIncidentDetailsScreen.tsx</w:t>
      </w:r>
      <w:r>
        <w:t xml:space="preserve">, </w:t>
      </w:r>
      <w:r>
        <w:rPr>
          <w:rFonts w:ascii="Consolas" w:cs="Consolas" w:eastAsia="Consolas" w:hAnsi="Consolas"/>
          <w:b w:val="false"/>
          <w:bCs w:val="false"/>
          <w:i w:val="false"/>
          <w:iCs w:val="false"/>
          <w:color w:val="B91C1C"/>
          <w:shd w:fill="F3F4F6" w:val="clear"/>
        </w:rPr>
        <w:t xml:space="preserve">ReportIncidentReviewScreen.tsx</w:t>
      </w:r>
      <w:r>
        <w:t xml:space="preserve">, and </w:t>
      </w:r>
      <w:r>
        <w:rPr>
          <w:rFonts w:ascii="Consolas" w:cs="Consolas" w:eastAsia="Consolas" w:hAnsi="Consolas"/>
          <w:b w:val="false"/>
          <w:bCs w:val="false"/>
          <w:i w:val="false"/>
          <w:iCs w:val="false"/>
          <w:color w:val="B91C1C"/>
          <w:shd w:fill="F3F4F6" w:val="clear"/>
        </w:rPr>
        <w:t xml:space="preserve">IssueDetailScreen.tsx</w:t>
      </w:r>
      <w:r>
        <w:t xml:space="preserve"> — exactly matching the reserved-identity-colour intent documented in CLAUDE.md. This is a compliance-adjacent strength worth noting, not a gap.</w:t>
      </w:r>
    </w:p>
    <w:p>
      <w:pPr>
        <w:spacing w:after="140"/>
      </w:pPr>
      <w:r>
        <w:t xml:space="preserve">Where new UI is needed (F1's decision-support screen, F9's console), reuse this existing token set and the existing badge components (</w:t>
      </w:r>
      <w:r>
        <w:rPr>
          <w:rFonts w:ascii="Consolas" w:cs="Consolas" w:eastAsia="Consolas" w:hAnsi="Consolas"/>
          <w:b w:val="false"/>
          <w:bCs w:val="false"/>
          <w:i w:val="false"/>
          <w:iCs w:val="false"/>
          <w:color w:val="B91C1C"/>
          <w:shd w:fill="F3F4F6" w:val="clear"/>
        </w:rPr>
        <w:t xml:space="preserve">StatusBadge</w:t>
      </w:r>
      <w:r>
        <w:t xml:space="preserve">, </w:t>
      </w:r>
      <w:r>
        <w:rPr>
          <w:rFonts w:ascii="Consolas" w:cs="Consolas" w:eastAsia="Consolas" w:hAnsi="Consolas"/>
          <w:b w:val="false"/>
          <w:bCs w:val="false"/>
          <w:i w:val="false"/>
          <w:iCs w:val="false"/>
          <w:color w:val="B91C1C"/>
          <w:shd w:fill="F3F4F6" w:val="clear"/>
        </w:rPr>
        <w:t xml:space="preserve">PriorityBadge</w:t>
      </w:r>
      <w:r>
        <w:t xml:space="preserve">, </w:t>
      </w:r>
      <w:r>
        <w:rPr>
          <w:rFonts w:ascii="Consolas" w:cs="Consolas" w:eastAsia="Consolas" w:hAnsi="Consolas"/>
          <w:b w:val="false"/>
          <w:bCs w:val="false"/>
          <w:i w:val="false"/>
          <w:iCs w:val="false"/>
          <w:color w:val="B91C1C"/>
          <w:shd w:fill="F3F4F6" w:val="clear"/>
        </w:rPr>
        <w:t xml:space="preserve">CategoryBadge</w:t>
      </w:r>
      <w:r>
        <w:t xml:space="preserve">) rather than introducing new colours or badge styles — F1 in particular should visually read as an extension of the existing serious-lane flow, not a bolted-on feature.</w:t>
      </w:r>
    </w:p>
    <w:p>
      <w:pPr>
        <w:pStyle w:val="Heading1"/>
        <w:pBdr>
          <w:bottom w:val="single" w:color="2563EB" w:sz="6" w:space="4"/>
        </w:pBdr>
        <w:spacing w:after="140" w:before="320"/>
      </w:pPr>
      <w:r>
        <w:t xml:space="preserve">8. Policy &amp; Template Content</w:t>
      </w:r>
    </w:p>
    <w:p>
      <w:pPr>
        <w:spacing w:after="140"/>
      </w:pPr>
      <w:r>
        <w:t xml:space="preserve">Adapted from the source analysis's Part F.2, offered as in-app or downloadable content rather than custom legal drafting. Every item below carries the disclaimer from Section 6:</w:t>
      </w:r>
    </w:p>
    <w:p>
      <w:pPr>
        <w:pStyle w:val="ListParagraph"/>
        <w:numPr>
          <w:ilvl w:val="0"/>
          <w:numId w:val="2"/>
        </w:numPr>
        <w:spacing w:after="80"/>
      </w:pPr>
      <w:r>
        <w:t xml:space="preserve">An emergency plan template aligned to the GRWM Regulations' required content — procedures, communication, and testing cadence.</w:t>
      </w:r>
    </w:p>
    <w:p>
      <w:pPr>
        <w:pStyle w:val="ListParagraph"/>
        <w:numPr>
          <w:ilvl w:val="0"/>
          <w:numId w:val="2"/>
        </w:numPr>
        <w:spacing w:after="80"/>
      </w:pPr>
      <w:r>
        <w:t xml:space="preserve">A notifiable-event procedure one-pager — who calls WorkSafe, what “preserving the site” means in practice, and what to do over the following five years. This should sit directly alongside F1's in-app flow, not just as a downloadable PDF.</w:t>
      </w:r>
    </w:p>
    <w:p>
      <w:pPr>
        <w:pStyle w:val="ListParagraph"/>
        <w:numPr>
          <w:ilvl w:val="0"/>
          <w:numId w:val="2"/>
        </w:numPr>
        <w:spacing w:after="80"/>
      </w:pPr>
      <w:r>
        <w:t xml:space="preserve">A bullying and harassment / psychosocial hazard policy template — ready ahead of F7, so the policy content isn't blocked on the feature.</w:t>
      </w:r>
    </w:p>
    <w:p>
      <w:pPr>
        <w:pStyle w:val="ListParagraph"/>
        <w:numPr>
          <w:ilvl w:val="0"/>
          <w:numId w:val="2"/>
        </w:numPr>
        <w:spacing w:after="80"/>
      </w:pPr>
      <w:r>
        <w:t xml:space="preserve">A health-information handling policy — retention, access, and breach-response basics — for customers who don't already have one; pairs directly with F2.</w:t>
      </w:r>
    </w:p>
    <w:p>
      <w:pPr>
        <w:pStyle w:val="ListParagraph"/>
        <w:numPr>
          <w:ilvl w:val="0"/>
          <w:numId w:val="2"/>
        </w:numPr>
        <w:spacing w:after="80"/>
      </w:pPr>
      <w:r>
        <w:t xml:space="preserve">An HSR election procedure template — useful even before F5 ships, since HSR election itself is not gated on Snag having an HSR role.</w:t>
      </w:r>
    </w:p>
    <w:p>
      <w:pPr>
        <w:pStyle w:val="Heading1"/>
        <w:pBdr>
          <w:bottom w:val="single" w:color="2563EB" w:sz="6" w:space="4"/>
        </w:pBdr>
        <w:spacing w:after="140" w:before="320"/>
      </w:pPr>
      <w:r>
        <w:t xml:space="preserve">9. Sequencing</w:t>
      </w:r>
    </w:p>
    <w:p>
      <w:pPr>
        <w:spacing w:after="140"/>
      </w:pPr>
      <w:r>
        <w:t xml:space="preserve">Corrected against the repository's actual state (Section 3): Phase 0 (Ship-Ready) and Phase 1 (Supervisor Core &amp; CAPA) are already shipped. This proposal starts at the next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shd w:fill="1F2937" w:val="clear"/>
            <w:tcMar>
              <w:top w:type="dxa" w:w="80"/>
              <w:left w:type="dxa" w:w="100"/>
              <w:bottom w:type="dxa" w:w="80"/>
              <w:right w:type="dxa" w:w="100"/>
            </w:tcMar>
            <w:vAlign w:val="center"/>
          </w:tcPr>
          <w:p>
            <w:r>
              <w:rPr>
                <w:b/>
                <w:bCs/>
                <w:color w:val="FFFFFF"/>
                <w:sz w:val="19"/>
                <w:szCs w:val="19"/>
              </w:rPr>
              <w:t xml:space="preserve">Phase</w:t>
            </w:r>
          </w:p>
        </w:tc>
        <w:tc>
          <w:tcPr>
            <w:tcW w:type="dxa" w:w="3200"/>
            <w:shd w:fill="1F2937" w:val="clear"/>
            <w:tcMar>
              <w:top w:type="dxa" w:w="80"/>
              <w:left w:type="dxa" w:w="100"/>
              <w:bottom w:type="dxa" w:w="80"/>
              <w:right w:type="dxa" w:w="100"/>
            </w:tcMar>
            <w:vAlign w:val="center"/>
          </w:tcPr>
          <w:p>
            <w:r>
              <w:rPr>
                <w:b/>
                <w:bCs/>
                <w:color w:val="FFFFFF"/>
                <w:sz w:val="19"/>
                <w:szCs w:val="19"/>
              </w:rPr>
              <w:t xml:space="preserve">Scope</w:t>
            </w:r>
          </w:p>
        </w:tc>
        <w:tc>
          <w:tcPr>
            <w:tcW w:type="dxa" w:w="3426"/>
            <w:shd w:fill="1F2937" w:val="clear"/>
            <w:tcMar>
              <w:top w:type="dxa" w:w="80"/>
              <w:left w:type="dxa" w:w="100"/>
              <w:bottom w:type="dxa" w:w="80"/>
              <w:right w:type="dxa" w:w="100"/>
            </w:tcMar>
            <w:vAlign w:val="center"/>
          </w:tcPr>
          <w:p>
            <w:r>
              <w:rPr>
                <w:b/>
                <w:bCs/>
                <w:color w:val="FFFFFF"/>
                <w:sz w:val="19"/>
                <w:szCs w:val="19"/>
              </w:rPr>
              <w:t xml:space="preserve">Rationale</w:t>
            </w:r>
          </w:p>
        </w:tc>
      </w:tr>
      <w:tr>
        <w:tc>
          <w:tcPr>
            <w:tcW w:type="dxa" w:w="2400"/>
            <w:tcMar>
              <w:top w:type="dxa" w:w="80"/>
              <w:left w:type="dxa" w:w="100"/>
              <w:bottom w:type="dxa" w:w="80"/>
              <w:right w:type="dxa" w:w="100"/>
            </w:tcMar>
            <w:vAlign w:val="center"/>
          </w:tcPr>
          <w:p>
            <w:r>
              <w:rPr>
                <w:b w:val="false"/>
                <w:bCs w:val="false"/>
                <w:sz w:val="19"/>
                <w:szCs w:val="19"/>
              </w:rPr>
              <w:t xml:space="preserve">Phase 2 — Compliance Baseline</w:t>
            </w:r>
          </w:p>
        </w:tc>
        <w:tc>
          <w:tcPr>
            <w:tcW w:type="dxa" w:w="3200"/>
            <w:tcMar>
              <w:top w:type="dxa" w:w="80"/>
              <w:left w:type="dxa" w:w="100"/>
              <w:bottom w:type="dxa" w:w="80"/>
              <w:right w:type="dxa" w:w="100"/>
            </w:tcMar>
            <w:vAlign w:val="center"/>
          </w:tcPr>
          <w:p>
            <w:r>
              <w:rPr>
                <w:b w:val="false"/>
                <w:bCs w:val="false"/>
                <w:sz w:val="19"/>
                <w:szCs w:val="19"/>
              </w:rPr>
              <w:t xml:space="preserve">F1 (notifiable-event decision support), F2 (retention/privacy policy), Section 6 wording fixes</w:t>
            </w:r>
          </w:p>
        </w:tc>
        <w:tc>
          <w:tcPr>
            <w:tcW w:type="dxa" w:w="3426"/>
            <w:tcMar>
              <w:top w:type="dxa" w:w="80"/>
              <w:left w:type="dxa" w:w="100"/>
              <w:bottom w:type="dxa" w:w="80"/>
              <w:right w:type="dxa" w:w="100"/>
            </w:tcMar>
            <w:vAlign w:val="center"/>
          </w:tcPr>
          <w:p>
            <w:r>
              <w:rPr>
                <w:b w:val="false"/>
                <w:bCs w:val="false"/>
                <w:sz w:val="19"/>
                <w:szCs w:val="19"/>
              </w:rPr>
              <w:t xml:space="preserve">Low engineering scope, addresses live legal exposure rather than a future one — matches the source analysis's own logic for pulling these items forward.</w:t>
            </w:r>
          </w:p>
        </w:tc>
      </w:tr>
      <w:tr>
        <w:tc>
          <w:tcPr>
            <w:tcW w:type="dxa" w:w="2400"/>
            <w:shd w:fill="F3F4F6" w:val="clear"/>
            <w:tcMar>
              <w:top w:type="dxa" w:w="80"/>
              <w:left w:type="dxa" w:w="100"/>
              <w:bottom w:type="dxa" w:w="80"/>
              <w:right w:type="dxa" w:w="100"/>
            </w:tcMar>
            <w:vAlign w:val="center"/>
          </w:tcPr>
          <w:p>
            <w:r>
              <w:rPr>
                <w:b w:val="false"/>
                <w:bCs w:val="false"/>
                <w:sz w:val="19"/>
                <w:szCs w:val="19"/>
              </w:rPr>
              <w:t xml:space="preserve">Phase 3 — Governance &amp; Contractors</w:t>
            </w:r>
          </w:p>
        </w:tc>
        <w:tc>
          <w:tcPr>
            <w:tcW w:type="dxa" w:w="3200"/>
            <w:shd w:fill="F3F4F6" w:val="clear"/>
            <w:tcMar>
              <w:top w:type="dxa" w:w="80"/>
              <w:left w:type="dxa" w:w="100"/>
              <w:bottom w:type="dxa" w:w="80"/>
              <w:right w:type="dxa" w:w="100"/>
            </w:tcMar>
            <w:vAlign w:val="center"/>
          </w:tcPr>
          <w:p>
            <w:r>
              <w:rPr>
                <w:b w:val="false"/>
                <w:bCs w:val="false"/>
                <w:sz w:val="19"/>
                <w:szCs w:val="19"/>
              </w:rPr>
              <w:t xml:space="preserve">F3 (governance export), F4 (multi-PCBU nomination), F8 (debrief UI)</w:t>
            </w:r>
          </w:p>
        </w:tc>
        <w:tc>
          <w:tcPr>
            <w:tcW w:type="dxa" w:w="3426"/>
            <w:shd w:fill="F3F4F6" w:val="clear"/>
            <w:tcMar>
              <w:top w:type="dxa" w:w="80"/>
              <w:left w:type="dxa" w:w="100"/>
              <w:bottom w:type="dxa" w:w="80"/>
              <w:right w:type="dxa" w:w="100"/>
            </w:tcMar>
            <w:vAlign w:val="center"/>
          </w:tcPr>
          <w:p>
            <w:r>
              <w:rPr>
                <w:b w:val="false"/>
                <w:bCs w:val="false"/>
                <w:sz w:val="19"/>
                <w:szCs w:val="19"/>
              </w:rPr>
              <w:t xml:space="preserve">Builds on data/RPCs that already exist (get_org_stats, get_site_breakdown, debrief tables); no new role model required.</w:t>
            </w:r>
          </w:p>
        </w:tc>
      </w:tr>
      <w:tr>
        <w:tc>
          <w:tcPr>
            <w:tcW w:type="dxa" w:w="2400"/>
            <w:tcMar>
              <w:top w:type="dxa" w:w="80"/>
              <w:left w:type="dxa" w:w="100"/>
              <w:bottom w:type="dxa" w:w="80"/>
              <w:right w:type="dxa" w:w="100"/>
            </w:tcMar>
            <w:vAlign w:val="center"/>
          </w:tcPr>
          <w:p>
            <w:r>
              <w:rPr>
                <w:b w:val="false"/>
                <w:bCs w:val="false"/>
                <w:sz w:val="19"/>
                <w:szCs w:val="19"/>
              </w:rPr>
              <w:t xml:space="preserve">Phase 4 — Access &amp; Concierge</w:t>
            </w:r>
          </w:p>
        </w:tc>
        <w:tc>
          <w:tcPr>
            <w:tcW w:type="dxa" w:w="3200"/>
            <w:tcMar>
              <w:top w:type="dxa" w:w="80"/>
              <w:left w:type="dxa" w:w="100"/>
              <w:bottom w:type="dxa" w:w="80"/>
              <w:right w:type="dxa" w:w="100"/>
            </w:tcMar>
            <w:vAlign w:val="center"/>
          </w:tcPr>
          <w:p>
            <w:r>
              <w:rPr>
                <w:b w:val="false"/>
                <w:bCs w:val="false"/>
                <w:sz w:val="19"/>
                <w:szCs w:val="19"/>
              </w:rPr>
              <w:t xml:space="preserve">F5 (HSR role), F9 (Compliance Concierge)</w:t>
            </w:r>
          </w:p>
        </w:tc>
        <w:tc>
          <w:tcPr>
            <w:tcW w:type="dxa" w:w="3426"/>
            <w:tcMar>
              <w:top w:type="dxa" w:w="80"/>
              <w:left w:type="dxa" w:w="100"/>
              <w:bottom w:type="dxa" w:w="80"/>
              <w:right w:type="dxa" w:w="100"/>
            </w:tcMar>
            <w:vAlign w:val="center"/>
          </w:tcPr>
          <w:p>
            <w:r>
              <w:rPr>
                <w:b w:val="false"/>
                <w:bCs w:val="false"/>
                <w:sz w:val="19"/>
                <w:szCs w:val="19"/>
              </w:rPr>
              <w:t xml:space="preserve">Both require new access models (a role touching many RLS policies; a cross-org staff role) — grouped together as the phase where Snag takes on a wider permissions surface.</w:t>
            </w:r>
          </w:p>
        </w:tc>
      </w:tr>
      <w:tr>
        <w:tc>
          <w:tcPr>
            <w:tcW w:type="dxa" w:w="2400"/>
            <w:shd w:fill="F3F4F6" w:val="clear"/>
            <w:tcMar>
              <w:top w:type="dxa" w:w="80"/>
              <w:left w:type="dxa" w:w="100"/>
              <w:bottom w:type="dxa" w:w="80"/>
              <w:right w:type="dxa" w:w="100"/>
            </w:tcMar>
            <w:vAlign w:val="center"/>
          </w:tcPr>
          <w:p>
            <w:r>
              <w:rPr>
                <w:b w:val="false"/>
                <w:bCs w:val="false"/>
                <w:sz w:val="19"/>
                <w:szCs w:val="19"/>
              </w:rPr>
              <w:t xml:space="preserve">Backlog — revisit after 7 Nov 2026 election</w:t>
            </w:r>
          </w:p>
        </w:tc>
        <w:tc>
          <w:tcPr>
            <w:tcW w:type="dxa" w:w="3200"/>
            <w:shd w:fill="F3F4F6" w:val="clear"/>
            <w:tcMar>
              <w:top w:type="dxa" w:w="80"/>
              <w:left w:type="dxa" w:w="100"/>
              <w:bottom w:type="dxa" w:w="80"/>
              <w:right w:type="dxa" w:w="100"/>
            </w:tcMar>
            <w:vAlign w:val="center"/>
          </w:tcPr>
          <w:p>
            <w:r>
              <w:rPr>
                <w:b w:val="false"/>
                <w:bCs w:val="false"/>
                <w:sz w:val="19"/>
                <w:szCs w:val="19"/>
              </w:rPr>
              <w:t xml:space="preserve">F6 (critical-risk tag), F7 (psychosocial category)</w:t>
            </w:r>
          </w:p>
        </w:tc>
        <w:tc>
          <w:tcPr>
            <w:tcW w:type="dxa" w:w="3426"/>
            <w:shd w:fill="F3F4F6" w:val="clear"/>
            <w:tcMar>
              <w:top w:type="dxa" w:w="80"/>
              <w:left w:type="dxa" w:w="100"/>
              <w:bottom w:type="dxa" w:w="80"/>
              <w:right w:type="dxa" w:w="100"/>
            </w:tcMar>
            <w:vAlign w:val="center"/>
          </w:tcPr>
          <w:p>
            <w:r>
              <w:rPr>
                <w:b w:val="false"/>
                <w:bCs w:val="false"/>
                <w:sz w:val="19"/>
                <w:szCs w:val="19"/>
              </w:rPr>
              <w:t xml:space="preserve">Deliberately held until the Amendment Act's post-election fate and WorkSafe's implementation guidance are known, per the source analysis's own reasoning — unchanged here, just renumbered against real phases.</w:t>
            </w:r>
          </w:p>
        </w:tc>
      </w:tr>
    </w:tbl>
    <w:p>
      <w:pPr>
        <w:pStyle w:val="Heading1"/>
        <w:pBdr>
          <w:bottom w:val="single" w:color="2563EB" w:sz="6" w:space="4"/>
        </w:pBdr>
        <w:spacing w:after="140" w:before="320"/>
      </w:pPr>
      <w:r>
        <w:t xml:space="preserve">10. Disclaimer</w:t>
      </w:r>
    </w:p>
    <w:p>
      <w:pPr>
        <w:spacing w:after="140"/>
      </w:pPr>
      <w:r>
        <w:t xml:space="preserve">This document is a plain-language, product-planning synthesis prepared for Snag. It is not legal advice. It inherits the same caveat as the source analysis it responds to: the Health and Safety at Work Amendment Act 2026's ultimate form and survival are contingent on the 7 November 2026 general election and on decisions the next government may make before its 1 April 2027 commencement date. Any compliance claims, in-app guidance, or customer-facing legal content built from this document should be reviewed by a qualified New Zealand employment / health-and-safety lawyer before release, and revisited once the election outcome and WorkSafe's implementation guidance are known.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F2937"/>
      <w:sz w:val="40"/>
      <w:szCs w:val="40"/>
    </w:rPr>
  </w:style>
  <w:style w:type="paragraph" w:styleId="Heading1">
    <w:name w:val="Heading 1"/>
    <w:basedOn w:val="Normal"/>
    <w:next w:val="Normal"/>
    <w:rPr>
      <w:b/>
      <w:bCs/>
      <w:color w:val="2563EB"/>
      <w:sz w:val="28"/>
      <w:szCs w:val="28"/>
    </w:rPr>
  </w:style>
  <w:style w:type="paragraph" w:styleId="Heading2">
    <w:name w:val="Heading 2"/>
    <w:basedOn w:val="Normal"/>
    <w:next w:val="Normal"/>
    <w:rPr>
      <w:b/>
      <w:bCs/>
      <w:color w:val="1F2937"/>
      <w:sz w:val="24"/>
      <w:szCs w:val="24"/>
    </w:rPr>
  </w:style>
  <w:style w:type="paragraph" w:styleId="Heading3">
    <w:name w:val="Heading 3"/>
    <w:basedOn w:val="Normal"/>
    <w:next w:val="Normal"/>
    <w:rPr>
      <w:b/>
      <w:bCs/>
      <w:i/>
      <w:i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2026-07-19T18:33:10.824Z</dcterms:created>
  <dcterms:modified xsi:type="dcterms:W3CDTF">2026-07-19T18:33:10.825Z</dcterms:modified>
</cp:coreProperties>
</file>

<file path=docProps/custom.xml><?xml version="1.0" encoding="utf-8"?>
<Properties xmlns="http://schemas.openxmlformats.org/officeDocument/2006/custom-properties" xmlns:vt="http://schemas.openxmlformats.org/officeDocument/2006/docPropsVTypes"/>
</file>