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New Zealand Health &amp; Safety Legislative Landscape</w:t>
      </w:r>
    </w:p>
    <w:p>
      <w:pPr>
        <w:spacing w:after="500" w:before="200"/>
        <w:jc w:val="center"/>
      </w:pPr>
      <w:r>
        <w:rPr>
          <w:color w:val="2E5395"/>
          <w:sz w:val="28"/>
          <w:szCs w:val="28"/>
        </w:rPr>
        <w:t xml:space="preserve">A Compliance &amp; Product Analysis Prepared for Snag</w:t>
      </w:r>
    </w:p>
    <w:p>
      <w:pPr>
        <w:spacing w:after="1400"/>
        <w:jc w:val="center"/>
      </w:pPr>
      <w:r>
        <w:rPr>
          <w:color w:val="404040"/>
          <w:sz w:val="22"/>
          <w:szCs w:val="22"/>
        </w:rPr>
        <w:t xml:space="preserve">Covers the Health and Safety at Work Act 2015, the Health and Safety at Work Amendment Act 2026, and adjacent legislation (ACC, Privacy, Employment Relations) — with an obligations matrix, a compliance assessment against Snag's current architecture, and recommended product, policy, and process additions.</w:t>
      </w:r>
    </w:p>
    <w:p>
      <w:pPr>
        <w:jc w:val="center"/>
      </w:pPr>
      <w:r>
        <w:rPr>
          <w:i/>
          <w:iCs/>
          <w:color w:val="595959"/>
          <w:sz w:val="20"/>
          <w:szCs w:val="20"/>
        </w:rPr>
        <w:t xml:space="preserve">Prepared 20 July 2026  •  Not legal advice — see disclaimer at the end of this document</w:t>
      </w:r>
    </w:p>
    <w:p>
      <w:r>
        <w:br w:type="page"/>
      </w:r>
    </w:p>
    <w:p>
      <w:pPr>
        <w:pStyle w:val="Heading1"/>
        <w:pBdr>
          <w:bottom w:val="single" w:color="1F3864" w:sz="6" w:space="4"/>
        </w:pBdr>
        <w:spacing w:after="200" w:before="400"/>
      </w:pPr>
      <w:r>
        <w:t xml:space="preserve">Executive Summary</w:t>
      </w:r>
    </w:p>
    <w:p>
      <w:pPr>
        <w:spacing w:after="160" w:line="276"/>
      </w:pPr>
      <w:r>
        <w:t xml:space="preserve">New Zealand's core workplace health and safety law is the Health and Safety at Work Act 2015 (HSWA), which imposes duties on PCBUs (persons conducting a business or undertaking), officers, and workers, and is regulated primarily by WorkSafe New Zealand. Under HSWA, a PCBU must notify WorkSafe of a “notifiable event” (a death, a serious injury or illness, or a dangerous incident) as soon as possible, preserve the incident site, and keep a record of it for at least five years.</w:t>
      </w:r>
    </w:p>
    <w:p>
      <w:pPr>
        <w:spacing w:after="160" w:line="276"/>
      </w:pPr>
      <w:r>
        <w:t xml:space="preserve">Significant change is underway. The Health and Safety at Work Amendment Act 2026 passed its third reading on 1 July 2026 and is the largest overhaul of the regime since 2015. It narrows small businesses' (fewer than 20 workers) duties to focus on newly defined “critical risks,” confines officer due diligence to an officer's governance role, turns Approved Codes of Practice into a compliance “safe harbour,” and clarifies overlaps with other legislation. Commencement has been pushed to 1 April 2027 — five months after the 7 November 2026 general election — and Labour has pledged to repeal the Act if it forms the next government, while the Greens opposed how the bill was progressed and NZ First (a coalition partner that voted for it) has flagged wanting further changes regardless of who wins. In practical terms, the current, unamended HSWA remains the operative law for the rest of 2026 and probably into 2027, and the 2027 regime's final shape is genuinely uncertain.</w:t>
      </w:r>
    </w:p>
    <w:p>
      <w:pPr>
        <w:spacing w:after="160" w:line="276"/>
      </w:pPr>
      <w:r>
        <w:t xml:space="preserve">Beyond HSWA, three adjacent regimes matter most for a product like Snag that stores workplace incident, injury, and investigation data: the Accident Compensation Act 2001 (no-fault injury cover and claims), the Privacy Act 2020 together with the Health Information Privacy Code 2020 (health-information handling and mandatory breach notification), and the Employment Relations Act 2000 (natural justice and procedural fairness where a root-cause investigation could feed into disciplinary action).</w:t>
      </w:r>
    </w:p>
    <w:p>
      <w:pPr>
        <w:spacing w:after="160" w:line="276"/>
      </w:pPr>
      <w:r>
        <w:t xml:space="preserve">This document works through the detail behind each regime, consolidates obligations and reporting requirements into a single reference table, assesses where Snag's current architecture already supports compliance, and recommends specific additional product features, policy templates, and procedures — sequenced against Snag's existing four-phase delivery plan rather than proposed as competing new work.</w:t>
      </w:r>
    </w:p>
    <w:p>
      <w:pPr>
        <w:pStyle w:val="Heading1"/>
        <w:pBdr>
          <w:bottom w:val="single" w:color="1F3864" w:sz="6" w:space="4"/>
        </w:pBdr>
        <w:spacing w:after="200" w:before="400"/>
      </w:pPr>
      <w:r>
        <w:t xml:space="preserve">Purpose and Scope</w:t>
      </w:r>
    </w:p>
    <w:p>
      <w:pPr>
        <w:spacing w:after="160" w:line="276"/>
      </w:pPr>
      <w:r>
        <w:t xml:space="preserve">This analysis sets out, for a mobile-first workplace incident-reporting and investigation platform (Snag) targeting small, multi-site New Zealand businesses operating under HSWA:</w:t>
      </w:r>
    </w:p>
    <w:p>
      <w:pPr>
        <w:pStyle w:val="ListParagraph"/>
        <w:numPr>
          <w:ilvl w:val="0"/>
          <w:numId w:val="2"/>
        </w:numPr>
        <w:spacing w:after="80" w:line="276"/>
      </w:pPr>
      <w:r>
        <w:t xml:space="preserve">which pieces of legislation and regulation Snag's customers need to be aware of;</w:t>
      </w:r>
    </w:p>
    <w:p>
      <w:pPr>
        <w:pStyle w:val="ListParagraph"/>
        <w:numPr>
          <w:ilvl w:val="0"/>
          <w:numId w:val="2"/>
        </w:numPr>
        <w:spacing w:after="80" w:line="276"/>
      </w:pPr>
      <w:r>
        <w:t xml:space="preserve">what their obligations and reporting requirements are under each; and</w:t>
      </w:r>
    </w:p>
    <w:p>
      <w:pPr>
        <w:pStyle w:val="ListParagraph"/>
        <w:numPr>
          <w:ilvl w:val="0"/>
          <w:numId w:val="2"/>
        </w:numPr>
        <w:spacing w:after="80" w:line="276"/>
      </w:pPr>
      <w:r>
        <w:t xml:space="preserve">what that implies for Snag's own compliance posture, and for additional tools, policies, or procedures Snag may need to offer.</w:t>
      </w:r>
    </w:p>
    <w:p>
      <w:pPr>
        <w:spacing w:after="160" w:line="276"/>
      </w:pPr>
      <w:r>
        <w:t xml:space="preserve">It is a plain-language synthesis for product-planning purposes, not legal advice. Because the HSWA reform is mid-transition and politically contested ahead of the November 2026 election, any compliance claims, in-app guidance, or customer-facing legal content Snag produces from this analysis should be reviewed by a qualified NZ employment/health-and-safety lawyer before release, and revisited once the election outcome is known.</w:t>
      </w:r>
    </w:p>
    <w:p>
      <w:pPr>
        <w:pStyle w:val="Heading1"/>
        <w:pBdr>
          <w:bottom w:val="single" w:color="1F3864" w:sz="6" w:space="4"/>
        </w:pBdr>
        <w:spacing w:after="200" w:before="400"/>
      </w:pPr>
      <w:r>
        <w:t xml:space="preserve">Part A — The Current Legal Framework (HSWA 2015)</w:t>
      </w:r>
    </w:p>
    <w:p>
      <w:pPr>
        <w:spacing w:after="160" w:line="276"/>
      </w:pPr>
      <w:r>
        <w:t xml:space="preserve">This is the framework in force today, and — regardless of what happens at the 2026 election — the framework that will remain in force until at least 1 April 2027.</w:t>
      </w:r>
    </w:p>
    <w:p>
      <w:pPr>
        <w:pStyle w:val="Heading2"/>
        <w:spacing w:after="120" w:before="280"/>
      </w:pPr>
      <w:r>
        <w:t xml:space="preserve">A.1  Origins and purpose</w:t>
      </w:r>
    </w:p>
    <w:p>
      <w:pPr>
        <w:spacing w:after="160" w:line="276"/>
      </w:pPr>
      <w:r>
        <w:t xml:space="preserve">HSWA came into force in April 2016, replacing the Health and Safety in Employment Act 1992, in the wake of the 2010 Pike River Mine disaster and the independent taskforce review that followed it. Its guiding principle is that workers and others should be given the highest level of protection from workplace health and safety risks that is reasonably practicable, and it established WorkSafe New Zealand as the primary regulator. HSWA applies to nearly all work in New Zealand, with narrow exclusions such as Defence Force operational activity.</w:t>
      </w:r>
    </w:p>
    <w:p>
      <w:pPr>
        <w:pStyle w:val="Heading2"/>
        <w:spacing w:after="120" w:before="280"/>
      </w:pPr>
      <w:r>
        <w:t xml:space="preserve">A.2  Duty holders</w:t>
      </w:r>
    </w:p>
    <w:p>
      <w:pPr>
        <w:pStyle w:val="ListParagraph"/>
        <w:numPr>
          <w:ilvl w:val="0"/>
          <w:numId w:val="2"/>
        </w:numPr>
        <w:spacing w:after="80" w:line="276"/>
      </w:pPr>
      <w:r>
        <w:t xml:space="preserve">PCBU (person conducting a business or undertaking): the primary duty holder. A PCBU must ensure, so far as reasonably practicable, the health and safety of workers who work for it and whose work it influences or directs, and must not put other people — customers, visitors, the public — at risk from its work.</w:t>
      </w:r>
    </w:p>
    <w:p>
      <w:pPr>
        <w:pStyle w:val="ListParagraph"/>
        <w:numPr>
          <w:ilvl w:val="0"/>
          <w:numId w:val="2"/>
        </w:numPr>
        <w:spacing w:after="80" w:line="276"/>
      </w:pPr>
      <w:r>
        <w:t xml:space="preserve">Officers (directors, partners, and anyone with significant influence over management): owe a personal due diligence duty to proactively ensure the PCBU meets its obligations. This is currently interpreted broadly — following the High Court's decision in Sarginson v Civil Aviation Authority — to cover both an officer's governance role and any day-to-day operational role they also hold.</w:t>
      </w:r>
    </w:p>
    <w:p>
      <w:pPr>
        <w:pStyle w:val="ListParagraph"/>
        <w:numPr>
          <w:ilvl w:val="0"/>
          <w:numId w:val="2"/>
        </w:numPr>
        <w:spacing w:after="80" w:line="276"/>
      </w:pPr>
      <w:r>
        <w:t xml:space="preserve">Workers: must take reasonable care of their own health and safety and that of others, and follow reasonable instructions.</w:t>
      </w:r>
    </w:p>
    <w:p>
      <w:pPr>
        <w:pStyle w:val="ListParagraph"/>
        <w:numPr>
          <w:ilvl w:val="0"/>
          <w:numId w:val="2"/>
        </w:numPr>
        <w:spacing w:after="80" w:line="276"/>
      </w:pPr>
      <w:r>
        <w:t xml:space="preserve">Other persons at the workplace (contractors, visitors): also owe a duty to take reasonable care.</w:t>
      </w:r>
    </w:p>
    <w:p>
      <w:pPr>
        <w:spacing w:after="160" w:line="276"/>
      </w:pPr>
      <w:r>
        <w:t xml:space="preserve">Duties cannot be transferred away, and more than one PCBU can owe overlapping duties for the same work — for example, a franchisor and franchisee, or a site host and a visiting contractor.</w:t>
      </w:r>
    </w:p>
    <w:p>
      <w:pPr>
        <w:pStyle w:val="Heading2"/>
        <w:spacing w:after="120" w:before="280"/>
      </w:pPr>
      <w:r>
        <w:t xml:space="preserve">A.3  Worker engagement, participation and representation</w:t>
      </w:r>
    </w:p>
    <w:p>
      <w:pPr>
        <w:spacing w:after="160" w:line="276"/>
      </w:pPr>
      <w:r>
        <w:t xml:space="preserve">A PCBU must engage workers when identifying hazards, assessing and controlling risks, and making decisions about welfare facilities, procedures, or workplace changes that could affect them. Workers can request the election of a Health and Safety Representative (HSR) or the establishment of a Health and Safety Committee (where five or more workers request one). Since the Health and Safety at Work (Health and Safety Representatives and Committees) Amendment Act 2023, a PCBU can no longer decline these on the basis that the business or sector is low-risk — the old “high-risk sector” threshold was removed. Neither HSRs nor committees are compulsory unless requested.</w:t>
      </w:r>
    </w:p>
    <w:p>
      <w:pPr>
        <w:pStyle w:val="Heading2"/>
        <w:spacing w:after="120" w:before="280"/>
      </w:pPr>
      <w:r>
        <w:t xml:space="preserve">A.4  Notifiable events</w:t>
      </w:r>
    </w:p>
    <w:p>
      <w:pPr>
        <w:spacing w:after="160" w:line="276"/>
      </w:pPr>
      <w:r>
        <w:t xml:space="preserve">A “notifiable event” is a work-related death, a notifiable injury or illness, or a notifiable incident (HSWA ss 23–25). WorkSafe's guidance sets out three duties once a PCBU becomes aware of one:</w:t>
      </w:r>
    </w:p>
    <w:p>
      <w:pPr>
        <w:pStyle w:val="ListParagraph"/>
        <w:numPr>
          <w:ilvl w:val="0"/>
          <w:numId w:val="3"/>
        </w:numPr>
        <w:spacing w:after="80" w:line="276"/>
      </w:pPr>
      <w:r>
        <w:t xml:space="preserve">Preserve the site (subject to narrow exceptions — helping an injured person, making the site safe, police direction) until an inspector permits work to resume.</w:t>
      </w:r>
    </w:p>
    <w:p>
      <w:pPr>
        <w:pStyle w:val="ListParagraph"/>
        <w:numPr>
          <w:ilvl w:val="0"/>
          <w:numId w:val="3"/>
        </w:numPr>
        <w:spacing w:after="80" w:line="276"/>
      </w:pPr>
      <w:r>
        <w:t xml:space="preserve">Notify the regulator — WorkSafe, or Maritime NZ / the Civil Aviation Authority for shipping and aviation work — by the fastest means possible (phone 0800 030 040 or the online form), as soon as possible, even if emergency services already attended.</w:t>
      </w:r>
    </w:p>
    <w:p>
      <w:pPr>
        <w:pStyle w:val="ListParagraph"/>
        <w:numPr>
          <w:ilvl w:val="0"/>
          <w:numId w:val="3"/>
        </w:numPr>
        <w:spacing w:after="80" w:line="276"/>
      </w:pPr>
      <w:r>
        <w:t xml:space="preserve">Keep records of the event for at least five years from the date of notification.</w:t>
      </w:r>
    </w:p>
    <w:p>
      <w:pPr>
        <w:spacing w:after="160" w:line="276"/>
      </w:pPr>
      <w:r>
        <w:t xml:space="preserve">Only one notification is required per event even where multiple PCBUs are involved, but all involved PCBUs remain responsible for making sure it happens. Failing to notify is an offence carrying fines of up to $50,000 for an organisation and $10,000 for an individual. HSWA does not explicitly require a PCBU to investigate a notifiable event, but WorkSafe treats investigating what happened and what needs to change as good practice.</w:t>
      </w:r>
    </w:p>
    <w:p>
      <w:pPr>
        <w:pStyle w:val="Heading3"/>
        <w:spacing w:after="100" w:before="200"/>
      </w:pPr>
      <w:r>
        <w:t xml:space="preserve">What counts as a notifiable injury or illness (condensed from WorkSafe guidance)</w:t>
      </w:r>
    </w:p>
    <w:p>
      <w:pPr>
        <w:pStyle w:val="ListParagraph"/>
        <w:numPr>
          <w:ilvl w:val="0"/>
          <w:numId w:val="2"/>
        </w:numPr>
        <w:spacing w:after="80" w:line="276"/>
      </w:pPr>
      <w:r>
        <w:t xml:space="preserve">Any injury or illness that requires, or would usually require, hospital admission as an inpatient</w:t>
      </w:r>
    </w:p>
    <w:p>
      <w:pPr>
        <w:pStyle w:val="ListParagraph"/>
        <w:numPr>
          <w:ilvl w:val="0"/>
          <w:numId w:val="2"/>
        </w:numPr>
        <w:spacing w:after="80" w:line="276"/>
      </w:pPr>
      <w:r>
        <w:t xml:space="preserve">Amputation requiring immediate treatment</w:t>
      </w:r>
    </w:p>
    <w:p>
      <w:pPr>
        <w:pStyle w:val="ListParagraph"/>
        <w:numPr>
          <w:ilvl w:val="0"/>
          <w:numId w:val="2"/>
        </w:numPr>
        <w:spacing w:after="80" w:line="276"/>
      </w:pPr>
      <w:r>
        <w:t xml:space="preserve">A serious head injury (fractured skull, loss of consciousness, brain bleed or clot, memory loss)</w:t>
      </w:r>
    </w:p>
    <w:p>
      <w:pPr>
        <w:pStyle w:val="ListParagraph"/>
        <w:numPr>
          <w:ilvl w:val="0"/>
          <w:numId w:val="2"/>
        </w:numPr>
        <w:spacing w:after="80" w:line="276"/>
      </w:pPr>
      <w:r>
        <w:t xml:space="preserve">A serious eye injury (loss of vision, a penetrating object, contact with a damaging substance)</w:t>
      </w:r>
    </w:p>
    <w:p>
      <w:pPr>
        <w:pStyle w:val="ListParagraph"/>
        <w:numPr>
          <w:ilvl w:val="0"/>
          <w:numId w:val="2"/>
        </w:numPr>
        <w:spacing w:after="80" w:line="276"/>
      </w:pPr>
      <w:r>
        <w:t xml:space="preserve">A serious burn needing intensive or critical care</w:t>
      </w:r>
    </w:p>
    <w:p>
      <w:pPr>
        <w:pStyle w:val="ListParagraph"/>
        <w:numPr>
          <w:ilvl w:val="0"/>
          <w:numId w:val="2"/>
        </w:numPr>
        <w:spacing w:after="80" w:line="276"/>
      </w:pPr>
      <w:r>
        <w:t xml:space="preserve">Degloving or scalping injuries</w:t>
      </w:r>
    </w:p>
    <w:p>
      <w:pPr>
        <w:pStyle w:val="ListParagraph"/>
        <w:numPr>
          <w:ilvl w:val="0"/>
          <w:numId w:val="2"/>
        </w:numPr>
        <w:spacing w:after="80" w:line="276"/>
      </w:pPr>
      <w:r>
        <w:t xml:space="preserve">A spinal injury (not a simple strain or bruise)</w:t>
      </w:r>
    </w:p>
    <w:p>
      <w:pPr>
        <w:pStyle w:val="ListParagraph"/>
        <w:numPr>
          <w:ilvl w:val="0"/>
          <w:numId w:val="2"/>
        </w:numPr>
        <w:spacing w:after="80" w:line="276"/>
      </w:pPr>
      <w:r>
        <w:t xml:space="preserve">Loss of a bodily function — consciousness, speech, limb movement, an organ, or a sense</w:t>
      </w:r>
    </w:p>
    <w:p>
      <w:pPr>
        <w:pStyle w:val="ListParagraph"/>
        <w:numPr>
          <w:ilvl w:val="0"/>
          <w:numId w:val="2"/>
        </w:numPr>
        <w:spacing w:after="80" w:line="276"/>
      </w:pPr>
      <w:r>
        <w:t xml:space="preserve">Serious lacerations involving muscle, tendon, nerve, or blood vessel damage</w:t>
      </w:r>
    </w:p>
    <w:p>
      <w:pPr>
        <w:pStyle w:val="ListParagraph"/>
        <w:numPr>
          <w:ilvl w:val="0"/>
          <w:numId w:val="2"/>
        </w:numPr>
        <w:spacing w:after="80" w:line="276"/>
      </w:pPr>
      <w:r>
        <w:t xml:space="preserve">An injury or illness needing medical treatment within 48 hours of exposure to a substance</w:t>
      </w:r>
    </w:p>
    <w:p>
      <w:pPr>
        <w:pStyle w:val="ListParagraph"/>
        <w:numPr>
          <w:ilvl w:val="0"/>
          <w:numId w:val="2"/>
        </w:numPr>
        <w:spacing w:after="80" w:line="276"/>
      </w:pPr>
      <w:r>
        <w:t xml:space="preserve">A serious work-related infection (for example E. coli, leptospirosis, or Legionnaires' disease)</w:t>
      </w:r>
    </w:p>
    <w:p>
      <w:pPr>
        <w:spacing w:after="160" w:line="276"/>
      </w:pPr>
      <w:r>
        <w:t xml:space="preserve">A “notifiable incident” is a broader, separate category: an unplanned or uncontrolled event that exposes someone to serious risk from things like an escaping substance, an explosion or fire, a gas or steam escape, a potentially lethal electric shock, a fall of plant or material from height, a structural or excavation collapse, or a vessel collision or capsize. In effect, these are near-misses serious enough that someone could have been killed or badly hurt, whether or not anyone actually was.</w:t>
      </w:r>
    </w:p>
    <w:p>
      <w:pPr>
        <w:pStyle w:val="Heading2"/>
        <w:spacing w:after="120" w:before="280"/>
      </w:pPr>
      <w:r>
        <w:t xml:space="preserve">A.5  Record-keeping beyond notifiable events</w:t>
      </w:r>
    </w:p>
    <w:p>
      <w:pPr>
        <w:spacing w:after="160" w:line="276"/>
      </w:pPr>
      <w:r>
        <w:t xml:space="preserve">Beyond the five-year notifiable-event record, WorkSafe's guidance and general due-diligence expectations mean PCBUs should also keep risk and hazard registers, HSR election and training records, worker engagement and consultation records, training and induction records, and non-notifiable incident or near-miss records that support continuous improvement and help an officer demonstrate due diligence if ever challenged.</w:t>
      </w:r>
    </w:p>
    <w:p>
      <w:pPr>
        <w:pStyle w:val="Heading2"/>
        <w:spacing w:after="120" w:before="280"/>
      </w:pPr>
      <w:r>
        <w:t xml:space="preserve">A.6  Enforcement</w:t>
      </w:r>
    </w:p>
    <w:p>
      <w:pPr>
        <w:spacing w:after="160" w:line="276"/>
      </w:pPr>
      <w:r>
        <w:t xml:space="preserve">WorkSafe (or the relevant designated regulator) can issue improvement and prohibition notices and infringement notices, and can prosecute serious breaches; enforcement is prioritised toward high-risk activity and repeat non-compliance. Sentencing for HSWA offences can include fines and reparation to victims, and — separately — an officer can be personally prosecuted for a due diligence failure regardless of whether the PCBU itself is convicted.</w:t>
      </w:r>
    </w:p>
    <w:p>
      <w:pPr>
        <w:pStyle w:val="Heading2"/>
        <w:spacing w:after="120" w:before="280"/>
      </w:pPr>
      <w:r>
        <w:t xml:space="preserve">A.7  Key regulations that sit under HSWA</w:t>
      </w:r>
    </w:p>
    <w:p>
      <w:pPr>
        <w:spacing w:after="160" w:line="276"/>
      </w:pPr>
      <w:r>
        <w:t xml:space="preserve">The Health and Safety at Work (General Risk and Workplace Management) Regulations 2016 (the GRWM Regulations) set out concrete requirements likely to apply to most Snag customers regardless of industry: workplace facilities; information, training, instruction and supervision; personal protective equipment; worker exposure and health monitoring; first aid equipment, facilities and first aiders; emergency plans (tested at least yearly and reviewed on change); protections for young workers; and specific duties for remote or isolated work, including communication systems and check-ins. Depending on a customer's industry, more specific regimes may also apply — asbestos, major hazard facilities, mining and quarrying, petroleum, adventure activities — each carrying its own notification, licensing, and record obligations that sit alongside, rather than inside, HSWA's general notification pathway.</w:t>
      </w:r>
    </w:p>
    <w:p>
      <w:r>
        <w:br w:type="page"/>
      </w:r>
    </w:p>
    <w:p>
      <w:pPr>
        <w:pStyle w:val="Heading1"/>
        <w:pBdr>
          <w:bottom w:val="single" w:color="1F3864" w:sz="6" w:space="4"/>
        </w:pBdr>
        <w:spacing w:after="200" w:before="400"/>
      </w:pPr>
      <w:r>
        <w:t xml:space="preserve">Part B — The 2026 Amendment Act and the Political Landscape</w:t>
      </w:r>
    </w:p>
    <w:p>
      <w:pPr>
        <w:pStyle w:val="Heading2"/>
        <w:spacing w:after="120" w:before="280"/>
      </w:pPr>
      <w:r>
        <w:t xml:space="preserve">B.1  Legislative timeline</w:t>
      </w:r>
    </w:p>
    <w:p>
      <w:pPr>
        <w:pStyle w:val="ListParagraph"/>
        <w:numPr>
          <w:ilvl w:val="0"/>
          <w:numId w:val="2"/>
        </w:numPr>
        <w:spacing w:after="80" w:line="276"/>
      </w:pPr>
      <w:r>
        <w:t xml:space="preserve">2024: MBIE ran a nationwide consultation and roadshow on the health and safety system, drawing over 1,000 submissions before closing on 31 October 2024; the dominant theme was that businesses did not know what the law actually required of them.</w:t>
      </w:r>
    </w:p>
    <w:p>
      <w:pPr>
        <w:pStyle w:val="ListParagraph"/>
        <w:numPr>
          <w:ilvl w:val="0"/>
          <w:numId w:val="2"/>
        </w:numPr>
        <w:spacing w:after="80" w:line="276"/>
      </w:pPr>
      <w:r>
        <w:t xml:space="preserve">9 February 2026: the Health and Safety at Work Amendment Bill was introduced to Parliament.</w:t>
      </w:r>
    </w:p>
    <w:p>
      <w:pPr>
        <w:pStyle w:val="ListParagraph"/>
        <w:numPr>
          <w:ilvl w:val="0"/>
          <w:numId w:val="2"/>
        </w:numPr>
        <w:spacing w:after="80" w:line="276"/>
      </w:pPr>
      <w:r>
        <w:t xml:space="preserve">12 February 2026: the Bill passed its first reading and went to the Education and Workforce Select Committee.</w:t>
      </w:r>
    </w:p>
    <w:p>
      <w:pPr>
        <w:pStyle w:val="ListParagraph"/>
        <w:numPr>
          <w:ilvl w:val="0"/>
          <w:numId w:val="2"/>
        </w:numPr>
        <w:spacing w:after="80" w:line="276"/>
      </w:pPr>
      <w:r>
        <w:t xml:space="preserve">End of March 2026: select committee submissions closed.</w:t>
      </w:r>
    </w:p>
    <w:p>
      <w:pPr>
        <w:pStyle w:val="ListParagraph"/>
        <w:numPr>
          <w:ilvl w:val="0"/>
          <w:numId w:val="2"/>
        </w:numPr>
        <w:spacing w:after="80" w:line="276"/>
      </w:pPr>
      <w:r>
        <w:t xml:space="preserve">16 June 2026: the select committee reported back, recommending the Bill be passed with amendments — including confirming that mental health harm can constitute a critical risk, and initially proposing a 1 November 2026 commencement date.</w:t>
      </w:r>
    </w:p>
    <w:p>
      <w:pPr>
        <w:pStyle w:val="ListParagraph"/>
        <w:numPr>
          <w:ilvl w:val="0"/>
          <w:numId w:val="2"/>
        </w:numPr>
        <w:spacing w:after="80" w:line="276"/>
      </w:pPr>
      <w:r>
        <w:t xml:space="preserve">1 July 2026: the Bill passed its third reading. A government amendment further pushed commencement of most provisions from the committee's proposed 1 November 2026 out to 1 April 2027 — deliberately after the 7 November 2026 general election. A small number of provisions (allowing new Approved Code of Practice “safe harbour” status to be used in court) take effect the day after Royal assent, ahead of the main commencement date.</w:t>
      </w:r>
    </w:p>
    <w:p>
      <w:pPr>
        <w:pStyle w:val="Heading2"/>
        <w:spacing w:after="120" w:before="280"/>
      </w:pPr>
      <w:r>
        <w:t xml:space="preserve">B.2  Substantive changes (once, and if, the Act commences on 1 April 2027)</w:t>
      </w:r>
    </w:p>
    <w:p>
      <w:pPr>
        <w:pStyle w:val="ListParagraph"/>
        <w:numPr>
          <w:ilvl w:val="0"/>
          <w:numId w:val="2"/>
        </w:numPr>
        <w:spacing w:after="80" w:line="276"/>
      </w:pPr>
      <w:r>
        <w:t xml:space="preserve">New purpose: HSWA's purpose provision is amended so the Act “prioritises the critical risks that arise from work,” with a matching change to WorkSafe's own statutory objectives.</w:t>
      </w:r>
    </w:p>
    <w:p>
      <w:pPr>
        <w:pStyle w:val="ListParagraph"/>
        <w:numPr>
          <w:ilvl w:val="0"/>
          <w:numId w:val="2"/>
        </w:numPr>
        <w:spacing w:after="80" w:line="276"/>
      </w:pPr>
      <w:r>
        <w:t xml:space="preserve">“Critical risk” is newly defined, in two parts: (1) hazards already governed by existing high-risk regimes — asbestos, hazardous substances, mining, major hazard facilities, and other prescribed hazards; and (2) any other hazard likely to cause death, a notifiable injury, illness or incident, or an occupational disease listed in Schedule 2 of the Accident Compensation Act 2001. The select committee confirmed that harm to mental health can qualify as a critical risk where it is likely to result in serious physical harm.</w:t>
      </w:r>
    </w:p>
    <w:p>
      <w:pPr>
        <w:pStyle w:val="ListParagraph"/>
        <w:numPr>
          <w:ilvl w:val="0"/>
          <w:numId w:val="2"/>
        </w:numPr>
        <w:spacing w:after="80" w:line="276"/>
      </w:pPr>
      <w:r>
        <w:t xml:space="preserve">“Small PCBU” is defined as a business with fewer than 20 workers (with a nine-of-twelve-months test for seasonal or fluctuating workforces) — capturing roughly 97% of New Zealand businesses. Small PCBUs will only need to identify, manage and prioritise critical risks, plus meet baseline worker welfare facility requirements, rather than manage all workplace risks. Other PCBUs must still manage all risks but are explicitly required to prioritise critical ones. The select committee also clarified that where a small PCBU shares a duty with a larger PCBU on the same matter, the small PCBU only has to cooperate on the critical-risk aspects of that shared duty.</w:t>
      </w:r>
    </w:p>
    <w:p>
      <w:pPr>
        <w:pStyle w:val="ListParagraph"/>
        <w:numPr>
          <w:ilvl w:val="0"/>
          <w:numId w:val="2"/>
        </w:numPr>
        <w:spacing w:after="80" w:line="276"/>
      </w:pPr>
      <w:r>
        <w:t xml:space="preserve">Officer due diligence is narrowed to an officer's governance role specifically — reversing the broader reading taken in Sarginson v Civil Aviation Authority — and the current open-ended due diligence requirement is replaced with a closed, defined list. This matters most for small businesses, where the same person is commonly both an officer and a hands-on worker.</w:t>
      </w:r>
    </w:p>
    <w:p>
      <w:pPr>
        <w:pStyle w:val="ListParagraph"/>
        <w:numPr>
          <w:ilvl w:val="0"/>
          <w:numId w:val="2"/>
        </w:numPr>
        <w:spacing w:after="80" w:line="276"/>
      </w:pPr>
      <w:r>
        <w:t xml:space="preserve">Notification requirements are clarified rather than substantively changed: the Act adds illustrative examples (serious head, eye, burn, and spinal injuries, among others) to reduce uncertainty about when the notification threshold is met.</w:t>
      </w:r>
    </w:p>
    <w:p>
      <w:pPr>
        <w:pStyle w:val="ListParagraph"/>
        <w:numPr>
          <w:ilvl w:val="0"/>
          <w:numId w:val="2"/>
        </w:numPr>
        <w:spacing w:after="80" w:line="276"/>
      </w:pPr>
      <w:r>
        <w:t xml:space="preserve">Approved Codes of Practice (ACOPs) become more powerful: acting in accordance with an ACOP for a given risk will be deemed compliance — a “safe harbour” — for that risk, and third parties will be able to submit draft ACOPs for the regulator to consider. Because most existing ACOPs were not written to operate as safe harbours, only the two most recent — the 2024 ports cargo loading/unloading code and the 2025 forestry and harvesting code — get safe-harbour status immediately, with the rest needing review first.</w:t>
      </w:r>
    </w:p>
    <w:p>
      <w:pPr>
        <w:pStyle w:val="ListParagraph"/>
        <w:numPr>
          <w:ilvl w:val="0"/>
          <w:numId w:val="2"/>
        </w:numPr>
        <w:spacing w:after="80" w:line="276"/>
      </w:pPr>
      <w:r>
        <w:t xml:space="preserve">Overlaps with other legislation are clarified: complying with an equivalent risk-management requirement under another enactment (for example, aviation or maritime law) counts as HSWA compliance too, so there is no duplicate layer of obligation; and owners of earthquake-prone buildings who comply with the Building Act 2004 do not need to take extra HSWA steps for seismic risk absent an actual emergency.</w:t>
      </w:r>
    </w:p>
    <w:p>
      <w:pPr>
        <w:pStyle w:val="ListParagraph"/>
        <w:numPr>
          <w:ilvl w:val="0"/>
          <w:numId w:val="2"/>
        </w:numPr>
        <w:spacing w:after="80" w:line="276"/>
      </w:pPr>
      <w:r>
        <w:t xml:space="preserve">Landowners generally will not owe HSWA duties to people using their land for recreational purposes, unless the activity is part of the landowner's own business or coincides with work being carried out at the same time and place — a direct response to the Whakaari/White Island prosecution and its later reversal on appeal.</w:t>
      </w:r>
    </w:p>
    <w:p>
      <w:pPr>
        <w:pStyle w:val="ListParagraph"/>
        <w:numPr>
          <w:ilvl w:val="0"/>
          <w:numId w:val="2"/>
        </w:numPr>
        <w:spacing w:after="80" w:line="276"/>
      </w:pPr>
      <w:r>
        <w:t xml:space="preserve">WorkSafe's and other regulators' statutory functions are reframed around guidance and advice first, then ACOP development, then monitoring and enforcement — a shift in emphasis from an enforcement-led posture to an advice-led one.</w:t>
      </w:r>
    </w:p>
    <w:p>
      <w:pPr>
        <w:pStyle w:val="Heading2"/>
        <w:spacing w:after="120" w:before="280"/>
      </w:pPr>
      <w:r>
        <w:t xml:space="preserve">B.3  Political landscape and election risk</w:t>
      </w:r>
    </w:p>
    <w:p>
      <w:pPr>
        <w:spacing w:after="160" w:line="276"/>
      </w:pPr>
      <w:r>
        <w:t xml:space="preserve">The Bill delivers on the ACT–National coalition agreement and was led by Workplace Relations and Safety Minister Brooke van Velden. New Zealand First voted for it as a coalition commitment but was visibly uncomfortable, and secured the commencement delay as its main concession — while also signalling it wants further changes after the election even if the coalition continues. ACT has said it would resist any future move to repeal the law while in government.</w:t>
      </w:r>
    </w:p>
    <w:p>
      <w:pPr>
        <w:spacing w:after="160" w:line="276"/>
      </w:pPr>
      <w:r>
        <w:t xml:space="preserve">Labour's workplace relations spokesperson Jan Tinetti has pledged to repeal the Act if Labour leads the next government, describing it in the third-reading debate as a step backward for worker safety. The Greens' Teanau Tuiono criticised the process as rushed, noting that the only committee-stage amendment ultimately adopted was the government's own change to the commencement date. Families connected to past workplace tragedies, including Pike River, opposed the changes throughout. Business groups — for example Business Canterbury — have welcomed the reforms and want the next government to retain them.</w:t>
      </w:r>
    </w:p>
    <w:p>
      <w:pPr>
        <w:spacing w:after="160" w:line="276"/>
      </w:pPr>
      <w:r>
        <w:t xml:space="preserve">Because the general election falls on 7 November 2026 — five months before the 1 April 2027 commencement date — the amended regime's survival, and possibly its final content, is genuinely contingent on the election outcome. Nothing about the election result changes what applies today: the current, unamended HSWA remains in force regardless of who wins, at least until 1 April 2027, and only then if the Amendment Act is not itself repealed or altered first.</w:t>
      </w:r>
    </w:p>
    <w:p>
      <w:pPr>
        <w:pStyle w:val="Heading2"/>
        <w:spacing w:after="120" w:before="280"/>
      </w:pPr>
      <w:r>
        <w:t xml:space="preserve">B.4  Practical implication for compliance planning now</w:t>
      </w:r>
    </w:p>
    <w:p>
      <w:pPr>
        <w:spacing w:after="160" w:line="276"/>
      </w:pPr>
      <w:r>
        <w:t xml:space="preserve">Snag and its customers should treat the current HSWA 2015 (Part A above) as the compliance baseline for the rest of 2026 and, most likely, into 2027. The direction of the 2026 Amendment Act — less paperwork, more focus on a defined set of critical risks — is well-documented and reasonably likely to survive in some form even if its precise final content is not yet locked in. It is therefore reasonable to design Snag's data model and taxonomy so it could accommodate a “critical risk” concept later, without switching on any customer-facing workflow around it, or treating it as compulsory, until the law actually commences and its survival past the election is clear.</w:t>
      </w:r>
    </w:p>
    <w:p>
      <w:r>
        <w:br w:type="page"/>
      </w:r>
    </w:p>
    <w:p>
      <w:pPr>
        <w:pStyle w:val="Heading1"/>
        <w:pBdr>
          <w:bottom w:val="single" w:color="1F3864" w:sz="6" w:space="4"/>
        </w:pBdr>
        <w:spacing w:after="200" w:before="400"/>
      </w:pPr>
      <w:r>
        <w:t xml:space="preserve">Part C — Adjacent Legislation</w:t>
      </w:r>
    </w:p>
    <w:p>
      <w:pPr>
        <w:pStyle w:val="Heading2"/>
        <w:spacing w:after="120" w:before="280"/>
      </w:pPr>
      <w:r>
        <w:t xml:space="preserve">C.1  Accident Compensation Act 2001 (ACC)</w:t>
      </w:r>
    </w:p>
    <w:p>
      <w:pPr>
        <w:spacing w:after="160" w:line="276"/>
      </w:pPr>
      <w:r>
        <w:t xml:space="preserve">ACC provides 24-hour, no-fault personal injury cover for everyone in New Zealand, funded partly through employer levies. When a worker is injured, the employer typically helps them lodge an ACC45 claim with a treatment provider, and — for work-related injuries — must take all practicable steps to support the worker's vocational rehabilitation and safe return to work (including modified duties or graduated hours), separately from and in addition to its HSWA duties. Employers receive monthly, and six-monthly (April and October), claims-activity reports from ACC. Notably, the 2026 HSWA Amendment Act ties part of its “critical risk” definition to the occupational diseases listed in Schedule 2 of the ACC Act, so that schedule now does double duty as a reference point for HSWA risk prioritisation as well as for cover and levies.</w:t>
      </w:r>
    </w:p>
    <w:p>
      <w:pPr>
        <w:pStyle w:val="Heading2"/>
        <w:spacing w:after="120" w:before="280"/>
      </w:pPr>
      <w:r>
        <w:t xml:space="preserve">C.2  Privacy Act 2020 and the Health Information Privacy Code 2020</w:t>
      </w:r>
    </w:p>
    <w:p>
      <w:pPr>
        <w:spacing w:after="160" w:line="276"/>
      </w:pPr>
      <w:r>
        <w:t xml:space="preserve">Incident, injury, and investigation records are personal information, and where they describe an injury, illness, or medical treatment they are specifically “health information” for the purposes of the Health Information Privacy Code 2020 (HIPC), which modifies the Privacy Act's thirteen Information Privacy Principles for health-sector-style data. Two things matter most for a platform like Snag:</w:t>
      </w:r>
    </w:p>
    <w:p>
      <w:pPr>
        <w:pStyle w:val="ListParagraph"/>
        <w:numPr>
          <w:ilvl w:val="0"/>
          <w:numId w:val="2"/>
        </w:numPr>
        <w:spacing w:after="80" w:line="276"/>
      </w:pPr>
      <w:r>
        <w:t xml:space="preserve">Mandatory breach notification: since December 2020, an agency must notify the Privacy Commissioner, and affected individuals (or the public, if individual notice is not practicable), of any “notifiable privacy breach” — one that has caused, or is likely to cause, serious harm — as soon as practicable after becoming aware of it. The Commissioner's practical expectation is notification within roughly 72 hours of the agency concluding the breach is notifiable (the clock starts once that assessment is made, not from first discovery). Health information is treated as more likely to cause serious harm if breached than, for example, a name or work email address. Failing to notify is itself an offence carrying a fine of up to $10,000, absent a reasonable excuse.</w:t>
      </w:r>
    </w:p>
    <w:p>
      <w:pPr>
        <w:pStyle w:val="ListParagraph"/>
        <w:numPr>
          <w:ilvl w:val="0"/>
          <w:numId w:val="2"/>
        </w:numPr>
        <w:spacing w:after="80" w:line="276"/>
      </w:pPr>
      <w:r>
        <w:t xml:space="preserve">Collection and storage limits: the information privacy principles covering collection, security, and retention mean an incident-reporting product should be deliberate about what health detail it collects, who can see it, and how long it keeps it — a rule that sits directly alongside, and in some tension with, HSWA's separate five-year minimum retention rule for notifiable-event records specifically.</w:t>
      </w:r>
    </w:p>
    <w:p>
      <w:pPr>
        <w:pStyle w:val="Heading2"/>
        <w:spacing w:after="120" w:before="280"/>
      </w:pPr>
      <w:r>
        <w:t xml:space="preserve">C.3  Employment Relations Act 2000 (ERA)</w:t>
      </w:r>
    </w:p>
    <w:p>
      <w:pPr>
        <w:spacing w:after="160" w:line="276"/>
      </w:pPr>
      <w:r>
        <w:t xml:space="preserve">Where a health-and-safety investigation — a root-cause analysis, a debrief, an investigation finding — touches on an individual worker's conduct and could lead to disciplinary action, the employer's process is separately tested against the ERA's good-faith obligation and the “fair and reasonable employer” standard in section 103A. In practice, the Employment Relations Authority and the courts look for: clear, stable, and specific allegations communicated to the worker; a genuine, unbiased investigation rather than one where the outcome is predetermined; a real opportunity for the worker to respond, with adequate time and support; and a decision-maker who actually considers that response before any outcome is decided. These “natural justice” principles are a well-established feature of NZ employment law regardless of what triggers them, but a health-and-safety incident is a common trigger, because the same event can generate both a safety root-cause record and, separately, a disciplinary process about an individual's actions.</w:t>
      </w:r>
    </w:p>
    <w:p>
      <w:pPr>
        <w:pStyle w:val="Heading2"/>
        <w:spacing w:after="120" w:before="280"/>
      </w:pPr>
      <w:r>
        <w:t xml:space="preserve">C.4  Human Rights Act 1993 (brief)</w:t>
      </w:r>
    </w:p>
    <w:p>
      <w:pPr>
        <w:spacing w:after="160" w:line="276"/>
      </w:pPr>
      <w:r>
        <w:t xml:space="preserve">Investigation and disciplinary processes must also avoid discriminating on prohibited grounds such as disability or health status. This mostly affects how a PCBU handles the outcome of an investigation rather than the design of an incident-reporting tool itself, but is worth flagging as background, particularly for injury or illness cases that touch on a worker's disability or health status.</w:t>
      </w:r>
    </w:p>
    <w:p>
      <w:pPr>
        <w:pStyle w:val="Heading1"/>
        <w:pBdr>
          <w:bottom w:val="single" w:color="1F3864" w:sz="6" w:space="4"/>
        </w:pBdr>
        <w:spacing w:after="200" w:before="400"/>
      </w:pPr>
      <w:r>
        <w:t xml:space="preserve">Part D — Obligations &amp; Reporting Requirements Matrix</w:t>
      </w:r>
    </w:p>
    <w:p>
      <w:pPr>
        <w:spacing w:after="160" w:line="276"/>
      </w:pPr>
      <w:r>
        <w:t xml:space="preserve">The two tables below consolidate Parts A–C into a single reference point.</w:t>
      </w:r>
    </w:p>
    <w:p>
      <w:pPr>
        <w:pStyle w:val="Heading2"/>
        <w:spacing w:after="120" w:before="280"/>
      </w:pPr>
      <w:r>
        <w:t xml:space="preserve">D.1  Duty holders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gridCol w:w="2400"/>
      </w:tblGrid>
      <w:tr>
        <w:trPr>
          <w:tblHeader/>
        </w:trPr>
        <w:tc>
          <w:tcPr>
            <w:tcW w:type="dxa" w:w="3000"/>
            <w:shd w:fill="1F3864" w:val="clear"/>
            <w:tcMar>
              <w:top w:type="dxa" w:w="100"/>
              <w:left w:type="dxa" w:w="120"/>
              <w:bottom w:type="dxa" w:w="100"/>
              <w:right w:type="dxa" w:w="120"/>
            </w:tcMar>
          </w:tcPr>
          <w:p>
            <w:pPr>
              <w:jc w:val="left"/>
            </w:pPr>
            <w:r>
              <w:rPr>
                <w:b/>
                <w:bCs/>
                <w:color w:val="FFFFFF"/>
                <w:sz w:val="19"/>
                <w:szCs w:val="19"/>
              </w:rPr>
              <w:t xml:space="preserve">Duty holder</w:t>
            </w:r>
          </w:p>
        </w:tc>
        <w:tc>
          <w:tcPr>
            <w:tcW w:type="dxa" w:w="5300"/>
            <w:shd w:fill="1F3864" w:val="clear"/>
            <w:tcMar>
              <w:top w:type="dxa" w:w="100"/>
              <w:left w:type="dxa" w:w="120"/>
              <w:bottom w:type="dxa" w:w="100"/>
              <w:right w:type="dxa" w:w="120"/>
            </w:tcMar>
          </w:tcPr>
          <w:p>
            <w:pPr>
              <w:jc w:val="left"/>
            </w:pPr>
            <w:r>
              <w:rPr>
                <w:b/>
                <w:bCs/>
                <w:color w:val="FFFFFF"/>
                <w:sz w:val="19"/>
                <w:szCs w:val="19"/>
              </w:rPr>
              <w:t xml:space="preserve">Core obligation</w:t>
            </w:r>
          </w:p>
        </w:tc>
        <w:tc>
          <w:tcPr>
            <w:tcW w:type="dxa" w:w="2400"/>
            <w:shd w:fill="1F3864" w:val="clear"/>
            <w:tcMar>
              <w:top w:type="dxa" w:w="100"/>
              <w:left w:type="dxa" w:w="120"/>
              <w:bottom w:type="dxa" w:w="100"/>
              <w:right w:type="dxa" w:w="120"/>
            </w:tcMar>
          </w:tcPr>
          <w:p>
            <w:pPr>
              <w:jc w:val="left"/>
            </w:pPr>
            <w:r>
              <w:rPr>
                <w:b/>
                <w:bCs/>
                <w:color w:val="FFFFFF"/>
                <w:sz w:val="19"/>
                <w:szCs w:val="19"/>
              </w:rPr>
              <w:t xml:space="preserve">Key basis</w:t>
            </w:r>
          </w:p>
        </w:tc>
      </w:tr>
      <w:tr>
        <w:tc>
          <w:tcPr>
            <w:tcW w:type="dxa" w:w="3000"/>
            <w:tcMar>
              <w:top w:type="dxa" w:w="100"/>
              <w:left w:type="dxa" w:w="120"/>
              <w:bottom w:type="dxa" w:w="100"/>
              <w:right w:type="dxa" w:w="120"/>
            </w:tcMar>
          </w:tcPr>
          <w:p>
            <w:pPr>
              <w:jc w:val="left"/>
            </w:pPr>
            <w:r>
              <w:rPr>
                <w:b w:val="false"/>
                <w:bCs w:val="false"/>
                <w:color w:val="000000"/>
                <w:sz w:val="19"/>
                <w:szCs w:val="19"/>
              </w:rPr>
              <w:t xml:space="preserve">PCBU</w:t>
            </w:r>
          </w:p>
        </w:tc>
        <w:tc>
          <w:tcPr>
            <w:tcW w:type="dxa" w:w="5300"/>
            <w:tcMar>
              <w:top w:type="dxa" w:w="100"/>
              <w:left w:type="dxa" w:w="120"/>
              <w:bottom w:type="dxa" w:w="100"/>
              <w:right w:type="dxa" w:w="120"/>
            </w:tcMar>
          </w:tcPr>
          <w:p>
            <w:pPr>
              <w:jc w:val="left"/>
            </w:pPr>
            <w:r>
              <w:rPr>
                <w:b w:val="false"/>
                <w:bCs w:val="false"/>
                <w:color w:val="000000"/>
                <w:sz w:val="19"/>
                <w:szCs w:val="19"/>
              </w:rPr>
              <w:t xml:space="preserve">Ensure, so far as reasonably practicable, the health and safety of workers and others affected by the work</w:t>
            </w:r>
          </w:p>
        </w:tc>
        <w:tc>
          <w:tcPr>
            <w:tcW w:type="dxa" w:w="2400"/>
            <w:tcMar>
              <w:top w:type="dxa" w:w="100"/>
              <w:left w:type="dxa" w:w="120"/>
              <w:bottom w:type="dxa" w:w="100"/>
              <w:right w:type="dxa" w:w="120"/>
            </w:tcMar>
          </w:tcPr>
          <w:p>
            <w:pPr>
              <w:jc w:val="left"/>
            </w:pPr>
            <w:r>
              <w:rPr>
                <w:b w:val="false"/>
                <w:bCs w:val="false"/>
                <w:color w:val="000000"/>
                <w:sz w:val="19"/>
                <w:szCs w:val="19"/>
              </w:rPr>
              <w:t xml:space="preserve">HSWA ss 36–37</w:t>
            </w:r>
          </w:p>
        </w:tc>
      </w:tr>
      <w:tr>
        <w:tc>
          <w:tcPr>
            <w:tcW w:type="dxa" w:w="3000"/>
            <w:shd w:fill="F2F2F2" w:val="clear"/>
            <w:tcMar>
              <w:top w:type="dxa" w:w="100"/>
              <w:left w:type="dxa" w:w="120"/>
              <w:bottom w:type="dxa" w:w="100"/>
              <w:right w:type="dxa" w:w="120"/>
            </w:tcMar>
          </w:tcPr>
          <w:p>
            <w:pPr>
              <w:jc w:val="left"/>
            </w:pPr>
            <w:r>
              <w:rPr>
                <w:b w:val="false"/>
                <w:bCs w:val="false"/>
                <w:color w:val="000000"/>
                <w:sz w:val="19"/>
                <w:szCs w:val="19"/>
              </w:rPr>
              <w:t xml:space="preserve">Officer</w:t>
            </w:r>
          </w:p>
        </w:tc>
        <w:tc>
          <w:tcPr>
            <w:tcW w:type="dxa" w:w="5300"/>
            <w:shd w:fill="F2F2F2" w:val="clear"/>
            <w:tcMar>
              <w:top w:type="dxa" w:w="100"/>
              <w:left w:type="dxa" w:w="120"/>
              <w:bottom w:type="dxa" w:w="100"/>
              <w:right w:type="dxa" w:w="120"/>
            </w:tcMar>
          </w:tcPr>
          <w:p>
            <w:pPr>
              <w:jc w:val="left"/>
            </w:pPr>
            <w:r>
              <w:rPr>
                <w:b w:val="false"/>
                <w:bCs w:val="false"/>
                <w:color w:val="000000"/>
                <w:sz w:val="19"/>
                <w:szCs w:val="19"/>
              </w:rPr>
              <w:t xml:space="preserve">Exercise due diligence to ensure the PCBU meets its duties. Currently covers both governance and any operational role held; from the 2026 Act's commencement, narrowed to the governance role only, against a closed list</w:t>
            </w:r>
          </w:p>
        </w:tc>
        <w:tc>
          <w:tcPr>
            <w:tcW w:type="dxa" w:w="2400"/>
            <w:shd w:fill="F2F2F2" w:val="clear"/>
            <w:tcMar>
              <w:top w:type="dxa" w:w="100"/>
              <w:left w:type="dxa" w:w="120"/>
              <w:bottom w:type="dxa" w:w="100"/>
              <w:right w:type="dxa" w:w="120"/>
            </w:tcMar>
          </w:tcPr>
          <w:p>
            <w:pPr>
              <w:jc w:val="left"/>
            </w:pPr>
            <w:r>
              <w:rPr>
                <w:b w:val="false"/>
                <w:bCs w:val="false"/>
                <w:color w:val="000000"/>
                <w:sz w:val="19"/>
                <w:szCs w:val="19"/>
              </w:rPr>
              <w:t xml:space="preserve">HSWA s 44; amended by the 2026 Act</w:t>
            </w:r>
          </w:p>
        </w:tc>
      </w:tr>
      <w:tr>
        <w:tc>
          <w:tcPr>
            <w:tcW w:type="dxa" w:w="3000"/>
            <w:tcMar>
              <w:top w:type="dxa" w:w="100"/>
              <w:left w:type="dxa" w:w="120"/>
              <w:bottom w:type="dxa" w:w="100"/>
              <w:right w:type="dxa" w:w="120"/>
            </w:tcMar>
          </w:tcPr>
          <w:p>
            <w:pPr>
              <w:jc w:val="left"/>
            </w:pPr>
            <w:r>
              <w:rPr>
                <w:b w:val="false"/>
                <w:bCs w:val="false"/>
                <w:color w:val="000000"/>
                <w:sz w:val="19"/>
                <w:szCs w:val="19"/>
              </w:rPr>
              <w:t xml:space="preserve">Worker</w:t>
            </w:r>
          </w:p>
        </w:tc>
        <w:tc>
          <w:tcPr>
            <w:tcW w:type="dxa" w:w="5300"/>
            <w:tcMar>
              <w:top w:type="dxa" w:w="100"/>
              <w:left w:type="dxa" w:w="120"/>
              <w:bottom w:type="dxa" w:w="100"/>
              <w:right w:type="dxa" w:w="120"/>
            </w:tcMar>
          </w:tcPr>
          <w:p>
            <w:pPr>
              <w:jc w:val="left"/>
            </w:pPr>
            <w:r>
              <w:rPr>
                <w:b w:val="false"/>
                <w:bCs w:val="false"/>
                <w:color w:val="000000"/>
                <w:sz w:val="19"/>
                <w:szCs w:val="19"/>
              </w:rPr>
              <w:t xml:space="preserve">Take reasonable care of self and others; follow reasonable instructions</w:t>
            </w:r>
          </w:p>
        </w:tc>
        <w:tc>
          <w:tcPr>
            <w:tcW w:type="dxa" w:w="2400"/>
            <w:tcMar>
              <w:top w:type="dxa" w:w="100"/>
              <w:left w:type="dxa" w:w="120"/>
              <w:bottom w:type="dxa" w:w="100"/>
              <w:right w:type="dxa" w:w="120"/>
            </w:tcMar>
          </w:tcPr>
          <w:p>
            <w:pPr>
              <w:jc w:val="left"/>
            </w:pPr>
            <w:r>
              <w:rPr>
                <w:b w:val="false"/>
                <w:bCs w:val="false"/>
                <w:color w:val="000000"/>
                <w:sz w:val="19"/>
                <w:szCs w:val="19"/>
              </w:rPr>
              <w:t xml:space="preserve">HSWA s 45</w:t>
            </w:r>
          </w:p>
        </w:tc>
      </w:tr>
      <w:tr>
        <w:tc>
          <w:tcPr>
            <w:tcW w:type="dxa" w:w="3000"/>
            <w:shd w:fill="F2F2F2" w:val="clear"/>
            <w:tcMar>
              <w:top w:type="dxa" w:w="100"/>
              <w:left w:type="dxa" w:w="120"/>
              <w:bottom w:type="dxa" w:w="100"/>
              <w:right w:type="dxa" w:w="120"/>
            </w:tcMar>
          </w:tcPr>
          <w:p>
            <w:pPr>
              <w:jc w:val="left"/>
            </w:pPr>
            <w:r>
              <w:rPr>
                <w:b w:val="false"/>
                <w:bCs w:val="false"/>
                <w:color w:val="000000"/>
                <w:sz w:val="19"/>
                <w:szCs w:val="19"/>
              </w:rPr>
              <w:t xml:space="preserve">Other persons at the workplace</w:t>
            </w:r>
          </w:p>
        </w:tc>
        <w:tc>
          <w:tcPr>
            <w:tcW w:type="dxa" w:w="5300"/>
            <w:shd w:fill="F2F2F2" w:val="clear"/>
            <w:tcMar>
              <w:top w:type="dxa" w:w="100"/>
              <w:left w:type="dxa" w:w="120"/>
              <w:bottom w:type="dxa" w:w="100"/>
              <w:right w:type="dxa" w:w="120"/>
            </w:tcMar>
          </w:tcPr>
          <w:p>
            <w:pPr>
              <w:jc w:val="left"/>
            </w:pPr>
            <w:r>
              <w:rPr>
                <w:b w:val="false"/>
                <w:bCs w:val="false"/>
                <w:color w:val="000000"/>
                <w:sz w:val="19"/>
                <w:szCs w:val="19"/>
              </w:rPr>
              <w:t xml:space="preserve">Take reasonable care of self and others</w:t>
            </w:r>
          </w:p>
        </w:tc>
        <w:tc>
          <w:tcPr>
            <w:tcW w:type="dxa" w:w="2400"/>
            <w:shd w:fill="F2F2F2" w:val="clear"/>
            <w:tcMar>
              <w:top w:type="dxa" w:w="100"/>
              <w:left w:type="dxa" w:w="120"/>
              <w:bottom w:type="dxa" w:w="100"/>
              <w:right w:type="dxa" w:w="120"/>
            </w:tcMar>
          </w:tcPr>
          <w:p>
            <w:pPr>
              <w:jc w:val="left"/>
            </w:pPr>
            <w:r>
              <w:rPr>
                <w:b w:val="false"/>
                <w:bCs w:val="false"/>
                <w:color w:val="000000"/>
                <w:sz w:val="19"/>
                <w:szCs w:val="19"/>
              </w:rPr>
              <w:t xml:space="preserve">HSWA s 46</w:t>
            </w:r>
          </w:p>
        </w:tc>
      </w:tr>
      <w:tr>
        <w:tc>
          <w:tcPr>
            <w:tcW w:type="dxa" w:w="3000"/>
            <w:tcMar>
              <w:top w:type="dxa" w:w="100"/>
              <w:left w:type="dxa" w:w="120"/>
              <w:bottom w:type="dxa" w:w="100"/>
              <w:right w:type="dxa" w:w="120"/>
            </w:tcMar>
          </w:tcPr>
          <w:p>
            <w:pPr>
              <w:jc w:val="left"/>
            </w:pPr>
            <w:r>
              <w:rPr>
                <w:b w:val="false"/>
                <w:bCs w:val="false"/>
                <w:color w:val="000000"/>
                <w:sz w:val="19"/>
                <w:szCs w:val="19"/>
              </w:rPr>
              <w:t xml:space="preserve">“Small PCBU” (&lt; 20 workers, from the 2026 Act's commencement)</w:t>
            </w:r>
          </w:p>
        </w:tc>
        <w:tc>
          <w:tcPr>
            <w:tcW w:type="dxa" w:w="5300"/>
            <w:tcMar>
              <w:top w:type="dxa" w:w="100"/>
              <w:left w:type="dxa" w:w="120"/>
              <w:bottom w:type="dxa" w:w="100"/>
              <w:right w:type="dxa" w:w="120"/>
            </w:tcMar>
          </w:tcPr>
          <w:p>
            <w:pPr>
              <w:jc w:val="left"/>
            </w:pPr>
            <w:r>
              <w:rPr>
                <w:b w:val="false"/>
                <w:bCs w:val="false"/>
                <w:color w:val="000000"/>
                <w:sz w:val="19"/>
                <w:szCs w:val="19"/>
              </w:rPr>
              <w:t xml:space="preserve">Identify, manage and prioritise critical risks; meet baseline worker welfare facility requirements</w:t>
            </w:r>
          </w:p>
        </w:tc>
        <w:tc>
          <w:tcPr>
            <w:tcW w:type="dxa" w:w="2400"/>
            <w:tcMar>
              <w:top w:type="dxa" w:w="100"/>
              <w:left w:type="dxa" w:w="120"/>
              <w:bottom w:type="dxa" w:w="100"/>
              <w:right w:type="dxa" w:w="120"/>
            </w:tcMar>
          </w:tcPr>
          <w:p>
            <w:pPr>
              <w:jc w:val="left"/>
            </w:pPr>
            <w:r>
              <w:rPr>
                <w:b w:val="false"/>
                <w:bCs w:val="false"/>
                <w:color w:val="000000"/>
                <w:sz w:val="19"/>
                <w:szCs w:val="19"/>
              </w:rPr>
              <w:t xml:space="preserve">New provisions, 2026 Act (not yet in force)</w:t>
            </w:r>
          </w:p>
        </w:tc>
      </w:tr>
    </w:tbl>
    <w:p>
      <w:pPr>
        <w:spacing w:after="240" w:before="60"/>
      </w:pPr>
      <w:r>
        <w:rPr>
          <w:i/>
          <w:iCs/>
          <w:color w:val="595959"/>
          <w:sz w:val="18"/>
          <w:szCs w:val="18"/>
        </w:rPr>
        <w:t xml:space="preserve">Table D.1 — HSWA duty holders and their core obligations.</w:t>
      </w:r>
    </w:p>
    <w:p>
      <w:pPr>
        <w:pStyle w:val="Heading2"/>
        <w:spacing w:after="120" w:before="280"/>
      </w:pPr>
      <w:r>
        <w:t xml:space="preserve">D.2  Reporting requirements at a glance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gridCol w:w="1500"/>
      </w:tblGrid>
      <w:tr>
        <w:trPr>
          <w:tblHeader/>
        </w:trPr>
        <w:tc>
          <w:tcPr>
            <w:tcW w:type="dxa" w:w="2600"/>
            <w:shd w:fill="1F3864" w:val="clear"/>
            <w:tcMar>
              <w:top w:type="dxa" w:w="100"/>
              <w:left w:type="dxa" w:w="120"/>
              <w:bottom w:type="dxa" w:w="100"/>
              <w:right w:type="dxa" w:w="120"/>
            </w:tcMar>
          </w:tcPr>
          <w:p>
            <w:pPr>
              <w:jc w:val="left"/>
            </w:pPr>
            <w:r>
              <w:rPr>
                <w:b/>
                <w:bCs/>
                <w:color w:val="FFFFFF"/>
                <w:sz w:val="19"/>
                <w:szCs w:val="19"/>
              </w:rPr>
              <w:t xml:space="preserve">Trigger</w:t>
            </w:r>
          </w:p>
        </w:tc>
        <w:tc>
          <w:tcPr>
            <w:tcW w:type="dxa" w:w="2200"/>
            <w:shd w:fill="1F3864" w:val="clear"/>
            <w:tcMar>
              <w:top w:type="dxa" w:w="100"/>
              <w:left w:type="dxa" w:w="120"/>
              <w:bottom w:type="dxa" w:w="100"/>
              <w:right w:type="dxa" w:w="120"/>
            </w:tcMar>
          </w:tcPr>
          <w:p>
            <w:pPr>
              <w:jc w:val="left"/>
            </w:pPr>
            <w:r>
              <w:rPr>
                <w:b/>
                <w:bCs/>
                <w:color w:val="FFFFFF"/>
                <w:sz w:val="19"/>
                <w:szCs w:val="19"/>
              </w:rPr>
              <w:t xml:space="preserve">Notify whom</w:t>
            </w:r>
          </w:p>
        </w:tc>
        <w:tc>
          <w:tcPr>
            <w:tcW w:type="dxa" w:w="2200"/>
            <w:shd w:fill="1F3864" w:val="clear"/>
            <w:tcMar>
              <w:top w:type="dxa" w:w="100"/>
              <w:left w:type="dxa" w:w="120"/>
              <w:bottom w:type="dxa" w:w="100"/>
              <w:right w:type="dxa" w:w="120"/>
            </w:tcMar>
          </w:tcPr>
          <w:p>
            <w:pPr>
              <w:jc w:val="left"/>
            </w:pPr>
            <w:r>
              <w:rPr>
                <w:b/>
                <w:bCs/>
                <w:color w:val="FFFFFF"/>
                <w:sz w:val="19"/>
                <w:szCs w:val="19"/>
              </w:rPr>
              <w:t xml:space="preserve">Timeframe</w:t>
            </w:r>
          </w:p>
        </w:tc>
        <w:tc>
          <w:tcPr>
            <w:tcW w:type="dxa" w:w="2200"/>
            <w:shd w:fill="1F3864" w:val="clear"/>
            <w:tcMar>
              <w:top w:type="dxa" w:w="100"/>
              <w:left w:type="dxa" w:w="120"/>
              <w:bottom w:type="dxa" w:w="100"/>
              <w:right w:type="dxa" w:w="120"/>
            </w:tcMar>
          </w:tcPr>
          <w:p>
            <w:pPr>
              <w:jc w:val="left"/>
            </w:pPr>
            <w:r>
              <w:rPr>
                <w:b/>
                <w:bCs/>
                <w:color w:val="FFFFFF"/>
                <w:sz w:val="19"/>
                <w:szCs w:val="19"/>
              </w:rPr>
              <w:t xml:space="preserve">Record retention</w:t>
            </w:r>
          </w:p>
        </w:tc>
        <w:tc>
          <w:tcPr>
            <w:tcW w:type="dxa" w:w="1500"/>
            <w:shd w:fill="1F3864" w:val="clear"/>
            <w:tcMar>
              <w:top w:type="dxa" w:w="100"/>
              <w:left w:type="dxa" w:w="120"/>
              <w:bottom w:type="dxa" w:w="100"/>
              <w:right w:type="dxa" w:w="120"/>
            </w:tcMar>
          </w:tcPr>
          <w:p>
            <w:pPr>
              <w:jc w:val="left"/>
            </w:pPr>
            <w:r>
              <w:rPr>
                <w:b/>
                <w:bCs/>
                <w:color w:val="FFFFFF"/>
                <w:sz w:val="19"/>
                <w:szCs w:val="19"/>
              </w:rPr>
              <w:t xml:space="preserve">Non-compliance consequence</w:t>
            </w:r>
          </w:p>
        </w:tc>
      </w:tr>
      <w:tr>
        <w:tc>
          <w:tcPr>
            <w:tcW w:type="dxa" w:w="2600"/>
            <w:tcMar>
              <w:top w:type="dxa" w:w="100"/>
              <w:left w:type="dxa" w:w="120"/>
              <w:bottom w:type="dxa" w:w="100"/>
              <w:right w:type="dxa" w:w="120"/>
            </w:tcMar>
          </w:tcPr>
          <w:p>
            <w:pPr>
              <w:jc w:val="left"/>
            </w:pPr>
            <w:r>
              <w:rPr>
                <w:b w:val="false"/>
                <w:bCs w:val="false"/>
                <w:color w:val="000000"/>
                <w:sz w:val="19"/>
                <w:szCs w:val="19"/>
              </w:rPr>
              <w:t xml:space="preserve">Notifiable event (death / notifiable injury or illness / notifiable incident)</w:t>
            </w:r>
          </w:p>
        </w:tc>
        <w:tc>
          <w:tcPr>
            <w:tcW w:type="dxa" w:w="2200"/>
            <w:tcMar>
              <w:top w:type="dxa" w:w="100"/>
              <w:left w:type="dxa" w:w="120"/>
              <w:bottom w:type="dxa" w:w="100"/>
              <w:right w:type="dxa" w:w="120"/>
            </w:tcMar>
          </w:tcPr>
          <w:p>
            <w:pPr>
              <w:jc w:val="left"/>
            </w:pPr>
            <w:r>
              <w:rPr>
                <w:b w:val="false"/>
                <w:bCs w:val="false"/>
                <w:color w:val="000000"/>
                <w:sz w:val="19"/>
                <w:szCs w:val="19"/>
              </w:rPr>
              <w:t xml:space="preserve">WorkSafe (or Maritime NZ / CAA for shipping and aviation work)</w:t>
            </w:r>
          </w:p>
        </w:tc>
        <w:tc>
          <w:tcPr>
            <w:tcW w:type="dxa" w:w="2200"/>
            <w:tcMar>
              <w:top w:type="dxa" w:w="100"/>
              <w:left w:type="dxa" w:w="120"/>
              <w:bottom w:type="dxa" w:w="100"/>
              <w:right w:type="dxa" w:w="120"/>
            </w:tcMar>
          </w:tcPr>
          <w:p>
            <w:pPr>
              <w:jc w:val="left"/>
            </w:pPr>
            <w:r>
              <w:rPr>
                <w:b w:val="false"/>
                <w:bCs w:val="false"/>
                <w:color w:val="000000"/>
                <w:sz w:val="19"/>
                <w:szCs w:val="19"/>
              </w:rPr>
              <w:t xml:space="preserve">As soon as possible, by the fastest means available</w:t>
            </w:r>
          </w:p>
        </w:tc>
        <w:tc>
          <w:tcPr>
            <w:tcW w:type="dxa" w:w="2200"/>
            <w:tcMar>
              <w:top w:type="dxa" w:w="100"/>
              <w:left w:type="dxa" w:w="120"/>
              <w:bottom w:type="dxa" w:w="100"/>
              <w:right w:type="dxa" w:w="120"/>
            </w:tcMar>
          </w:tcPr>
          <w:p>
            <w:pPr>
              <w:jc w:val="left"/>
            </w:pPr>
            <w:r>
              <w:rPr>
                <w:b w:val="false"/>
                <w:bCs w:val="false"/>
                <w:color w:val="000000"/>
                <w:sz w:val="19"/>
                <w:szCs w:val="19"/>
              </w:rPr>
              <w:t xml:space="preserve">At least 5 years from the date of notification</w:t>
            </w:r>
          </w:p>
        </w:tc>
        <w:tc>
          <w:tcPr>
            <w:tcW w:type="dxa" w:w="1500"/>
            <w:tcMar>
              <w:top w:type="dxa" w:w="100"/>
              <w:left w:type="dxa" w:w="120"/>
              <w:bottom w:type="dxa" w:w="100"/>
              <w:right w:type="dxa" w:w="120"/>
            </w:tcMar>
          </w:tcPr>
          <w:p>
            <w:pPr>
              <w:jc w:val="left"/>
            </w:pPr>
            <w:r>
              <w:rPr>
                <w:b w:val="false"/>
                <w:bCs w:val="false"/>
                <w:color w:val="000000"/>
                <w:sz w:val="19"/>
                <w:szCs w:val="19"/>
              </w:rPr>
              <w:t xml:space="preserve">Up to $50,000 (organisation) or $10,000 (individual)</w:t>
            </w:r>
          </w:p>
        </w:tc>
      </w:tr>
      <w:tr>
        <w:tc>
          <w:tcPr>
            <w:tcW w:type="dxa" w:w="2600"/>
            <w:shd w:fill="F2F2F2" w:val="clear"/>
            <w:tcMar>
              <w:top w:type="dxa" w:w="100"/>
              <w:left w:type="dxa" w:w="120"/>
              <w:bottom w:type="dxa" w:w="100"/>
              <w:right w:type="dxa" w:w="120"/>
            </w:tcMar>
          </w:tcPr>
          <w:p>
            <w:pPr>
              <w:jc w:val="left"/>
            </w:pPr>
            <w:r>
              <w:rPr>
                <w:b w:val="false"/>
                <w:bCs w:val="false"/>
                <w:color w:val="000000"/>
                <w:sz w:val="19"/>
                <w:szCs w:val="19"/>
              </w:rPr>
              <w:t xml:space="preserve">Notifiable privacy breach (serious harm caused, or likely)</w:t>
            </w:r>
          </w:p>
        </w:tc>
        <w:tc>
          <w:tcPr>
            <w:tcW w:type="dxa" w:w="2200"/>
            <w:shd w:fill="F2F2F2" w:val="clear"/>
            <w:tcMar>
              <w:top w:type="dxa" w:w="100"/>
              <w:left w:type="dxa" w:w="120"/>
              <w:bottom w:type="dxa" w:w="100"/>
              <w:right w:type="dxa" w:w="120"/>
            </w:tcMar>
          </w:tcPr>
          <w:p>
            <w:pPr>
              <w:jc w:val="left"/>
            </w:pPr>
            <w:r>
              <w:rPr>
                <w:b w:val="false"/>
                <w:bCs w:val="false"/>
                <w:color w:val="000000"/>
                <w:sz w:val="19"/>
                <w:szCs w:val="19"/>
              </w:rPr>
              <w:t xml:space="preserve">Privacy Commissioner, plus affected individuals or public notice</w:t>
            </w:r>
          </w:p>
        </w:tc>
        <w:tc>
          <w:tcPr>
            <w:tcW w:type="dxa" w:w="2200"/>
            <w:shd w:fill="F2F2F2" w:val="clear"/>
            <w:tcMar>
              <w:top w:type="dxa" w:w="100"/>
              <w:left w:type="dxa" w:w="120"/>
              <w:bottom w:type="dxa" w:w="100"/>
              <w:right w:type="dxa" w:w="120"/>
            </w:tcMar>
          </w:tcPr>
          <w:p>
            <w:pPr>
              <w:jc w:val="left"/>
            </w:pPr>
            <w:r>
              <w:rPr>
                <w:b w:val="false"/>
                <w:bCs w:val="false"/>
                <w:color w:val="000000"/>
                <w:sz w:val="19"/>
                <w:szCs w:val="19"/>
              </w:rPr>
              <w:t xml:space="preserve">As soon as practicable (practical guide: ~72 hours after concluding it is notifiable)</w:t>
            </w:r>
          </w:p>
        </w:tc>
        <w:tc>
          <w:tcPr>
            <w:tcW w:type="dxa" w:w="2200"/>
            <w:shd w:fill="F2F2F2" w:val="clear"/>
            <w:tcMar>
              <w:top w:type="dxa" w:w="100"/>
              <w:left w:type="dxa" w:w="120"/>
              <w:bottom w:type="dxa" w:w="100"/>
              <w:right w:type="dxa" w:w="120"/>
            </w:tcMar>
          </w:tcPr>
          <w:p>
            <w:pPr>
              <w:jc w:val="left"/>
            </w:pPr>
            <w:r>
              <w:rPr>
                <w:b w:val="false"/>
                <w:bCs w:val="false"/>
                <w:color w:val="000000"/>
                <w:sz w:val="19"/>
                <w:szCs w:val="19"/>
              </w:rPr>
              <w:t xml:space="preserve">N/A — a notification duty, not a retention rule</w:t>
            </w:r>
          </w:p>
        </w:tc>
        <w:tc>
          <w:tcPr>
            <w:tcW w:type="dxa" w:w="1500"/>
            <w:shd w:fill="F2F2F2" w:val="clear"/>
            <w:tcMar>
              <w:top w:type="dxa" w:w="100"/>
              <w:left w:type="dxa" w:w="120"/>
              <w:bottom w:type="dxa" w:w="100"/>
              <w:right w:type="dxa" w:w="120"/>
            </w:tcMar>
          </w:tcPr>
          <w:p>
            <w:pPr>
              <w:jc w:val="left"/>
            </w:pPr>
            <w:r>
              <w:rPr>
                <w:b w:val="false"/>
                <w:bCs w:val="false"/>
                <w:color w:val="000000"/>
                <w:sz w:val="19"/>
                <w:szCs w:val="19"/>
              </w:rPr>
              <w:t xml:space="preserve">Up to $10,000 (offence to fail to notify)</w:t>
            </w:r>
          </w:p>
        </w:tc>
      </w:tr>
      <w:tr>
        <w:tc>
          <w:tcPr>
            <w:tcW w:type="dxa" w:w="2600"/>
            <w:tcMar>
              <w:top w:type="dxa" w:w="100"/>
              <w:left w:type="dxa" w:w="120"/>
              <w:bottom w:type="dxa" w:w="100"/>
              <w:right w:type="dxa" w:w="120"/>
            </w:tcMar>
          </w:tcPr>
          <w:p>
            <w:pPr>
              <w:jc w:val="left"/>
            </w:pPr>
            <w:r>
              <w:rPr>
                <w:b w:val="false"/>
                <w:bCs w:val="false"/>
                <w:color w:val="000000"/>
                <w:sz w:val="19"/>
                <w:szCs w:val="19"/>
              </w:rPr>
              <w:t xml:space="preserve">Work-related injury or illness (ACC claim)</w:t>
            </w:r>
          </w:p>
        </w:tc>
        <w:tc>
          <w:tcPr>
            <w:tcW w:type="dxa" w:w="2200"/>
            <w:tcMar>
              <w:top w:type="dxa" w:w="100"/>
              <w:left w:type="dxa" w:w="120"/>
              <w:bottom w:type="dxa" w:w="100"/>
              <w:right w:type="dxa" w:w="120"/>
            </w:tcMar>
          </w:tcPr>
          <w:p>
            <w:pPr>
              <w:jc w:val="left"/>
            </w:pPr>
            <w:r>
              <w:rPr>
                <w:b w:val="false"/>
                <w:bCs w:val="false"/>
                <w:color w:val="000000"/>
                <w:sz w:val="19"/>
                <w:szCs w:val="19"/>
              </w:rPr>
              <w:t xml:space="preserve">ACC, via an ACC45 form lodged with a treatment provider</w:t>
            </w:r>
          </w:p>
        </w:tc>
        <w:tc>
          <w:tcPr>
            <w:tcW w:type="dxa" w:w="2200"/>
            <w:tcMar>
              <w:top w:type="dxa" w:w="100"/>
              <w:left w:type="dxa" w:w="120"/>
              <w:bottom w:type="dxa" w:w="100"/>
              <w:right w:type="dxa" w:w="120"/>
            </w:tcMar>
          </w:tcPr>
          <w:p>
            <w:pPr>
              <w:jc w:val="left"/>
            </w:pPr>
            <w:r>
              <w:rPr>
                <w:b w:val="false"/>
                <w:bCs w:val="false"/>
                <w:color w:val="000000"/>
                <w:sz w:val="19"/>
                <w:szCs w:val="19"/>
              </w:rPr>
              <w:t xml:space="preserve">At time of treatment or claim</w:t>
            </w:r>
          </w:p>
        </w:tc>
        <w:tc>
          <w:tcPr>
            <w:tcW w:type="dxa" w:w="2200"/>
            <w:tcMar>
              <w:top w:type="dxa" w:w="100"/>
              <w:left w:type="dxa" w:w="120"/>
              <w:bottom w:type="dxa" w:w="100"/>
              <w:right w:type="dxa" w:w="120"/>
            </w:tcMar>
          </w:tcPr>
          <w:p>
            <w:pPr>
              <w:jc w:val="left"/>
            </w:pPr>
            <w:r>
              <w:rPr>
                <w:b w:val="false"/>
                <w:bCs w:val="false"/>
                <w:color w:val="000000"/>
                <w:sz w:val="19"/>
                <w:szCs w:val="19"/>
              </w:rPr>
              <w:t xml:space="preserve">Per the employer's own record-keeping practice</w:t>
            </w:r>
          </w:p>
        </w:tc>
        <w:tc>
          <w:tcPr>
            <w:tcW w:type="dxa" w:w="1500"/>
            <w:tcMar>
              <w:top w:type="dxa" w:w="100"/>
              <w:left w:type="dxa" w:w="120"/>
              <w:bottom w:type="dxa" w:w="100"/>
              <w:right w:type="dxa" w:w="120"/>
            </w:tcMar>
          </w:tcPr>
          <w:p>
            <w:pPr>
              <w:jc w:val="left"/>
            </w:pPr>
            <w:r>
              <w:rPr>
                <w:b w:val="false"/>
                <w:bCs w:val="false"/>
                <w:color w:val="000000"/>
                <w:sz w:val="19"/>
                <w:szCs w:val="19"/>
              </w:rPr>
              <w:t xml:space="preserve">Claim/levy consequences rather than a specific offence</w:t>
            </w:r>
          </w:p>
        </w:tc>
      </w:tr>
      <w:tr>
        <w:tc>
          <w:tcPr>
            <w:tcW w:type="dxa" w:w="2600"/>
            <w:shd w:fill="F2F2F2" w:val="clear"/>
            <w:tcMar>
              <w:top w:type="dxa" w:w="100"/>
              <w:left w:type="dxa" w:w="120"/>
              <w:bottom w:type="dxa" w:w="100"/>
              <w:right w:type="dxa" w:w="120"/>
            </w:tcMar>
          </w:tcPr>
          <w:p>
            <w:pPr>
              <w:jc w:val="left"/>
            </w:pPr>
            <w:r>
              <w:rPr>
                <w:b w:val="false"/>
                <w:bCs w:val="false"/>
                <w:color w:val="000000"/>
                <w:sz w:val="19"/>
                <w:szCs w:val="19"/>
              </w:rPr>
              <w:t xml:space="preserve">Specific licensed or notifiable works (e.g., asbestos removal)</w:t>
            </w:r>
          </w:p>
        </w:tc>
        <w:tc>
          <w:tcPr>
            <w:tcW w:type="dxa" w:w="2200"/>
            <w:shd w:fill="F2F2F2" w:val="clear"/>
            <w:tcMar>
              <w:top w:type="dxa" w:w="100"/>
              <w:left w:type="dxa" w:w="120"/>
              <w:bottom w:type="dxa" w:w="100"/>
              <w:right w:type="dxa" w:w="120"/>
            </w:tcMar>
          </w:tcPr>
          <w:p>
            <w:pPr>
              <w:jc w:val="left"/>
            </w:pPr>
            <w:r>
              <w:rPr>
                <w:b w:val="false"/>
                <w:bCs w:val="false"/>
                <w:color w:val="000000"/>
                <w:sz w:val="19"/>
                <w:szCs w:val="19"/>
              </w:rPr>
              <w:t xml:space="preserve">WorkSafe, under the relevant specific regulation</w:t>
            </w:r>
          </w:p>
        </w:tc>
        <w:tc>
          <w:tcPr>
            <w:tcW w:type="dxa" w:w="2200"/>
            <w:shd w:fill="F2F2F2" w:val="clear"/>
            <w:tcMar>
              <w:top w:type="dxa" w:w="100"/>
              <w:left w:type="dxa" w:w="120"/>
              <w:bottom w:type="dxa" w:w="100"/>
              <w:right w:type="dxa" w:w="120"/>
            </w:tcMar>
          </w:tcPr>
          <w:p>
            <w:pPr>
              <w:jc w:val="left"/>
            </w:pPr>
            <w:r>
              <w:rPr>
                <w:b w:val="false"/>
                <w:bCs w:val="false"/>
                <w:color w:val="000000"/>
                <w:sz w:val="19"/>
                <w:szCs w:val="19"/>
              </w:rPr>
              <w:t xml:space="preserve">Before work starts (e.g., generally at least 5 days' notice for licensed asbestos removal)</w:t>
            </w:r>
          </w:p>
        </w:tc>
        <w:tc>
          <w:tcPr>
            <w:tcW w:type="dxa" w:w="2200"/>
            <w:shd w:fill="F2F2F2" w:val="clear"/>
            <w:tcMar>
              <w:top w:type="dxa" w:w="100"/>
              <w:left w:type="dxa" w:w="120"/>
              <w:bottom w:type="dxa" w:w="100"/>
              <w:right w:type="dxa" w:w="120"/>
            </w:tcMar>
          </w:tcPr>
          <w:p>
            <w:pPr>
              <w:jc w:val="left"/>
            </w:pPr>
            <w:r>
              <w:rPr>
                <w:b w:val="false"/>
                <w:bCs w:val="false"/>
                <w:color w:val="000000"/>
                <w:sz w:val="19"/>
                <w:szCs w:val="19"/>
              </w:rPr>
              <w:t xml:space="preserve">Per the specific regulation</w:t>
            </w:r>
          </w:p>
        </w:tc>
        <w:tc>
          <w:tcPr>
            <w:tcW w:type="dxa" w:w="1500"/>
            <w:shd w:fill="F2F2F2" w:val="clear"/>
            <w:tcMar>
              <w:top w:type="dxa" w:w="100"/>
              <w:left w:type="dxa" w:w="120"/>
              <w:bottom w:type="dxa" w:w="100"/>
              <w:right w:type="dxa" w:w="120"/>
            </w:tcMar>
          </w:tcPr>
          <w:p>
            <w:pPr>
              <w:jc w:val="left"/>
            </w:pPr>
            <w:r>
              <w:rPr>
                <w:b w:val="false"/>
                <w:bCs w:val="false"/>
                <w:color w:val="000000"/>
                <w:sz w:val="19"/>
                <w:szCs w:val="19"/>
              </w:rPr>
              <w:t xml:space="preserve">Per the specific regulation</w:t>
            </w:r>
          </w:p>
        </w:tc>
      </w:tr>
    </w:tbl>
    <w:p>
      <w:pPr>
        <w:spacing w:after="240" w:before="60"/>
      </w:pPr>
      <w:r>
        <w:rPr>
          <w:i/>
          <w:iCs/>
          <w:color w:val="595959"/>
          <w:sz w:val="18"/>
          <w:szCs w:val="18"/>
        </w:rPr>
        <w:t xml:space="preserve">Table D.2 — Who to notify, by when, and what to keep, across HSWA, the Privacy Act, and ACC.</w:t>
      </w:r>
    </w:p>
    <w:p>
      <w:r>
        <w:br w:type="page"/>
      </w:r>
    </w:p>
    <w:p>
      <w:pPr>
        <w:pStyle w:val="Heading1"/>
        <w:pBdr>
          <w:bottom w:val="single" w:color="1F3864" w:sz="6" w:space="4"/>
        </w:pBdr>
        <w:spacing w:after="200" w:before="400"/>
      </w:pPr>
      <w:r>
        <w:t xml:space="preserve">Part E — Compliance Assessment: Snag Against the Framework</w:t>
      </w:r>
    </w:p>
    <w:p>
      <w:pPr>
        <w:spacing w:after="160" w:line="276"/>
      </w:pPr>
      <w:r>
        <w:t xml:space="preserve">Based on Snag's current architecture — mobile-first, Expo/React Native with Supabase, RPC-only writes, row-level security on all tables, and a Two Lanes model (Niggle Lane / Serious Lane) with a 5-Whys root-cause analysis and debrief flow — here is how that maps against Parts A–D.</w:t>
      </w:r>
    </w:p>
    <w:p>
      <w:pPr>
        <w:pStyle w:val="Heading2"/>
        <w:spacing w:after="120" w:before="280"/>
      </w:pPr>
      <w:r>
        <w:t xml:space="preserve">E.1  Areas the current architecture already supports well</w:t>
      </w:r>
    </w:p>
    <w:p>
      <w:pPr>
        <w:pStyle w:val="ListParagraph"/>
        <w:numPr>
          <w:ilvl w:val="0"/>
          <w:numId w:val="2"/>
        </w:numPr>
        <w:spacing w:after="80" w:line="276"/>
      </w:pPr>
      <w:r>
        <w:t xml:space="preserve">RPC-only writes with row-level security on every table give a defensible audit trail of who recorded or changed what, and when — directly useful evidence for an officer's due diligence and for a PCBU's general record-keeping obligations, without any extra product work.</w:t>
      </w:r>
    </w:p>
    <w:p>
      <w:pPr>
        <w:pStyle w:val="ListParagraph"/>
        <w:numPr>
          <w:ilvl w:val="0"/>
          <w:numId w:val="2"/>
        </w:numPr>
        <w:spacing w:after="80" w:line="276"/>
      </w:pPr>
      <w:r>
        <w:t xml:space="preserve">The Serious Lane's RCA and debrief flow already builds the “investigate what happened, work out what to change, make the change” loop that WorkSafe treats as good practice after a notifiable event, even though HSWA does not explicitly mandate an investigation.</w:t>
      </w:r>
    </w:p>
    <w:p>
      <w:pPr>
        <w:pStyle w:val="ListParagraph"/>
        <w:numPr>
          <w:ilvl w:val="0"/>
          <w:numId w:val="2"/>
        </w:numPr>
        <w:spacing w:after="80" w:line="276"/>
      </w:pPr>
      <w:r>
        <w:t xml:space="preserve">A dedicated worker-only onboarding trigger suggests some notion of role separation already exists in the product, which is a foundation to build HSR-specific access on top of, if that does not already exist.</w:t>
      </w:r>
    </w:p>
    <w:p>
      <w:pPr>
        <w:pStyle w:val="Heading2"/>
        <w:spacing w:after="120" w:before="280"/>
      </w:pPr>
      <w:r>
        <w:t xml:space="preserve">E.2  Gaps worth resolving before Snag can claim it supports HSWA compliance (rather than just incident recording)</w:t>
      </w:r>
    </w:p>
    <w:p>
      <w:pPr>
        <w:pStyle w:val="ListParagraph"/>
        <w:numPr>
          <w:ilvl w:val="0"/>
          <w:numId w:val="4"/>
        </w:numPr>
        <w:spacing w:after="80" w:line="276"/>
      </w:pPr>
      <w:r>
        <w:t xml:space="preserve">Notifiable-event decision support. Nothing in the current architecture appears to flag whether a given incident meets HSWA's notifiable-event definition, or prompts the “preserve the site / call WorkSafe” sequence. This is the single highest-value, highest-liability gap: customers can get this wrong in both directions — under-notifying is itself an offence, and not knowing to preserve the site can destroy evidence WorkSafe needs.</w:t>
      </w:r>
    </w:p>
    <w:p>
      <w:pPr>
        <w:pStyle w:val="ListParagraph"/>
        <w:numPr>
          <w:ilvl w:val="0"/>
          <w:numId w:val="4"/>
        </w:numPr>
        <w:spacing w:after="80" w:line="276"/>
      </w:pPr>
      <w:r>
        <w:t xml:space="preserve">Differentiated record retention. HSWA's five-year minimum applies specifically to notifiable-event records, while the Privacy Act's storage-limitation principle pulls the other way for ordinary personal or health information. If all incident records share one retention/deletion policy today, the product cannot yet honour both rules at once for the same customer.</w:t>
      </w:r>
    </w:p>
    <w:p>
      <w:pPr>
        <w:pStyle w:val="ListParagraph"/>
        <w:numPr>
          <w:ilvl w:val="0"/>
          <w:numId w:val="4"/>
        </w:numPr>
        <w:spacing w:after="80" w:line="276"/>
      </w:pPr>
      <w:r>
        <w:t xml:space="preserve">Critical-risk tagging. The 2026 Amendment Act, if it survives the election, will ask small PCBUs to identify and prioritise “critical risks” as a concept distinct from severity or the Niggle/Serious split already in the product. Building the taxonomy now — without switching on a customer-facing workflow — avoids a rebuild later.</w:t>
      </w:r>
    </w:p>
    <w:p>
      <w:pPr>
        <w:pStyle w:val="ListParagraph"/>
        <w:numPr>
          <w:ilvl w:val="0"/>
          <w:numId w:val="4"/>
        </w:numPr>
        <w:spacing w:after="80" w:line="276"/>
      </w:pPr>
      <w:r>
        <w:t xml:space="preserve">Psychosocial and mental health handling. Mental health harm is now explicitly capable of being a “critical risk,” and WorkSafe already treats psychosocial hazards — bullying, harassment, workload, role clarity — as a first-class hazard category. If the current incident taxonomy does not distinguish these from physical hazards, both the categorisation and the tighter privacy handling they need are gaps.</w:t>
      </w:r>
    </w:p>
    <w:p>
      <w:pPr>
        <w:pStyle w:val="ListParagraph"/>
        <w:numPr>
          <w:ilvl w:val="0"/>
          <w:numId w:val="4"/>
        </w:numPr>
        <w:spacing w:after="80" w:line="276"/>
      </w:pPr>
      <w:r>
        <w:t xml:space="preserve">Officer or governance reporting view. Officer due diligence, current and future, is ultimately proven with paperwork: board papers, resourcing decisions, review cadence. A due-diligence-oriented export or dashboard turns Snag's existing data into something an officer or board can point to if ever challenged — a differentiator as much as a compliance item.</w:t>
      </w:r>
    </w:p>
    <w:p>
      <w:pPr>
        <w:pStyle w:val="ListParagraph"/>
        <w:numPr>
          <w:ilvl w:val="0"/>
          <w:numId w:val="4"/>
        </w:numPr>
        <w:spacing w:after="80" w:line="276"/>
      </w:pPr>
      <w:r>
        <w:t xml:space="preserve">Multi-PCBU or shared-site notification. HSWA is explicit that where multiple PCBUs are involved — for example, a contractor on a customer's site — only one notification is needed, but all remain responsible for making sure it happens. A multi-site product should have a clear way to record which PCBU is nominated to notify.</w:t>
      </w:r>
    </w:p>
    <w:p>
      <w:pPr>
        <w:pStyle w:val="ListParagraph"/>
        <w:numPr>
          <w:ilvl w:val="0"/>
          <w:numId w:val="4"/>
        </w:numPr>
        <w:spacing w:after="80" w:line="276"/>
      </w:pPr>
      <w:r>
        <w:t xml:space="preserve">Investigation and disciplinary separation. Where an RCA implicates an individual worker, the natural-justice requirements under the ERA run on a separate track from the health-and-safety root-cause record. The product does not need to run a disciplinary process, but should avoid architecture or copy that blurs a fact-finding RCA with a predetermined disciplinary outcome, and should make it easy for a customer to keep the two processes distinct.</w:t>
      </w:r>
    </w:p>
    <w:p>
      <w:pPr>
        <w:pStyle w:val="ListParagraph"/>
        <w:numPr>
          <w:ilvl w:val="0"/>
          <w:numId w:val="4"/>
        </w:numPr>
        <w:spacing w:after="80" w:line="276"/>
      </w:pPr>
      <w:r>
        <w:t xml:space="preserve">Data processing posture. As the SaaS provider processing health information on a customer's behalf, Snag itself should have a documented incident-response runbook for the “is this a notifiable privacy breach” assessment window, even though the legal notification obligation to the Privacy Commissioner sits with the customer as the agency that collected the information.</w:t>
      </w:r>
    </w:p>
    <w:p>
      <w:r>
        <w:br w:type="page"/>
      </w:r>
    </w:p>
    <w:p>
      <w:pPr>
        <w:pStyle w:val="Heading1"/>
        <w:pBdr>
          <w:bottom w:val="single" w:color="1F3864" w:sz="6" w:space="4"/>
        </w:pBdr>
        <w:spacing w:after="200" w:before="400"/>
      </w:pPr>
      <w:r>
        <w:t xml:space="preserve">Part F — Recommended Additional Tools, Policies &amp; Procedures</w:t>
      </w:r>
    </w:p>
    <w:p>
      <w:pPr>
        <w:pStyle w:val="Heading2"/>
        <w:spacing w:after="120" w:before="280"/>
      </w:pPr>
      <w:r>
        <w:t xml:space="preserve">F.1  Product features, in rough priority order</w:t>
      </w:r>
    </w:p>
    <w:p>
      <w:pPr>
        <w:pStyle w:val="ListParagraph"/>
        <w:numPr>
          <w:ilvl w:val="0"/>
          <w:numId w:val="5"/>
        </w:numPr>
        <w:spacing w:after="80" w:line="276"/>
      </w:pPr>
      <w:r>
        <w:t xml:space="preserve">Notifiable-event decision support: a short guided flow triggered from the Serious Lane that walks a user through WorkSafe's notifiable-event criteria, surfaces the “preserve the site” instruction immediately, and timestamps when the flag was raised — relevant to the “as soon as possible” notification duty. Highest priority, since it addresses a live legal exposure rather than a future one.</w:t>
      </w:r>
    </w:p>
    <w:p>
      <w:pPr>
        <w:pStyle w:val="ListParagraph"/>
        <w:numPr>
          <w:ilvl w:val="0"/>
          <w:numId w:val="5"/>
        </w:numPr>
        <w:spacing w:after="80" w:line="276"/>
      </w:pPr>
      <w:r>
        <w:t xml:space="preserve">Retention-aware record locking: a record-level flag — not just a customer-level setting — that locks notifiable-event records against deletion for five years, independent of whatever general retention policy applies to other incident types.</w:t>
      </w:r>
    </w:p>
    <w:p>
      <w:pPr>
        <w:pStyle w:val="ListParagraph"/>
        <w:numPr>
          <w:ilvl w:val="0"/>
          <w:numId w:val="5"/>
        </w:numPr>
        <w:spacing w:after="80" w:line="276"/>
      </w:pPr>
      <w:r>
        <w:t xml:space="preserve">Critical-risk tag, data model only, feature dormant: add the field and taxonomy now, aligned to the 2026 Act's critical-risk categories and Schedule 2 of the ACC Act, but hold off building customer-facing workflows around it until the Amendment Act's commencement — and survival past the election — is confirmed.</w:t>
      </w:r>
    </w:p>
    <w:p>
      <w:pPr>
        <w:pStyle w:val="ListParagraph"/>
        <w:numPr>
          <w:ilvl w:val="0"/>
          <w:numId w:val="5"/>
        </w:numPr>
        <w:spacing w:after="80" w:line="276"/>
      </w:pPr>
      <w:r>
        <w:t xml:space="preserve">Psychosocial hazard category with elevated access controls: a distinct incident type for bullying, harassment, or psychosocial harm, with tighter default visibility (for example, restricted to a nominated H&amp;S lead rather than all supervisors) given its sensitivity as health information.</w:t>
      </w:r>
    </w:p>
    <w:p>
      <w:pPr>
        <w:pStyle w:val="ListParagraph"/>
        <w:numPr>
          <w:ilvl w:val="0"/>
          <w:numId w:val="5"/>
        </w:numPr>
        <w:spacing w:after="80" w:line="276"/>
      </w:pPr>
      <w:r>
        <w:t xml:space="preserve">Officer or governance export: a periodic — for example quarterly — summary of open risks, control review cadence, and resourcing, designed to be the artefact an officer keeps on file to evidence due diligence.</w:t>
      </w:r>
    </w:p>
    <w:p>
      <w:pPr>
        <w:pStyle w:val="ListParagraph"/>
        <w:numPr>
          <w:ilvl w:val="0"/>
          <w:numId w:val="5"/>
        </w:numPr>
        <w:spacing w:after="80" w:line="276"/>
      </w:pPr>
      <w:r>
        <w:t xml:space="preserve">Multi-PCBU notification nomination: a lightweight way to record, on a serious incident involving a contractor or shared site, which PCBU has taken on the notification responsibility.</w:t>
      </w:r>
    </w:p>
    <w:p>
      <w:pPr>
        <w:pStyle w:val="ListParagraph"/>
        <w:numPr>
          <w:ilvl w:val="0"/>
          <w:numId w:val="5"/>
        </w:numPr>
        <w:spacing w:after="80" w:line="276"/>
      </w:pPr>
      <w:r>
        <w:t xml:space="preserve">HSR and worker-participation visibility: confirm, or build, a role that gives an elected HSR appropriate visibility into relevant hazard and incident data, consistent with the engagement and participation duties described in Part A.3.</w:t>
      </w:r>
    </w:p>
    <w:p>
      <w:pPr>
        <w:pStyle w:val="ListParagraph"/>
        <w:numPr>
          <w:ilvl w:val="0"/>
          <w:numId w:val="5"/>
        </w:numPr>
        <w:spacing w:after="80" w:line="276"/>
      </w:pPr>
      <w:r>
        <w:t xml:space="preserve">Privacy breach response runbook: an internal Snag-side incident response procedure for the serious-harm assessment window, plus customer-facing guidance on their own obligations as the data-collecting agency.</w:t>
      </w:r>
    </w:p>
    <w:p>
      <w:pPr>
        <w:pStyle w:val="Heading2"/>
        <w:spacing w:after="120" w:before="280"/>
      </w:pPr>
      <w:r>
        <w:t xml:space="preserve">F.2  Policy and procedure templates worth offering customers</w:t>
      </w:r>
    </w:p>
    <w:p>
      <w:pPr>
        <w:spacing w:after="160" w:line="276"/>
      </w:pPr>
      <w:r>
        <w:t xml:space="preserve">As in-app content or downloadable templates, not custom legal drafting:</w:t>
      </w:r>
    </w:p>
    <w:p>
      <w:pPr>
        <w:pStyle w:val="ListParagraph"/>
        <w:numPr>
          <w:ilvl w:val="0"/>
          <w:numId w:val="2"/>
        </w:numPr>
        <w:spacing w:after="80" w:line="276"/>
      </w:pPr>
      <w:r>
        <w:t xml:space="preserve">An emergency plan template aligned to the GRWM Regulations' required content — procedures, communication, and testing cadence.</w:t>
      </w:r>
    </w:p>
    <w:p>
      <w:pPr>
        <w:pStyle w:val="ListParagraph"/>
        <w:numPr>
          <w:ilvl w:val="0"/>
          <w:numId w:val="2"/>
        </w:numPr>
        <w:spacing w:after="80" w:line="276"/>
      </w:pPr>
      <w:r>
        <w:t xml:space="preserve">A notifiable-event procedure one-pager — who calls WorkSafe, what “preserving the site” means in practice, and what to do over the following five years.</w:t>
      </w:r>
    </w:p>
    <w:p>
      <w:pPr>
        <w:pStyle w:val="ListParagraph"/>
        <w:numPr>
          <w:ilvl w:val="0"/>
          <w:numId w:val="2"/>
        </w:numPr>
        <w:spacing w:after="80" w:line="276"/>
      </w:pPr>
      <w:r>
        <w:t xml:space="preserve">A bullying and harassment / psychosocial hazard policy template.</w:t>
      </w:r>
    </w:p>
    <w:p>
      <w:pPr>
        <w:pStyle w:val="ListParagraph"/>
        <w:numPr>
          <w:ilvl w:val="0"/>
          <w:numId w:val="2"/>
        </w:numPr>
        <w:spacing w:after="80" w:line="276"/>
      </w:pPr>
      <w:r>
        <w:t xml:space="preserve">A health-information handling policy — retention, access, and breach-response basics — for customers who do not already have one.</w:t>
      </w:r>
    </w:p>
    <w:p>
      <w:pPr>
        <w:pStyle w:val="ListParagraph"/>
        <w:numPr>
          <w:ilvl w:val="0"/>
          <w:numId w:val="2"/>
        </w:numPr>
        <w:spacing w:after="80" w:line="276"/>
      </w:pPr>
      <w:r>
        <w:t xml:space="preserve">An HSR election procedure template.</w:t>
      </w:r>
    </w:p>
    <w:p>
      <w:pPr>
        <w:spacing w:after="160" w:line="276"/>
      </w:pPr>
      <w:r>
        <w:t xml:space="preserve">All of the above should carry a clear “this is general guidance, not legal advice — confirm with your own adviser” disclaimer, especially while the 2026 Amendment Act's fate is tied to the election.</w:t>
      </w:r>
    </w:p>
    <w:p>
      <w:pPr>
        <w:pStyle w:val="Heading1"/>
        <w:pBdr>
          <w:bottom w:val="single" w:color="1F3864" w:sz="6" w:space="4"/>
        </w:pBdr>
        <w:spacing w:after="200" w:before="400"/>
      </w:pPr>
      <w:r>
        <w:t xml:space="preserve">Part G — Suggested Sequencing Against Snag's Existing Roadmap</w:t>
      </w:r>
    </w:p>
    <w:p>
      <w:pPr>
        <w:spacing w:after="160" w:line="276"/>
      </w:pPr>
      <w:r>
        <w:t xml:space="preserve">Snag's existing four-phase delivery plan — Ship-Ready, then Supervisor Core/CAPA, then Field Reliability, then Commercial Validation — already defers AI features, analytics, and expansion until three pilot organisations are live. The recommendations above are intended to slot into that discipline, not compete with it.</w:t>
      </w:r>
    </w:p>
    <w:p>
      <w:pPr>
        <w:pStyle w:val="ListParagraph"/>
        <w:numPr>
          <w:ilvl w:val="0"/>
          <w:numId w:val="2"/>
        </w:numPr>
        <w:spacing w:after="80" w:line="276"/>
      </w:pPr>
      <w:r>
        <w:t xml:space="preserve">Ship-Ready (now): items F.1.1 and F.1.2 — notifiable-event decision support and retention-aware locking — are compliance-critical and low-scope. Recommend pulling these in alongside the already-planned reassign_rca / cancel_rca wiring, since they touch the same Serious Lane surface.</w:t>
      </w:r>
    </w:p>
    <w:p>
      <w:pPr>
        <w:pStyle w:val="ListParagraph"/>
        <w:numPr>
          <w:ilvl w:val="0"/>
          <w:numId w:val="2"/>
        </w:numPr>
        <w:spacing w:after="80" w:line="276"/>
      </w:pPr>
      <w:r>
        <w:t xml:space="preserve">Supervisor Core / CAPA: item F.1.5 (officer or governance export) and item F.1.7 (HSR visibility) fit naturally once supervisor-level roles and CAPA tracking exist.</w:t>
      </w:r>
    </w:p>
    <w:p>
      <w:pPr>
        <w:pStyle w:val="ListParagraph"/>
        <w:numPr>
          <w:ilvl w:val="0"/>
          <w:numId w:val="2"/>
        </w:numPr>
        <w:spacing w:after="80" w:line="276"/>
      </w:pPr>
      <w:r>
        <w:t xml:space="preserve">Field Reliability: item F.1.6 (multi-PCBU nomination) and the policy template library, once the product is stable enough under real multi-site use to justify the extra surface area.</w:t>
      </w:r>
    </w:p>
    <w:p>
      <w:pPr>
        <w:pStyle w:val="ListParagraph"/>
        <w:numPr>
          <w:ilvl w:val="0"/>
          <w:numId w:val="2"/>
        </w:numPr>
        <w:spacing w:after="80" w:line="276"/>
      </w:pPr>
      <w:r>
        <w:t xml:space="preserve">Commercial Validation (post three-pilot): items F.1.3 and F.1.4 — critical-risk taxonomy and the psychosocial category — deliberately held until the Amendment Act's post-election fate is clear, so Snag is not building a customer-facing “critical risk” feature around a law that could still change.</w:t>
      </w:r>
    </w:p>
    <w:p>
      <w:pPr>
        <w:spacing w:after="160" w:line="276"/>
      </w:pPr>
      <w:r>
        <w:t xml:space="preserve">Given the explicitly self-acknowledged tendency toward scope creep, the recommendation is to treat items F.1.3, F.1.4, and F.1.8 as backlog entries to revisit after the 7 November 2026 election and WorkSafe's subsequent implementation guidance — not as new work to start now.</w:t>
      </w:r>
    </w:p>
    <w:p>
      <w:r>
        <w:br w:type="page"/>
      </w:r>
    </w:p>
    <w:p>
      <w:pPr>
        <w:pStyle w:val="Heading1"/>
        <w:pBdr>
          <w:bottom w:val="single" w:color="1F3864" w:sz="6" w:space="4"/>
        </w:pBdr>
        <w:spacing w:after="200" w:before="400"/>
      </w:pPr>
      <w:r>
        <w:t xml:space="preserve">Sources</w:t>
      </w:r>
    </w:p>
    <w:p>
      <w:pPr>
        <w:spacing w:after="160" w:line="276"/>
      </w:pPr>
      <w:r>
        <w:t xml:space="preserve">Primary legislation and official regulator guidance (legislation.govt.nz and worksafe.govt.nz) were treated as authoritative. Legal-update commentary from Bell Gully, Buddle Findlay, Russell McVeagh, Kaimai Law, Duncan Cotterill and JB Morrison was used to track the 2026 Amendment Act through select committee and third reading. Political coverage of the Amendment Act's passage and party positions drew on RNZ. Privacy Act and Health Information Privacy Code detail drew on the Office of the Privacy Commissioner and Buddle Findlay's mandatory breach-reporting commentary. Employment Relations Act natural-justice practice drew on published NZ employment-law commentary. This document paraphrases and synthesises these sources; it does not reproduce their text, and none of the specific figures, thresholds, or dates above should be treated as settled until confirmed against the primary legislation directly, particularly given the live reform process.</w:t>
      </w:r>
    </w:p>
    <w:p>
      <w:pPr>
        <w:pStyle w:val="Heading1"/>
        <w:pBdr>
          <w:bottom w:val="single" w:color="1F3864" w:sz="6" w:space="4"/>
        </w:pBdr>
        <w:spacing w:after="200" w:before="400"/>
      </w:pPr>
      <w:r>
        <w:t xml:space="preserve">Disclaimer</w:t>
      </w:r>
    </w:p>
    <w:p>
      <w:pPr>
        <w:spacing w:after="160" w:line="276"/>
      </w:pPr>
      <w:r>
        <w:t xml:space="preserve">This document is a plain-language synthesis prepared for product-planning purposes. It is not legal advice. The Health and Safety at Work Amendment Act 2026's ultimate form and survival are contingent on the 7 November 2026 general election and on decisions the next government may make before its 1 April 2027 commencement date. Snag's compliance claims, in-app guidance, and any customer-facing legal content should be reviewed by a qualified New Zealand employment / health-and-safety lawyer before release, and revisited once the election outcome and WorkSafe's implementation guidance are known.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of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Snag — NZ Health &amp; Safety Compliance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60" w:hanging="340"/>
      </w:pPr>
    </w:lvl>
  </w:abstractNum>
  <w:abstractNum w:abstractNumId="4" w15:restartNumberingAfterBreak="0">
    <w:multiLevelType w:val="hybridMultilevel"/>
    <w:lvl w:ilvl="0" w15:tentative="1">
      <w:start w:val="1"/>
      <w:numFmt w:val="decimal"/>
      <w:lvlText w:val="%1."/>
      <w:lvlJc w:val="left"/>
      <w:pPr>
        <w:ind w:left="460" w:hanging="340"/>
      </w:pPr>
    </w:lvl>
  </w:abstractNum>
  <w:abstractNum w:abstractNumId="5" w15:restartNumberingAfterBreak="0">
    <w:multiLevelType w:val="hybridMultilevel"/>
    <w:lvl w:ilvl="0" w15:tentative="1">
      <w:start w:val="1"/>
      <w:numFmt w:val="decimal"/>
      <w:lvlText w:val="%1."/>
      <w:lvlJc w:val="left"/>
      <w:pPr>
        <w:ind w:lef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2026-07-19T17:53:48.087Z</dcterms:created>
  <dcterms:modified xsi:type="dcterms:W3CDTF">2026-07-19T17:53:48.087Z</dcterms:modified>
</cp:coreProperties>
</file>

<file path=docProps/custom.xml><?xml version="1.0" encoding="utf-8"?>
<Properties xmlns="http://schemas.openxmlformats.org/officeDocument/2006/custom-properties" xmlns:vt="http://schemas.openxmlformats.org/officeDocument/2006/docPropsVTypes"/>
</file>