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t xml:space="preserve">Snag</w:t>
      </w:r>
    </w:p>
    <w:p>
      <w:pPr>
        <w:spacing w:after="80"/>
      </w:pPr>
      <w:r>
        <w:rPr>
          <w:i/>
          <w:iCs/>
          <w:color w:val="6B7280"/>
          <w:sz w:val="24"/>
          <w:szCs w:val="24"/>
        </w:rPr>
        <w:t xml:space="preserve">Workplace issue reporting and defensible health &amp; safety compliance, built for New Zealand SMEs</w:t>
      </w:r>
    </w:p>
    <w:p>
      <w:pPr>
        <w:spacing w:after="40"/>
      </w:pPr>
      <w:r>
        <w:rPr>
          <w:color w:val="6B7280"/>
          <w:sz w:val="18"/>
          <w:szCs w:val="18"/>
        </w:rPr>
        <w:t xml:space="preserve">Feature Prospectus — prepared 20 July 2026</w:t>
      </w:r>
    </w:p>
    <w:p>
      <w:pPr>
        <w:spacing w:after="40"/>
      </w:pPr>
      <w:r>
        <w:rPr>
          <w:color w:val="6B7280"/>
          <w:sz w:val="18"/>
          <w:szCs w:val="18"/>
        </w:rPr>
        <w:t xml:space="preserve">For prospective customers and investors</w:t>
      </w:r>
    </w:p>
    <w:p>
      <w:pPr>
        <w:pStyle w:val="Heading1"/>
        <w:pBdr>
          <w:bottom w:val="single" w:color="2563EB" w:sz="6" w:space="4"/>
        </w:pBdr>
        <w:spacing w:after="140" w:before="320"/>
      </w:pPr>
      <w:r>
        <w:t xml:space="preserve">Executive Summary</w:t>
      </w:r>
    </w:p>
    <w:p>
      <w:pPr>
        <w:spacing w:after="140"/>
      </w:pPr>
      <w:r>
        <w:t xml:space="preserve">Snag is a mobile-first app that lets any worker report a problem — a broken guard rail, a near-miss, a serious injury — in under a minute, and gives supervisors and admins the tools to triage, investigate, and close it out with a record that stands up to scrutiny. It runs on two lanes: everyday </w:t>
      </w:r>
      <w:r>
        <w:rPr>
          <w:b/>
          <w:bCs/>
          <w:i w:val="false"/>
          <w:iCs w:val="false"/>
        </w:rPr>
        <w:t xml:space="preserve">niggles</w:t>
      </w:r>
      <w:r>
        <w:t xml:space="preserve"> (fixits and improvements) move through a simple status board, while </w:t>
      </w:r>
      <w:r>
        <w:rPr>
          <w:b/>
          <w:bCs/>
          <w:i w:val="false"/>
          <w:iCs w:val="false"/>
        </w:rPr>
        <w:t xml:space="preserve">serious incidents</w:t>
      </w:r>
      <w:r>
        <w:t xml:space="preserve"> (hazards and injuries) are gated behind a guided investigation — checklist, witnesses, evidence, root cause, corrective actions — before they can be closed.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For customers: </w:t>
      </w:r>
      <w:r>
        <w:t xml:space="preserve">less time on paperwork, a single place workers actually use (because it takes seconds, not minutes), and — increasingly — compliance scaffolding most competitors don't offer: guided notifiable-event decisions, due-diligence exports an officer can put in front of a board, and records that are structurally impossible to quietly delete.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For investors: </w:t>
      </w:r>
      <w:r>
        <w:t xml:space="preserve">New Zealand's Health and Safety at Work Act 2015 already asks small businesses (fewer than 20 workers — roughly 97% of NZ businesses) to show they've engaged with risk; the 2026 Amendment Act narrows and sharpens that duty rather than removing it. Snag's data model was built compliance-first — row-level security on every table, RPC-only writes, a full audit trail, records that can't be deleted — and the product now ships features (Section “Compliance, built in” below) that translate that architecture into things a customer's officer can actually point to. That's a real moat: it's expensive to retrofit, and cheap to have built in from day one.</w:t>
      </w:r>
    </w:p>
    <w:p>
      <w:pPr>
        <w:pStyle w:val="Heading1"/>
        <w:pBdr>
          <w:bottom w:val="single" w:color="2563EB" w:sz="6" w:space="4"/>
        </w:pBdr>
        <w:spacing w:after="140" w:before="320"/>
      </w:pPr>
      <w:r>
        <w:t xml:space="preserve">What can Snag do?</w:t>
      </w:r>
    </w:p>
    <w:p>
      <w:pPr>
        <w:spacing w:after="140"/>
      </w:pPr>
      <w:r>
        <w:t xml:space="preserve">Everything below is shipped and running today — screenshots throughout are from a seeded demo organisation, not mockups of unbuilt features.</w:t>
      </w:r>
    </w:p>
    <w:p>
      <w:pPr>
        <w:pStyle w:val="Heading2"/>
        <w:spacing w:after="100" w:before="240"/>
      </w:pPr>
      <w:r>
        <w:t xml:space="preserve">Report in seconds</w:t>
      </w:r>
    </w:p>
    <w:p>
      <w:pPr>
        <w:spacing w:after="140"/>
      </w:pPr>
      <w:r>
        <w:t xml:space="preserve">A worker opens the app, describes what's wrong, picks a type, optionally attaches a photo, and submits — most reports take under a minute. No login friction for one-off reporters either: a site can generate a public QR code so a visitor, contractor, or member of the public can report a hazard without ever creating an account.</w:t>
      </w:r>
    </w:p>
    <w:p>
      <w:pPr>
        <w:spacing w:after="40" w:before="80"/>
        <w:jc w:val="center"/>
      </w:pPr>
      <w:r>
        <w:drawing>
          <wp:inline distT="0" distB="0" distL="0" distR="0">
            <wp:extent cx="21907500" cy="3740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0" cy="374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Reporting screen — description, type, optional photo, and the serious-incident escalation path.</w:t>
      </w:r>
    </w:p>
    <w:p>
      <w:pPr>
        <w:pStyle w:val="Heading2"/>
        <w:spacing w:after="100" w:before="240"/>
      </w:pPr>
      <w:r>
        <w:t xml:space="preserve">Two lanes: niggles vs. serious incidents</w:t>
      </w:r>
    </w:p>
    <w:p>
      <w:pPr>
        <w:spacing w:after="140"/>
      </w:pPr>
      <w:r>
        <w:t xml:space="preserve">Everyday fixes and safety-critical events are deliberately kept apart. Niggles (fixit/improvement) move through a lightweight flagged → in progress → resolved board. Hazards and incidents enter the serious lane, where resolving them is gated behind a real investigation — nothing slips through because someone marked it “done” in a hurry. Duplicate reports of the same underlying issue can be merged into one trackable record instead of being resolved five separate times.</w:t>
      </w:r>
    </w:p>
    <w:p>
      <w:pPr>
        <w:spacing w:after="40" w:before="80"/>
        <w:jc w:val="center"/>
      </w:pPr>
      <w:r>
        <w:drawing>
          <wp:inline distT="0" distB="0" distL="0" distR="0">
            <wp:extent cx="21907500" cy="402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0" cy="402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Snags list — filterable, colour-coded by status/type/severity, injury-severity items pinned to the top.</w:t>
      </w:r>
    </w:p>
    <w:p>
      <w:pPr>
        <w:pStyle w:val="Heading2"/>
        <w:spacing w:after="100" w:before="240"/>
      </w:pPr>
      <w:r>
        <w:t xml:space="preserve">Guided investigation &amp; defensible records</w:t>
      </w:r>
    </w:p>
    <w:p>
      <w:pPr>
        <w:spacing w:after="140"/>
      </w:pPr>
      <w:r>
        <w:t xml:space="preserve">A serious incident can't be closed until a supervisor works through a first-response checklist (make the area safe, preserve the scene, capture evidence, identify witnesses, find the root cause), records at least one witness statement and one piece of evidence, and documents a root cause. From there, a formal </w:t>
      </w:r>
      <w:r>
        <w:rPr>
          <w:b/>
          <w:bCs/>
          <w:i w:val="false"/>
          <w:iCs w:val="false"/>
        </w:rPr>
        <w:t xml:space="preserve">5-Whys root cause analysis</w:t>
      </w:r>
      <w:r>
        <w:t xml:space="preserve"> can be delegated to anyone on site; </w:t>
      </w:r>
      <w:r>
        <w:rPr>
          <w:b/>
          <w:bCs/>
          <w:i w:val="false"/>
          <w:iCs w:val="false"/>
        </w:rPr>
        <w:t xml:space="preserve">corrective actions</w:t>
      </w:r>
      <w:r>
        <w:t xml:space="preserve"> require independent verification (the person who marks an action done can't also be the one who signs it off); and a </w:t>
      </w:r>
      <w:r>
        <w:rPr>
          <w:b/>
          <w:bCs/>
          <w:i w:val="false"/>
          <w:iCs w:val="false"/>
        </w:rPr>
        <w:t xml:space="preserve">hot or formal debrief</w:t>
      </w:r>
      <w:r>
        <w:t xml:space="preserve"> captures findings, attendees, and lessons learned. The whole file — checklist, statements, evidence, RCA, corrective actions, debrief — exports as a single timestamped PDF.</w:t>
      </w:r>
    </w:p>
    <w:p>
      <w:pPr>
        <w:spacing w:after="40" w:before="80"/>
        <w:jc w:val="center"/>
      </w:pPr>
      <w:r>
        <w:drawing>
          <wp:inline distT="0" distB="0" distL="0" distR="0">
            <wp:extent cx="19050000" cy="6825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682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 serious incident's full record — notifiable-event decision, investigation, RCA, corrective actions, and debrief in one place.</w:t>
      </w:r>
    </w:p>
    <w:p>
      <w:r>
        <w:br w:type="page"/>
      </w:r>
    </w:p>
    <w:p>
      <w:pPr>
        <w:pStyle w:val="Heading2"/>
        <w:spacing w:after="100" w:before="240"/>
      </w:pPr>
      <w:r>
        <w:t xml:space="preserve">Compliance, built in</w:t>
      </w:r>
    </w:p>
    <w:p>
      <w:pPr>
        <w:spacing w:after="140"/>
      </w:pPr>
      <w:r>
        <w:t xml:space="preserve">This is the newest and most differentiated part of the product — a direct response to New Zealand's HSWA obligations, not a generic “safety app” feature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Notifiable-event decision support — </w:t>
      </w:r>
      <w:r>
        <w:t xml:space="preserve">a guided prompt walks a supervisor through WorkSafe's notifiable-event criteria the moment a serious incident is reviewed, immediately surfaces the “preserve the site” instruction, and timestamps the decision — visible in the screenshot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Retention &amp; privacy minimisation — </w:t>
      </w:r>
      <w:r>
        <w:t xml:space="preserve">serious/notifiable records are kept in full indefinitely for defensibility; ordinary resolved niggle records are automatically minimised after a conservative period, so personal data isn't retained forever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Governance due-diligence export — </w:t>
      </w:r>
      <w:r>
        <w:t xml:space="preserve">a quarterly PDF an officer can generate straight from the app, summarising open risk, notifiable events, and site-by-site outstanding work — the artefact a board actually wants to see, not a raw stats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Multi-PCBU notification nomination — </w:t>
      </w:r>
      <w:r>
        <w:t xml:space="preserve">when a contractor or another business is involved in a shared-site incident, the app records who's taking on the (single, shared) WorkSafe notification obligation.</w:t>
      </w:r>
    </w:p>
    <w:p>
      <w:pPr>
        <w:pBdr>
          <w:left w:val="single" w:color="2563EB" w:sz="24" w:space="12"/>
        </w:pBdr>
        <w:shd w:fill="EFF6FF" w:val="clear"/>
        <w:spacing w:after="200" w:before="100"/>
        <w:ind w:left="100" w:right="100"/>
      </w:pPr>
      <w:r>
        <w:rPr>
          <w:b/>
          <w:bCs/>
          <w:i w:val="false"/>
          <w:iCs w:val="false"/>
        </w:rPr>
        <w:t xml:space="preserve">General guidance, not legal advice: </w:t>
      </w:r>
      <w:r>
        <w:t xml:space="preserve">compliance content in-app carries this caveat throughout, and any customer-facing legal claims should be reviewed by a qualified NZ health &amp; safety lawyer before release.</w:t>
      </w:r>
    </w:p>
    <w:p>
      <w:pPr>
        <w:pStyle w:val="Heading2"/>
        <w:spacing w:after="100" w:before="240"/>
      </w:pPr>
      <w:r>
        <w:t xml:space="preserve">Team &amp; site management</w:t>
      </w:r>
    </w:p>
    <w:p>
      <w:pPr>
        <w:spacing w:after="140"/>
      </w:pPr>
      <w:r>
        <w:t xml:space="preserve">Admins and supervisors get an outstanding-work view per site (open investigations, unassigned reports, overdue corrective actions), work groups that auto-route new snags to the right team, multi-site and multi-organisation support (including contractors who work across more than one customer's sites), and full member/role/invite management via QR join codes.</w:t>
      </w:r>
    </w:p>
    <w:p>
      <w:pPr>
        <w:spacing w:after="40" w:before="80"/>
        <w:jc w:val="center"/>
      </w:pPr>
      <w:r>
        <w:drawing>
          <wp:inline distT="0" distB="0" distL="0" distR="0">
            <wp:extent cx="21907500" cy="3265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0" cy="326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dashboard — outstanding work by site and work-group routing.</w:t>
      </w:r>
    </w:p>
    <w:p>
      <w:pPr>
        <w:pStyle w:val="Heading2"/>
        <w:spacing w:after="100" w:before="240"/>
      </w:pPr>
      <w:r>
        <w:t xml:space="preserve">Reporting &amp; insight</w:t>
      </w:r>
    </w:p>
    <w:p>
      <w:pPr>
        <w:spacing w:after="140"/>
      </w:pPr>
      <w:r>
        <w:t xml:space="preserve">Live organisation-wide stats (by status, type, severity), a per-site breakdown of open work, and — new — the one-tap governance export described above.</w:t>
      </w:r>
    </w:p>
    <w:p>
      <w:pPr>
        <w:spacing w:after="40" w:before="80"/>
        <w:jc w:val="center"/>
      </w:pPr>
      <w:r>
        <w:drawing>
          <wp:inline distT="0" distB="0" distL="0" distR="0">
            <wp:extent cx="21907500" cy="3049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0" cy="304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Reports screen, including the new governance-export action.</w:t>
      </w:r>
    </w:p>
    <w:p>
      <w:pPr>
        <w:pStyle w:val="Heading2"/>
        <w:spacing w:after="100" w:before="240"/>
      </w:pPr>
      <w:r>
        <w:t xml:space="preserve">Security &amp; trust architecture</w:t>
      </w:r>
    </w:p>
    <w:p>
      <w:pPr>
        <w:spacing w:after="140"/>
      </w:pPr>
      <w:r>
        <w:t xml:space="preserve">This is as much a product feature as an engineering choice: every table has row-level security scoped to the signed-in user's organisation and site; every write goes through a permission-checked server function, never a raw table edit; every meaningful action is written to an append-only audit log; and once a snag is created, it can never be deleted — a structural guarantee, not a policy someone has to remember to follow.</w:t>
      </w:r>
    </w:p>
    <w:p>
      <w:pPr>
        <w:pStyle w:val="Heading1"/>
        <w:pBdr>
          <w:bottom w:val="single" w:color="2563EB" w:sz="6" w:space="4"/>
        </w:pBdr>
        <w:spacing w:after="140" w:before="320"/>
      </w:pPr>
      <w:r>
        <w:t xml:space="preserve">Who it's for</w:t>
      </w:r>
    </w:p>
    <w:p>
      <w:pPr>
        <w:spacing w:after="140"/>
      </w:pPr>
      <w:r>
        <w:t xml:space="preserve">Small and mid-sized New Zealand businesses under HSWA — construction, trades, manufacturing, logistics, and other industrial/field-based operations — where workers are spread across sites, paperwork is the thing that never quite gets done, and a serious incident needs a record that holds up months later, not a group-chat screenshot. The two-lane model and QR-based onboarding mean a whole site crew can be reporting within minutes, with no IT rollout.</w:t>
      </w:r>
    </w:p>
    <w:p>
      <w:pPr>
        <w:pStyle w:val="Heading1"/>
        <w:pBdr>
          <w:bottom w:val="single" w:color="2563EB" w:sz="6" w:space="4"/>
        </w:pBdr>
        <w:spacing w:after="140" w:before="320"/>
      </w:pPr>
      <w:r>
        <w:t xml:space="preserve">Roadmap</w:t>
      </w:r>
    </w:p>
    <w:p>
      <w:pPr>
        <w:spacing w:after="140"/>
      </w:pPr>
      <w:r>
        <w:t xml:space="preserve">Sequenced, not speculative — each item below builds on what's already shipped: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Access &amp; Concierge — </w:t>
      </w:r>
      <w:r>
        <w:t xml:space="preserve">a Health &amp; Safety Representative role with read visibility into hazard/incident data, and a premium “Compliance Concierge” tier: Snag's own staff triaging ambiguous or high-severity notifiable-event calls across customers, without ever touching a customer's own investigation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Post-election backlog — </w:t>
      </w:r>
      <w:r>
        <w:t xml:space="preserve">a critical-risk taxonomy and a psychosocial-hazard category, deliberately held until the Health and Safety at Work Amendment Act 2026's post-election fate is confirmed, so the product isn't built around a law that could still change.</w:t>
      </w:r>
    </w:p>
    <w:p>
      <w:pPr>
        <w:pStyle w:val="Heading1"/>
        <w:pBdr>
          <w:bottom w:val="single" w:color="2563EB" w:sz="6" w:space="4"/>
        </w:pBdr>
        <w:spacing w:after="140" w:before="320"/>
      </w:pPr>
      <w:r>
        <w:t xml:space="preserve">Appendix</w:t>
      </w:r>
    </w:p>
    <w:p>
      <w:pPr>
        <w:spacing w:after="140"/>
      </w:pPr>
      <w:r>
        <w:t xml:space="preserve">Screenshots throughout this document are captured from a seeded demonstration organisation created for this purpose, not a live customer's data. All compliance-related statements are general guidance for product-planning purposes, not legal advice — see the callout in “Compliance, built in”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rPr>
      <w:b/>
      <w:bCs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c1cb544403bb42ed8b51444578eac709e79d42.png"/><Relationship Id="rId8" Type="http://schemas.openxmlformats.org/officeDocument/2006/relationships/image" Target="media/9eace1202db265baf43f24b6c53f3153e21987f0.png"/><Relationship Id="rId9" Type="http://schemas.openxmlformats.org/officeDocument/2006/relationships/image" Target="media/8404c3d792367f62b2c02e84ba75991f3fa8361d.png"/><Relationship Id="rId10" Type="http://schemas.openxmlformats.org/officeDocument/2006/relationships/image" Target="media/8daa8dee49667da9e670c826544456c84add5e7a.png"/><Relationship Id="rId11" Type="http://schemas.openxmlformats.org/officeDocument/2006/relationships/image" Target="media/e3d959d7a3fc62fda325628ac18d7eb6470f9329.png"/><Relationship Id="rId12" Type="http://schemas.openxmlformats.org/officeDocument/2006/relationships/image" Target="media/4dde11656a83d8d818617b6cae722093cc3b09c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2026-07-20T01:30:02.773Z</dcterms:created>
  <dcterms:modified xsi:type="dcterms:W3CDTF">2026-07-20T01:30:02.773Z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