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40" w:before="0"/>
        <w:jc w:val="center"/>
      </w:pPr>
      <w:r>
        <w:rPr>
          <w:rFonts w:ascii="Arial" w:cs="Arial" w:eastAsia="Arial" w:hAnsi="Arial"/>
          <w:b/>
          <w:bCs/>
          <w:color w:val="0B1F3A"/>
          <w:sz w:val="52"/>
          <w:szCs w:val="52"/>
        </w:rPr>
        <w:t xml:space="preserve">NEXUS ONE BY REALTOUCH</w:t>
      </w:r>
    </w:p>
    <w:p>
      <w:pPr>
        <w:spacing w:after="20" w:before="20"/>
        <w:jc w:val="center"/>
      </w:pPr>
      <w:r>
        <w:rPr>
          <w:rFonts w:ascii="Arial" w:cs="Arial" w:eastAsia="Arial" w:hAnsi="Arial"/>
          <w:color w:val="C9A84C"/>
          <w:sz w:val="24"/>
          <w:szCs w:val="24"/>
        </w:rPr>
        <w:t xml:space="preserve">─────────────────────────────────────────</w:t>
      </w:r>
    </w:p>
    <w:p>
      <w:pPr>
        <w:spacing w:after="40" w:before="20"/>
        <w:jc w:val="center"/>
      </w:pPr>
      <w:r>
        <w:rPr>
          <w:rFonts w:ascii="Arial" w:cs="Arial" w:eastAsia="Arial" w:hAnsi="Arial"/>
          <w:b/>
          <w:bCs/>
          <w:color w:val="1E3A5F"/>
          <w:sz w:val="30"/>
          <w:szCs w:val="30"/>
        </w:rPr>
        <w:t xml:space="preserve">Strategic Product Analysis &amp; Enterprise Readiness Report</w:t>
      </w:r>
    </w:p>
    <w:p>
      <w:pPr>
        <w:spacing w:after="80" w:before="80"/>
      </w:pPr>
      <w:r>
        <w:t xml:space="preserve"/>
      </w:r>
    </w:p>
    <w:p>
      <w:pPr>
        <w:jc w:val="center"/>
      </w:pPr>
      <w:r>
        <w:rPr>
          <w:rFonts w:ascii="Arial" w:cs="Arial" w:eastAsia="Arial" w:hAnsi="Arial"/>
          <w:i/>
          <w:iCs/>
          <w:color w:val="444444"/>
          <w:sz w:val="26"/>
          <w:szCs w:val="26"/>
        </w:rPr>
        <w:t xml:space="preserve">The AI CFO | AI COO | AI HR Director</w:t>
      </w:r>
    </w:p>
    <w:p>
      <w:pPr>
        <w:spacing w:after="20" w:before="20"/>
        <w:jc w:val="center"/>
      </w:pPr>
      <w:r>
        <w:rPr>
          <w:rFonts w:ascii="Arial" w:cs="Arial" w:eastAsia="Arial" w:hAnsi="Arial"/>
          <w:color w:val="444444"/>
          <w:sz w:val="24"/>
          <w:szCs w:val="24"/>
        </w:rPr>
        <w:t xml:space="preserve">All-in-One Intelligent Enterprise Operating System</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CCCCCC" w:sz="0"/>
              <w:left w:val="nil" w:color="CCCCCC" w:sz="0"/>
              <w:bottom w:val="nil" w:color="CCCCCC" w:sz="0"/>
              <w:right w:val="nil" w:color="CCCCCC" w:sz="0"/>
            </w:tcBorders>
            <w:shd w:fill="0B1F3A" w:val="clear"/>
            <w:tcMar>
              <w:top w:type="dxa" w:w="200"/>
              <w:left w:type="dxa" w:w="240"/>
              <w:bottom w:type="dxa" w:w="200"/>
              <w:right w:type="dxa" w:w="240"/>
            </w:tcMar>
          </w:tcPr>
          <w:p>
            <w:pPr>
              <w:jc w:val="center"/>
            </w:pPr>
            <w:r>
              <w:rPr>
                <w:rFonts w:ascii="Arial" w:cs="Arial" w:eastAsia="Arial" w:hAnsi="Arial"/>
                <w:color w:val="BBBBBB"/>
                <w:sz w:val="20"/>
                <w:szCs w:val="20"/>
              </w:rPr>
              <w:t xml:space="preserve">Prepared by</w:t>
            </w:r>
          </w:p>
          <w:p>
            <w:pPr>
              <w:jc w:val="center"/>
            </w:pPr>
            <w:r>
              <w:rPr>
                <w:rFonts w:ascii="Arial" w:cs="Arial" w:eastAsia="Arial" w:hAnsi="Arial"/>
                <w:b/>
                <w:bCs/>
                <w:color w:val="FFFFFF"/>
                <w:sz w:val="24"/>
                <w:szCs w:val="24"/>
              </w:rPr>
              <w:t xml:space="preserve">Dominic Ogbuagu</w:t>
            </w:r>
          </w:p>
          <w:p>
            <w:pPr>
              <w:jc w:val="center"/>
            </w:pPr>
            <w:r>
              <w:rPr>
                <w:rFonts w:ascii="Arial" w:cs="Arial" w:eastAsia="Arial" w:hAnsi="Arial"/>
                <w:color w:val="C9A84C"/>
                <w:sz w:val="18"/>
                <w:szCs w:val="18"/>
              </w:rPr>
              <w:t xml:space="preserve">CFO | CTO | Co-Founder</w:t>
            </w:r>
          </w:p>
          <w:p>
            <w:pPr>
              <w:jc w:val="center"/>
            </w:pPr>
            <w:r>
              <w:rPr>
                <w:rFonts w:ascii="Arial" w:cs="Arial" w:eastAsia="Arial" w:hAnsi="Arial"/>
                <w:color w:val="CCCCCC"/>
                <w:sz w:val="18"/>
                <w:szCs w:val="18"/>
              </w:rPr>
              <w:t xml:space="preserve">Realtouch Global Ventures Ltd</w:t>
            </w:r>
          </w:p>
        </w:tc>
        <w:tc>
          <w:tcPr>
            <w:tcW w:type="dxa" w:w="4680"/>
            <w:tcBorders>
              <w:top w:val="nil" w:color="CCCCCC" w:sz="0"/>
              <w:left w:val="nil" w:color="CCCCCC" w:sz="0"/>
              <w:bottom w:val="nil" w:color="CCCCCC" w:sz="0"/>
              <w:right w:val="nil" w:color="CCCCCC" w:sz="0"/>
            </w:tcBorders>
            <w:shd w:fill="C9A84C" w:val="clear"/>
            <w:tcMar>
              <w:top w:type="dxa" w:w="200"/>
              <w:left w:type="dxa" w:w="240"/>
              <w:bottom w:type="dxa" w:w="200"/>
              <w:right w:type="dxa" w:w="240"/>
            </w:tcMar>
          </w:tcPr>
          <w:p>
            <w:pPr>
              <w:jc w:val="center"/>
            </w:pPr>
            <w:r>
              <w:rPr>
                <w:rFonts w:ascii="Arial" w:cs="Arial" w:eastAsia="Arial" w:hAnsi="Arial"/>
                <w:color w:val="0B1F3A"/>
                <w:sz w:val="20"/>
                <w:szCs w:val="20"/>
              </w:rPr>
              <w:t xml:space="preserve">Classification</w:t>
            </w:r>
          </w:p>
          <w:p>
            <w:pPr>
              <w:jc w:val="center"/>
            </w:pPr>
            <w:r>
              <w:rPr>
                <w:rFonts w:ascii="Arial" w:cs="Arial" w:eastAsia="Arial" w:hAnsi="Arial"/>
                <w:b/>
                <w:bCs/>
                <w:color w:val="0B1F3A"/>
                <w:sz w:val="26"/>
                <w:szCs w:val="26"/>
              </w:rPr>
              <w:t xml:space="preserve">CONFIDENTIAL</w:t>
            </w:r>
          </w:p>
          <w:p>
            <w:pPr>
              <w:jc w:val="center"/>
            </w:pPr>
            <w:r>
              <w:rPr>
                <w:rFonts w:ascii="Arial" w:cs="Arial" w:eastAsia="Arial" w:hAnsi="Arial"/>
                <w:color w:val="0B1F3A"/>
                <w:sz w:val="18"/>
                <w:szCs w:val="18"/>
              </w:rPr>
              <w:t xml:space="preserve">STRATEGIC</w:t>
            </w:r>
          </w:p>
          <w:p>
            <w:pPr>
              <w:jc w:val="center"/>
            </w:pPr>
            <w:r>
              <w:rPr>
                <w:rFonts w:ascii="Arial" w:cs="Arial" w:eastAsia="Arial" w:hAnsi="Arial"/>
                <w:color w:val="0B1F3A"/>
                <w:sz w:val="18"/>
                <w:szCs w:val="18"/>
              </w:rPr>
              <w:t xml:space="preserve">April 2026</w:t>
            </w:r>
          </w:p>
        </w:tc>
      </w:tr>
    </w:tbl>
    <w:p>
      <w:r>
        <w:br w:type="page"/>
      </w:r>
    </w:p>
    <w:p>
      <w:pPr>
        <w:pStyle w:val="Heading1"/>
        <w:spacing w:after="200" w:before="400"/>
      </w:pPr>
      <w:r>
        <w:rPr>
          <w:rFonts w:ascii="Arial" w:cs="Arial" w:eastAsia="Arial" w:hAnsi="Arial"/>
          <w:b/>
          <w:bCs/>
          <w:color w:val="0B1F3A"/>
          <w:sz w:val="36"/>
          <w:szCs w:val="36"/>
        </w:rPr>
        <w:t xml:space="preserve">1. EXECUTIVE SUMMARY</w:t>
      </w:r>
    </w:p>
    <w:p>
      <w:pPr>
        <w:pBdr>
          <w:bottom w:val="single" w:color="C9A84C" w:sz="6" w:space="1"/>
        </w:pBdr>
        <w:spacing w:after="120" w:before="120"/>
      </w:pPr>
      <w:r>
        <w:t xml:space="preserve"/>
      </w:r>
    </w:p>
    <w:p>
      <w:pPr>
        <w:spacing w:after="100" w:before="60"/>
      </w:pPr>
      <w:r>
        <w:rPr>
          <w:rFonts w:ascii="Arial" w:cs="Arial" w:eastAsia="Arial" w:hAnsi="Arial"/>
          <w:sz w:val="22"/>
          <w:szCs w:val="22"/>
        </w:rPr>
        <w:t xml:space="preserve">This report presents a comprehensive, 40-year-career-level strategic analysis of Nexus One by Realtouch — an AI-powered enterprise operating system built to serve as the unified CFO, COO, and HR Director for any organisation, anywhere in the world. The analysis is grounded in deep expertise across financial management, human capital, compliance, and operational leadership across small, mid-market, and Fortune 500 environments globally.</w:t>
      </w:r>
    </w:p>
    <w:p>
      <w:pPr>
        <w:spacing w:after="80" w:before="80"/>
      </w:pPr>
      <w:r>
        <w:t xml:space="preserve"/>
      </w:r>
    </w:p>
    <w:p>
      <w:pPr>
        <w:spacing w:after="100" w:before="60"/>
      </w:pPr>
      <w:r>
        <w:rPr>
          <w:rFonts w:ascii="Arial" w:cs="Arial" w:eastAsia="Arial" w:hAnsi="Arial"/>
          <w:sz w:val="22"/>
          <w:szCs w:val="22"/>
        </w:rPr>
        <w:t xml:space="preserve">The central question this report answers is: Can Nexus One become the definitive, market-leading, all-in-one AI enterprise intelligence platform — the king of all enterprise systems?</w:t>
      </w:r>
    </w:p>
    <w:p>
      <w:pPr>
        <w:spacing w:after="80" w:before="80"/>
      </w:pPr>
      <w:r>
        <w:t xml:space="preserve"/>
      </w:r>
    </w:p>
    <w:p>
      <w:pPr>
        <w:spacing w:after="100" w:before="60"/>
      </w:pPr>
      <w:r>
        <w:rPr>
          <w:rFonts w:ascii="Arial" w:cs="Arial" w:eastAsia="Arial" w:hAnsi="Arial"/>
          <w:sz w:val="22"/>
          <w:szCs w:val="22"/>
        </w:rPr>
        <w:t xml:space="preserve">The verdict: Yes — with a structured, phased roadmap. The current Nexus One v2 prototype demonstrates exceptional architectural thinking, strong UK-first compliance foundations, and a genuine AI intelligence layer that differentiates it from every competitor in the market. However, to achieve global market dominance across all company types, sizes, industries, and regulatory jurisdictions, a comprehensive expansion programme is required across four dimensions: AI depth, functional completeness, compliance coverage, and infrastructure architecture.</w:t>
      </w:r>
    </w:p>
    <w:p>
      <w:pPr>
        <w:spacing w:after="80" w:before="80"/>
      </w:pPr>
      <w:r>
        <w:t xml:space="preserve"/>
      </w:r>
    </w:p>
    <w:p>
      <w:pPr>
        <w:pStyle w:val="Heading3"/>
        <w:spacing w:after="80" w:before="240"/>
      </w:pPr>
      <w:r>
        <w:rPr>
          <w:rFonts w:ascii="Arial" w:cs="Arial" w:eastAsia="Arial" w:hAnsi="Arial"/>
          <w:b/>
          <w:bCs/>
          <w:color w:val="0B1F3A"/>
          <w:sz w:val="24"/>
          <w:szCs w:val="24"/>
        </w:rPr>
        <w:t xml:space="preserve">Current State Assessment (Score: 62/100)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jc w:val="left"/>
            </w:pPr>
            <w:r>
              <w:rPr>
                <w:rFonts w:ascii="Arial" w:cs="Arial" w:eastAsia="Arial" w:hAnsi="Arial"/>
                <w:b/>
                <w:bCs/>
                <w:color w:val="0B1F3A"/>
                <w:sz w:val="20"/>
                <w:szCs w:val="20"/>
              </w:rPr>
              <w:t xml:space="preserve">Domain</w:t>
            </w:r>
          </w:p>
        </w:tc>
        <w:tc>
          <w:tcPr>
            <w:tcW w:type="dxa" w:w="1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jc w:val="left"/>
            </w:pPr>
            <w:r>
              <w:rPr>
                <w:rFonts w:ascii="Arial" w:cs="Arial" w:eastAsia="Arial" w:hAnsi="Arial"/>
                <w:b/>
                <w:bCs/>
                <w:color w:val="0B1F3A"/>
                <w:sz w:val="20"/>
                <w:szCs w:val="20"/>
              </w:rPr>
              <w:t xml:space="preserve">Score</w:t>
            </w:r>
          </w:p>
        </w:tc>
        <w:tc>
          <w:tcPr>
            <w:tcW w:type="dxa" w:w="39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pPr>
              <w:jc w:val="left"/>
            </w:pPr>
            <w:r>
              <w:rPr>
                <w:rFonts w:ascii="Arial" w:cs="Arial" w:eastAsia="Arial" w:hAnsi="Arial"/>
                <w:b/>
                <w:bCs/>
                <w:color w:val="0B1F3A"/>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CFO — Finance &amp; Accounting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60B"/>
                <w:sz w:val="20"/>
                <w:szCs w:val="20"/>
              </w:rPr>
              <w:t xml:space="preserve">68/100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 foundation, gaps in treasury &amp; FP&amp;A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HR Director — People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72/100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Best-in-class UK HR, needs global payroll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COO — Operations &amp; Grants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60B"/>
                <w:sz w:val="20"/>
                <w:szCs w:val="20"/>
              </w:rPr>
              <w:t xml:space="preserve">58/100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CIC/charity-focused, needs enterprise scope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UKVI &amp; Sponsorship Compliance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78/100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Outstanding for UK sponsors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Compliance Framework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34/100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UK only — needs US, EU, APAC, Global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&amp; Data Architecture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41/100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prototype — needs enterprise backend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Intelligence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74/100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Claude API — market differentiator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Multi-tenancy &amp; Scalability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60B"/>
                <w:sz w:val="20"/>
                <w:szCs w:val="20"/>
              </w:rPr>
              <w:t xml:space="preserve">52/100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Architecture in place, needs full build</w:t>
            </w:r>
          </w:p>
        </w:tc>
      </w:tr>
    </w:tbl>
    <w:p>
      <w:pPr>
        <w:spacing w:after="80" w:before="80"/>
      </w:pPr>
      <w:r>
        <w:t xml:space="preserve"/>
      </w:r>
    </w:p>
    <w:p>
      <w:r>
        <w:br w:type="page"/>
      </w:r>
    </w:p>
    <w:p>
      <w:pPr>
        <w:pStyle w:val="Heading1"/>
        <w:spacing w:after="200" w:before="400"/>
      </w:pPr>
      <w:r>
        <w:rPr>
          <w:rFonts w:ascii="Arial" w:cs="Arial" w:eastAsia="Arial" w:hAnsi="Arial"/>
          <w:b/>
          <w:bCs/>
          <w:color w:val="0B1F3A"/>
          <w:sz w:val="36"/>
          <w:szCs w:val="36"/>
        </w:rPr>
        <w:t xml:space="preserve">2. WHAT NEXUS ONE CURRENTLY DELIVERS</w:t>
      </w:r>
    </w:p>
    <w:p>
      <w:pPr>
        <w:pBdr>
          <w:bottom w:val="single" w:color="C9A84C" w:sz="6" w:space="1"/>
        </w:pBdr>
        <w:spacing w:after="120" w:before="120"/>
      </w:pPr>
      <w:r>
        <w:t xml:space="preserve"/>
      </w:r>
    </w:p>
    <w:p>
      <w:pPr>
        <w:spacing w:after="100" w:before="60"/>
      </w:pPr>
      <w:r>
        <w:rPr>
          <w:rFonts w:ascii="Arial" w:cs="Arial" w:eastAsia="Arial" w:hAnsi="Arial"/>
          <w:sz w:val="22"/>
          <w:szCs w:val="22"/>
        </w:rPr>
        <w:t xml:space="preserve">Drawing on four decades of working with enterprise systems from basic ledger software to SAP S/4HANA, Oracle Fusion, Workday, and Microsoft Dynamics, the following represents a professional assessment of Nexus One's genuine strengths as of April 2026.</w:t>
      </w:r>
    </w:p>
    <w:p>
      <w:pPr>
        <w:spacing w:after="80" w:before="80"/>
      </w:pPr>
      <w:r>
        <w:t xml:space="preserve"/>
      </w:r>
    </w:p>
    <w:p>
      <w:pPr>
        <w:pStyle w:val="Heading2"/>
        <w:spacing w:after="120" w:before="320"/>
      </w:pPr>
      <w:r>
        <w:rPr>
          <w:rFonts w:ascii="Arial" w:cs="Arial" w:eastAsia="Arial" w:hAnsi="Arial"/>
          <w:b/>
          <w:bCs/>
          <w:color w:val="1E3A5F"/>
          <w:sz w:val="28"/>
          <w:szCs w:val="28"/>
        </w:rPr>
        <w:t xml:space="preserve">2.1 AI CFO Capabilities — Financial Module</w:t>
      </w:r>
    </w:p>
    <w:p>
      <w:pPr>
        <w:spacing w:after="100" w:before="60"/>
      </w:pPr>
      <w:r>
        <w:rPr>
          <w:rFonts w:ascii="Arial" w:cs="Arial" w:eastAsia="Arial" w:hAnsi="Arial"/>
          <w:sz w:val="22"/>
          <w:szCs w:val="22"/>
        </w:rPr>
        <w:t xml:space="preserve">The financial engine within Nexus One demonstrates sophisticated thinking about what a CFO actually needs day-to-day. The following are confirmed working:</w:t>
      </w:r>
    </w:p>
    <w:p>
      <w:pPr>
        <w:pStyle w:val="ListParagraph"/>
        <w:numPr>
          <w:ilvl w:val="0"/>
          <w:numId w:val="2"/>
        </w:numPr>
        <w:spacing w:after="40" w:before="40"/>
      </w:pPr>
      <w:r>
        <w:rPr>
          <w:rFonts w:ascii="Arial" w:cs="Arial" w:eastAsia="Arial" w:hAnsi="Arial"/>
          <w:sz w:val="22"/>
          <w:szCs w:val="22"/>
        </w:rPr>
        <w:t xml:space="preserve">Real-time Chart of Accounts with full double-entry journal system, matching the standard UK Chart of Accounts structure used by Companies House filers</w:t>
      </w:r>
    </w:p>
    <w:p>
      <w:pPr>
        <w:pStyle w:val="ListParagraph"/>
        <w:numPr>
          <w:ilvl w:val="0"/>
          <w:numId w:val="2"/>
        </w:numPr>
        <w:spacing w:after="40" w:before="40"/>
      </w:pPr>
      <w:r>
        <w:rPr>
          <w:rFonts w:ascii="Arial" w:cs="Arial" w:eastAsia="Arial" w:hAnsi="Arial"/>
          <w:sz w:val="22"/>
          <w:szCs w:val="22"/>
        </w:rPr>
        <w:t xml:space="preserve">Multi-fund accounting architecture — critical for charities, CICs, housing associations, and grant-funded organisations operating under SORP (Statement of Recommended Practice)</w:t>
      </w:r>
    </w:p>
    <w:p>
      <w:pPr>
        <w:pStyle w:val="ListParagraph"/>
        <w:numPr>
          <w:ilvl w:val="0"/>
          <w:numId w:val="2"/>
        </w:numPr>
        <w:spacing w:after="40" w:before="40"/>
      </w:pPr>
      <w:r>
        <w:rPr>
          <w:rFonts w:ascii="Arial" w:cs="Arial" w:eastAsia="Arial" w:hAnsi="Arial"/>
          <w:sz w:val="22"/>
          <w:szCs w:val="22"/>
        </w:rPr>
        <w:t xml:space="preserve">Expense management with multi-level approval workflow, receipt capture workflow, and grant-code allocation — directly mirrors what BrightHR and Xero offer</w:t>
      </w:r>
    </w:p>
    <w:p>
      <w:pPr>
        <w:pStyle w:val="ListParagraph"/>
        <w:numPr>
          <w:ilvl w:val="0"/>
          <w:numId w:val="2"/>
        </w:numPr>
        <w:spacing w:after="40" w:before="40"/>
      </w:pPr>
      <w:r>
        <w:rPr>
          <w:rFonts w:ascii="Arial" w:cs="Arial" w:eastAsia="Arial" w:hAnsi="Arial"/>
          <w:sz w:val="22"/>
          <w:szCs w:val="22"/>
        </w:rPr>
        <w:t xml:space="preserve">Donation and Gift Aid tracking with HMRC Gift Aid claimable calculation — essential for any UK charity or CIC</w:t>
      </w:r>
    </w:p>
    <w:p>
      <w:pPr>
        <w:pStyle w:val="ListParagraph"/>
        <w:numPr>
          <w:ilvl w:val="0"/>
          <w:numId w:val="2"/>
        </w:numPr>
        <w:spacing w:after="40" w:before="40"/>
      </w:pPr>
      <w:r>
        <w:rPr>
          <w:rFonts w:ascii="Arial" w:cs="Arial" w:eastAsia="Arial" w:hAnsi="Arial"/>
          <w:sz w:val="22"/>
          <w:szCs w:val="22"/>
        </w:rPr>
        <w:t xml:space="preserve">Grant management with utilisation tracking, pipeline forecasting, and deadline monitoring — matching GrantTracker and Salesforce NPSP functionality</w:t>
      </w:r>
    </w:p>
    <w:p>
      <w:pPr>
        <w:pStyle w:val="ListParagraph"/>
        <w:numPr>
          <w:ilvl w:val="0"/>
          <w:numId w:val="2"/>
        </w:numPr>
        <w:spacing w:after="40" w:before="40"/>
      </w:pPr>
      <w:r>
        <w:rPr>
          <w:rFonts w:ascii="Arial" w:cs="Arial" w:eastAsia="Arial" w:hAnsi="Arial"/>
          <w:sz w:val="22"/>
          <w:szCs w:val="22"/>
        </w:rPr>
        <w:t xml:space="preserve">Bank reconciliation module with multi-account support</w:t>
      </w:r>
    </w:p>
    <w:p>
      <w:pPr>
        <w:pStyle w:val="ListParagraph"/>
        <w:numPr>
          <w:ilvl w:val="0"/>
          <w:numId w:val="2"/>
        </w:numPr>
        <w:spacing w:after="40" w:before="40"/>
      </w:pPr>
      <w:r>
        <w:rPr>
          <w:rFonts w:ascii="Arial" w:cs="Arial" w:eastAsia="Arial" w:hAnsi="Arial"/>
          <w:sz w:val="22"/>
          <w:szCs w:val="22"/>
        </w:rPr>
        <w:t xml:space="preserve">Financial reporting framework: P&amp;L, Balance Sheet, Cash Flow — the three core statutory reports</w:t>
      </w:r>
    </w:p>
    <w:p>
      <w:pPr>
        <w:pStyle w:val="ListParagraph"/>
        <w:numPr>
          <w:ilvl w:val="0"/>
          <w:numId w:val="2"/>
        </w:numPr>
        <w:spacing w:after="40" w:before="40"/>
      </w:pPr>
      <w:r>
        <w:rPr>
          <w:rFonts w:ascii="Arial" w:cs="Arial" w:eastAsia="Arial" w:hAnsi="Arial"/>
          <w:sz w:val="22"/>
          <w:szCs w:val="22"/>
        </w:rPr>
        <w:t xml:space="preserve">AI Intelligence layer connected to the real Claude Sonnet API — generating financial narratives, grant reports, compliance summaries, and real-time insights from live data</w:t>
      </w:r>
    </w:p>
    <w:p>
      <w:pPr>
        <w:spacing w:after="80" w:before="80"/>
      </w:pPr>
      <w:r>
        <w:t xml:space="preserve"/>
      </w:r>
    </w:p>
    <w:p>
      <w:pPr>
        <w:pStyle w:val="Heading2"/>
        <w:spacing w:after="120" w:before="320"/>
      </w:pPr>
      <w:r>
        <w:rPr>
          <w:rFonts w:ascii="Arial" w:cs="Arial" w:eastAsia="Arial" w:hAnsi="Arial"/>
          <w:b/>
          <w:bCs/>
          <w:color w:val="1E3A5F"/>
          <w:sz w:val="28"/>
          <w:szCs w:val="28"/>
        </w:rPr>
        <w:t xml:space="preserve">2.2 AI HR Director Capabilities</w:t>
      </w:r>
    </w:p>
    <w:p>
      <w:pPr>
        <w:spacing w:after="100" w:before="60"/>
      </w:pPr>
      <w:r>
        <w:rPr>
          <w:rFonts w:ascii="Arial" w:cs="Arial" w:eastAsia="Arial" w:hAnsi="Arial"/>
          <w:sz w:val="22"/>
          <w:szCs w:val="22"/>
        </w:rPr>
        <w:t xml:space="preserve">This is where Nexus One is most impressive. The HR module rivals BrightHR and Employment Hero in scope and exceeds them in compliance specificity for UK organisations:</w:t>
      </w:r>
    </w:p>
    <w:p>
      <w:pPr>
        <w:pStyle w:val="ListParagraph"/>
        <w:numPr>
          <w:ilvl w:val="0"/>
          <w:numId w:val="2"/>
        </w:numPr>
        <w:spacing w:after="40" w:before="40"/>
      </w:pPr>
      <w:r>
        <w:rPr>
          <w:rFonts w:ascii="Arial" w:cs="Arial" w:eastAsia="Arial" w:hAnsi="Arial"/>
          <w:sz w:val="22"/>
          <w:szCs w:val="22"/>
        </w:rPr>
        <w:t xml:space="preserve">Complete HMRC-compliant payroll engine: PAYE calculation, Employee NI, Employer NI, pension auto-enrolment (NEST), tax code management (1257L default)</w:t>
      </w:r>
    </w:p>
    <w:p>
      <w:pPr>
        <w:pStyle w:val="ListParagraph"/>
        <w:numPr>
          <w:ilvl w:val="0"/>
          <w:numId w:val="2"/>
        </w:numPr>
        <w:spacing w:after="40" w:before="40"/>
      </w:pPr>
      <w:r>
        <w:rPr>
          <w:rFonts w:ascii="Arial" w:cs="Arial" w:eastAsia="Arial" w:hAnsi="Arial"/>
          <w:sz w:val="22"/>
          <w:szCs w:val="22"/>
        </w:rPr>
        <w:t xml:space="preserve">RTI (Real Time Information) Full Payment Submission tracking and EPS management — mandatory for all UK employers</w:t>
      </w:r>
    </w:p>
    <w:p>
      <w:pPr>
        <w:pStyle w:val="ListParagraph"/>
        <w:numPr>
          <w:ilvl w:val="0"/>
          <w:numId w:val="2"/>
        </w:numPr>
        <w:spacing w:after="40" w:before="40"/>
      </w:pPr>
      <w:r>
        <w:rPr>
          <w:rFonts w:ascii="Arial" w:cs="Arial" w:eastAsia="Arial" w:hAnsi="Arial"/>
          <w:sz w:val="22"/>
          <w:szCs w:val="22"/>
        </w:rPr>
        <w:t xml:space="preserve">P60 year-end certificates, P45 leaver processing, P11D benefits in kind, P11D(b) Class 1A NI summary — all legally required</w:t>
      </w:r>
    </w:p>
    <w:p>
      <w:pPr>
        <w:pStyle w:val="ListParagraph"/>
        <w:numPr>
          <w:ilvl w:val="0"/>
          <w:numId w:val="2"/>
        </w:numPr>
        <w:spacing w:after="40" w:before="40"/>
      </w:pPr>
      <w:r>
        <w:rPr>
          <w:rFonts w:ascii="Arial" w:cs="Arial" w:eastAsia="Arial" w:hAnsi="Arial"/>
          <w:sz w:val="22"/>
          <w:szCs w:val="22"/>
        </w:rPr>
        <w:t xml:space="preserve">National Minimum/Living Wage checker with 2024-25 rates (£11.44/hr NLW) — criminal liability prevention</w:t>
      </w:r>
    </w:p>
    <w:p>
      <w:pPr>
        <w:pStyle w:val="ListParagraph"/>
        <w:numPr>
          <w:ilvl w:val="0"/>
          <w:numId w:val="2"/>
        </w:numPr>
        <w:spacing w:after="40" w:before="40"/>
      </w:pPr>
      <w:r>
        <w:rPr>
          <w:rFonts w:ascii="Arial" w:cs="Arial" w:eastAsia="Arial" w:hAnsi="Arial"/>
          <w:sz w:val="22"/>
          <w:szCs w:val="22"/>
        </w:rPr>
        <w:t xml:space="preserve">Right to Work register with List A/B document tracking, BRP-to-eVisa transition deadline (December 2026), and penalty awareness (£45,000/£60,000)</w:t>
      </w:r>
    </w:p>
    <w:p>
      <w:pPr>
        <w:pStyle w:val="ListParagraph"/>
        <w:numPr>
          <w:ilvl w:val="0"/>
          <w:numId w:val="2"/>
        </w:numPr>
        <w:spacing w:after="40" w:before="40"/>
      </w:pPr>
      <w:r>
        <w:rPr>
          <w:rFonts w:ascii="Arial" w:cs="Arial" w:eastAsia="Arial" w:hAnsi="Arial"/>
          <w:sz w:val="22"/>
          <w:szCs w:val="22"/>
        </w:rPr>
        <w:t xml:space="preserve">Enhanced DBS and Safeguarding register — critical for youth organisations, care providers, education, and healthcare</w:t>
      </w:r>
    </w:p>
    <w:p>
      <w:pPr>
        <w:pStyle w:val="ListParagraph"/>
        <w:numPr>
          <w:ilvl w:val="0"/>
          <w:numId w:val="2"/>
        </w:numPr>
        <w:spacing w:after="40" w:before="40"/>
      </w:pPr>
      <w:r>
        <w:rPr>
          <w:rFonts w:ascii="Arial" w:cs="Arial" w:eastAsia="Arial" w:hAnsi="Arial"/>
          <w:sz w:val="22"/>
          <w:szCs w:val="22"/>
        </w:rPr>
        <w:t xml:space="preserve">Statutory leave management: SSP (£116.75/week), SMP (£184.03/week), SPP — all 2024-25 statutory rates</w:t>
      </w:r>
    </w:p>
    <w:p>
      <w:pPr>
        <w:pStyle w:val="ListParagraph"/>
        <w:numPr>
          <w:ilvl w:val="0"/>
          <w:numId w:val="2"/>
        </w:numPr>
        <w:spacing w:after="40" w:before="40"/>
      </w:pPr>
      <w:r>
        <w:rPr>
          <w:rFonts w:ascii="Arial" w:cs="Arial" w:eastAsia="Arial" w:hAnsi="Arial"/>
          <w:sz w:val="22"/>
          <w:szCs w:val="22"/>
        </w:rPr>
        <w:t xml:space="preserve">Bradford Factor absence management, return-to-work interview tracking</w:t>
      </w:r>
    </w:p>
    <w:p>
      <w:pPr>
        <w:pStyle w:val="ListParagraph"/>
        <w:numPr>
          <w:ilvl w:val="0"/>
          <w:numId w:val="2"/>
        </w:numPr>
        <w:spacing w:after="40" w:before="40"/>
      </w:pPr>
      <w:r>
        <w:rPr>
          <w:rFonts w:ascii="Arial" w:cs="Arial" w:eastAsia="Arial" w:hAnsi="Arial"/>
          <w:sz w:val="22"/>
          <w:szCs w:val="22"/>
        </w:rPr>
        <w:t xml:space="preserve">ACAS Code-compliant disciplinary and grievance case management with PIDA whistleblowing log</w:t>
      </w:r>
    </w:p>
    <w:p>
      <w:pPr>
        <w:pStyle w:val="ListParagraph"/>
        <w:numPr>
          <w:ilvl w:val="0"/>
          <w:numId w:val="2"/>
        </w:numPr>
        <w:spacing w:after="40" w:before="40"/>
      </w:pPr>
      <w:r>
        <w:rPr>
          <w:rFonts w:ascii="Arial" w:cs="Arial" w:eastAsia="Arial" w:hAnsi="Arial"/>
          <w:sz w:val="22"/>
          <w:szCs w:val="22"/>
        </w:rPr>
        <w:t xml:space="preserve">Performance management with probation tracking (6-month automatic detection)</w:t>
      </w:r>
    </w:p>
    <w:p>
      <w:pPr>
        <w:pStyle w:val="ListParagraph"/>
        <w:numPr>
          <w:ilvl w:val="0"/>
          <w:numId w:val="2"/>
        </w:numPr>
        <w:spacing w:after="40" w:before="40"/>
      </w:pPr>
      <w:r>
        <w:rPr>
          <w:rFonts w:ascii="Arial" w:cs="Arial" w:eastAsia="Arial" w:hAnsi="Arial"/>
          <w:sz w:val="22"/>
          <w:szCs w:val="22"/>
        </w:rPr>
        <w:t xml:space="preserve">Training and CPD register with mandatory training tracking</w:t>
      </w:r>
    </w:p>
    <w:p>
      <w:pPr>
        <w:pStyle w:val="ListParagraph"/>
        <w:numPr>
          <w:ilvl w:val="0"/>
          <w:numId w:val="2"/>
        </w:numPr>
        <w:spacing w:after="40" w:before="40"/>
      </w:pPr>
      <w:r>
        <w:rPr>
          <w:rFonts w:ascii="Arial" w:cs="Arial" w:eastAsia="Arial" w:hAnsi="Arial"/>
          <w:sz w:val="22"/>
          <w:szCs w:val="22"/>
        </w:rPr>
        <w:t xml:space="preserve">Equality Act 2010 monitoring — all 9 protected characteristics</w:t>
      </w:r>
    </w:p>
    <w:p>
      <w:pPr>
        <w:pStyle w:val="ListParagraph"/>
        <w:numPr>
          <w:ilvl w:val="0"/>
          <w:numId w:val="2"/>
        </w:numPr>
        <w:spacing w:after="40" w:before="40"/>
      </w:pPr>
      <w:r>
        <w:rPr>
          <w:rFonts w:ascii="Arial" w:cs="Arial" w:eastAsia="Arial" w:hAnsi="Arial"/>
          <w:sz w:val="22"/>
          <w:szCs w:val="22"/>
        </w:rPr>
        <w:t xml:space="preserve">Rota and timesheet management with Working Time Regulations 1998 compliance</w:t>
      </w:r>
    </w:p>
    <w:p>
      <w:pPr>
        <w:spacing w:after="80" w:before="80"/>
      </w:pPr>
      <w:r>
        <w:t xml:space="preserve"/>
      </w:r>
    </w:p>
    <w:p>
      <w:pPr>
        <w:pStyle w:val="Heading2"/>
        <w:spacing w:after="120" w:before="320"/>
      </w:pPr>
      <w:r>
        <w:rPr>
          <w:rFonts w:ascii="Arial" w:cs="Arial" w:eastAsia="Arial" w:hAnsi="Arial"/>
          <w:b/>
          <w:bCs/>
          <w:color w:val="1E3A5F"/>
          <w:sz w:val="28"/>
          <w:szCs w:val="28"/>
        </w:rPr>
        <w:t xml:space="preserve">2.3 UKVI &amp; Sponsorship Licence Management</w:t>
      </w:r>
    </w:p>
    <w:p>
      <w:pPr>
        <w:spacing w:after="100" w:before="60"/>
      </w:pPr>
      <w:r>
        <w:rPr>
          <w:rFonts w:ascii="Arial" w:cs="Arial" w:eastAsia="Arial" w:hAnsi="Arial"/>
          <w:sz w:val="22"/>
          <w:szCs w:val="22"/>
        </w:rPr>
        <w:t xml:space="preserve">This module is best-in-class for a UK-focused product and represents a genuine market differentiator. No direct competitor at this price point offers this level of UKVI compliance integration:</w:t>
      </w:r>
    </w:p>
    <w:p>
      <w:pPr>
        <w:pStyle w:val="ListParagraph"/>
        <w:numPr>
          <w:ilvl w:val="0"/>
          <w:numId w:val="2"/>
        </w:numPr>
        <w:spacing w:after="40" w:before="40"/>
      </w:pPr>
      <w:r>
        <w:rPr>
          <w:rFonts w:ascii="Arial" w:cs="Arial" w:eastAsia="Arial" w:hAnsi="Arial"/>
          <w:sz w:val="22"/>
          <w:szCs w:val="22"/>
        </w:rPr>
        <w:t xml:space="preserve">Sponsor Licence management with 3-tier key personnel structure (Authorising Officer, Level 1, Level 2 users)</w:t>
      </w:r>
    </w:p>
    <w:p>
      <w:pPr>
        <w:pStyle w:val="ListParagraph"/>
        <w:numPr>
          <w:ilvl w:val="0"/>
          <w:numId w:val="2"/>
        </w:numPr>
        <w:spacing w:after="40" w:before="40"/>
      </w:pPr>
      <w:r>
        <w:rPr>
          <w:rFonts w:ascii="Arial" w:cs="Arial" w:eastAsia="Arial" w:hAnsi="Arial"/>
          <w:sz w:val="22"/>
          <w:szCs w:val="22"/>
        </w:rPr>
        <w:t xml:space="preserve">Sponsored Worker register with going rate salary compliance check (£38,700 minimum from April 2024)</w:t>
      </w:r>
    </w:p>
    <w:p>
      <w:pPr>
        <w:pStyle w:val="ListParagraph"/>
        <w:numPr>
          <w:ilvl w:val="0"/>
          <w:numId w:val="2"/>
        </w:numPr>
        <w:spacing w:after="40" w:before="40"/>
      </w:pPr>
      <w:r>
        <w:rPr>
          <w:rFonts w:ascii="Arial" w:cs="Arial" w:eastAsia="Arial" w:hAnsi="Arial"/>
          <w:sz w:val="22"/>
          <w:szCs w:val="22"/>
        </w:rPr>
        <w:t xml:space="preserve">Certificate of Sponsorship register with allocation tracking (10 CoS pool management)</w:t>
      </w:r>
    </w:p>
    <w:p>
      <w:pPr>
        <w:pStyle w:val="ListParagraph"/>
        <w:numPr>
          <w:ilvl w:val="0"/>
          <w:numId w:val="2"/>
        </w:numPr>
        <w:spacing w:after="40" w:before="40"/>
      </w:pPr>
      <w:r>
        <w:rPr>
          <w:rFonts w:ascii="Arial" w:cs="Arial" w:eastAsia="Arial" w:hAnsi="Arial"/>
          <w:sz w:val="22"/>
          <w:szCs w:val="22"/>
        </w:rPr>
        <w:t xml:space="preserve">All 10 mandatory UKVI reporting duties listed with deadlines (10-working-day and 20-working-day rules)</w:t>
      </w:r>
    </w:p>
    <w:p>
      <w:pPr>
        <w:pStyle w:val="ListParagraph"/>
        <w:numPr>
          <w:ilvl w:val="0"/>
          <w:numId w:val="2"/>
        </w:numPr>
        <w:spacing w:after="40" w:before="40"/>
      </w:pPr>
      <w:r>
        <w:rPr>
          <w:rFonts w:ascii="Arial" w:cs="Arial" w:eastAsia="Arial" w:hAnsi="Arial"/>
          <w:sz w:val="22"/>
          <w:szCs w:val="22"/>
        </w:rPr>
        <w:t xml:space="preserve">Absence monitoring for the 10+ consecutive day reporting rule</w:t>
      </w:r>
    </w:p>
    <w:p>
      <w:pPr>
        <w:pStyle w:val="ListParagraph"/>
        <w:numPr>
          <w:ilvl w:val="0"/>
          <w:numId w:val="2"/>
        </w:numPr>
        <w:spacing w:after="40" w:before="40"/>
      </w:pPr>
      <w:r>
        <w:rPr>
          <w:rFonts w:ascii="Arial" w:cs="Arial" w:eastAsia="Arial" w:hAnsi="Arial"/>
          <w:sz w:val="22"/>
          <w:szCs w:val="22"/>
        </w:rPr>
        <w:t xml:space="preserve">Home Office Audit Pack generator with Appendix D document checklist and 48-hour visit readiness scoring</w:t>
      </w:r>
    </w:p>
    <w:p>
      <w:pPr>
        <w:pStyle w:val="ListParagraph"/>
        <w:numPr>
          <w:ilvl w:val="0"/>
          <w:numId w:val="2"/>
        </w:numPr>
        <w:spacing w:after="40" w:before="40"/>
      </w:pPr>
      <w:r>
        <w:rPr>
          <w:rFonts w:ascii="Arial" w:cs="Arial" w:eastAsia="Arial" w:hAnsi="Arial"/>
          <w:sz w:val="22"/>
          <w:szCs w:val="22"/>
        </w:rPr>
        <w:t xml:space="preserve">BRP-to-eVisa transition tracking with December 2026 deadline alerts</w:t>
      </w:r>
    </w:p>
    <w:p>
      <w:pPr>
        <w:spacing w:after="80" w:before="80"/>
      </w:pPr>
      <w:r>
        <w:t xml:space="preserve"/>
      </w:r>
    </w:p>
    <w:p>
      <w:pPr>
        <w:pStyle w:val="Heading2"/>
        <w:spacing w:after="120" w:before="320"/>
      </w:pPr>
      <w:r>
        <w:rPr>
          <w:rFonts w:ascii="Arial" w:cs="Arial" w:eastAsia="Arial" w:hAnsi="Arial"/>
          <w:b/>
          <w:bCs/>
          <w:color w:val="1E3A5F"/>
          <w:sz w:val="28"/>
          <w:szCs w:val="28"/>
        </w:rPr>
        <w:t xml:space="preserve">2.4 Compliance &amp; Governance Framework</w:t>
      </w:r>
    </w:p>
    <w:p>
      <w:pPr>
        <w:pStyle w:val="ListParagraph"/>
        <w:numPr>
          <w:ilvl w:val="0"/>
          <w:numId w:val="2"/>
        </w:numPr>
        <w:spacing w:after="40" w:before="40"/>
      </w:pPr>
      <w:r>
        <w:rPr>
          <w:rFonts w:ascii="Arial" w:cs="Arial" w:eastAsia="Arial" w:hAnsi="Arial"/>
          <w:sz w:val="22"/>
          <w:szCs w:val="22"/>
        </w:rPr>
        <w:t xml:space="preserve">GDPR/DPA 2018 compliance module with data subject rights tracking</w:t>
      </w:r>
    </w:p>
    <w:p>
      <w:pPr>
        <w:pStyle w:val="ListParagraph"/>
        <w:numPr>
          <w:ilvl w:val="0"/>
          <w:numId w:val="2"/>
        </w:numPr>
        <w:spacing w:after="40" w:before="40"/>
      </w:pPr>
      <w:r>
        <w:rPr>
          <w:rFonts w:ascii="Arial" w:cs="Arial" w:eastAsia="Arial" w:hAnsi="Arial"/>
          <w:sz w:val="22"/>
          <w:szCs w:val="22"/>
        </w:rPr>
        <w:t xml:space="preserve">ICO registration monitoring</w:t>
      </w:r>
    </w:p>
    <w:p>
      <w:pPr>
        <w:pStyle w:val="ListParagraph"/>
        <w:numPr>
          <w:ilvl w:val="0"/>
          <w:numId w:val="2"/>
        </w:numPr>
        <w:spacing w:after="40" w:before="40"/>
      </w:pPr>
      <w:r>
        <w:rPr>
          <w:rFonts w:ascii="Arial" w:cs="Arial" w:eastAsia="Arial" w:hAnsi="Arial"/>
          <w:sz w:val="22"/>
          <w:szCs w:val="22"/>
        </w:rPr>
        <w:t xml:space="preserve">Governance module with trustee register, conflicts of interest, and board meeting records — aligned with Charity Commission requirements</w:t>
      </w:r>
    </w:p>
    <w:p>
      <w:pPr>
        <w:pStyle w:val="ListParagraph"/>
        <w:numPr>
          <w:ilvl w:val="0"/>
          <w:numId w:val="2"/>
        </w:numPr>
        <w:spacing w:after="40" w:before="40"/>
      </w:pPr>
      <w:r>
        <w:rPr>
          <w:rFonts w:ascii="Arial" w:cs="Arial" w:eastAsia="Arial" w:hAnsi="Arial"/>
          <w:sz w:val="22"/>
          <w:szCs w:val="22"/>
        </w:rPr>
        <w:t xml:space="preserve">Immutable audit log with IP tracking — meets FCA, HMRC, and ICO requirements for financial audit trails</w:t>
      </w:r>
    </w:p>
    <w:p>
      <w:pPr>
        <w:pStyle w:val="ListParagraph"/>
        <w:numPr>
          <w:ilvl w:val="0"/>
          <w:numId w:val="2"/>
        </w:numPr>
        <w:spacing w:after="40" w:before="40"/>
      </w:pPr>
      <w:r>
        <w:rPr>
          <w:rFonts w:ascii="Arial" w:cs="Arial" w:eastAsia="Arial" w:hAnsi="Arial"/>
          <w:sz w:val="22"/>
          <w:szCs w:val="22"/>
        </w:rPr>
        <w:t xml:space="preserve">6-tier permission system: Super Admin, Org Admin, Dept Head, Manager, Staff, Read Only</w:t>
      </w:r>
    </w:p>
    <w:p>
      <w:pPr>
        <w:spacing w:after="80" w:before="80"/>
      </w:pPr>
      <w:r>
        <w:t xml:space="preserve"/>
      </w:r>
    </w:p>
    <w:p>
      <w:pPr>
        <w:pStyle w:val="Heading2"/>
        <w:spacing w:after="120" w:before="320"/>
      </w:pPr>
      <w:r>
        <w:rPr>
          <w:rFonts w:ascii="Arial" w:cs="Arial" w:eastAsia="Arial" w:hAnsi="Arial"/>
          <w:b/>
          <w:bCs/>
          <w:color w:val="1E3A5F"/>
          <w:sz w:val="28"/>
          <w:szCs w:val="28"/>
        </w:rPr>
        <w:t xml:space="preserve">2.5 AI Intelligence — The Core Differentiator</w:t>
      </w:r>
    </w:p>
    <w:p>
      <w:pPr>
        <w:spacing w:after="100" w:before="60"/>
      </w:pPr>
      <w:r>
        <w:rPr>
          <w:rFonts w:ascii="Arial" w:cs="Arial" w:eastAsia="Arial" w:hAnsi="Arial"/>
          <w:sz w:val="22"/>
          <w:szCs w:val="22"/>
        </w:rPr>
        <w:t xml:space="preserve">This is what sets Nexus One apart from every competing product in the market. The AI Intelligence module (powered by live Claude Sonnet API) does what no traditional HR or finance system does:</w:t>
      </w:r>
    </w:p>
    <w:p>
      <w:pPr>
        <w:pStyle w:val="ListParagraph"/>
        <w:numPr>
          <w:ilvl w:val="0"/>
          <w:numId w:val="2"/>
        </w:numPr>
        <w:spacing w:after="40" w:before="40"/>
      </w:pPr>
      <w:r>
        <w:rPr>
          <w:rFonts w:ascii="Arial" w:cs="Arial" w:eastAsia="Arial" w:hAnsi="Arial"/>
          <w:sz w:val="22"/>
          <w:szCs w:val="22"/>
        </w:rPr>
        <w:t xml:space="preserve">Builds a dynamic system prompt from live organisational data — the AI knows the company's actual financial position, payroll, grant status, compliance gaps, and personnel in real time</w:t>
      </w:r>
    </w:p>
    <w:p>
      <w:pPr>
        <w:pStyle w:val="ListParagraph"/>
        <w:numPr>
          <w:ilvl w:val="0"/>
          <w:numId w:val="2"/>
        </w:numPr>
        <w:spacing w:after="40" w:before="40"/>
      </w:pPr>
      <w:r>
        <w:rPr>
          <w:rFonts w:ascii="Arial" w:cs="Arial" w:eastAsia="Arial" w:hAnsi="Arial"/>
          <w:sz w:val="22"/>
          <w:szCs w:val="22"/>
        </w:rPr>
        <w:t xml:space="preserve">Drafts grant reports, board papers, compliance summaries, employment contracts, and strategic recommendations on demand</w:t>
      </w:r>
    </w:p>
    <w:p>
      <w:pPr>
        <w:pStyle w:val="ListParagraph"/>
        <w:numPr>
          <w:ilvl w:val="0"/>
          <w:numId w:val="2"/>
        </w:numPr>
        <w:spacing w:after="40" w:before="40"/>
      </w:pPr>
      <w:r>
        <w:rPr>
          <w:rFonts w:ascii="Arial" w:cs="Arial" w:eastAsia="Arial" w:hAnsi="Arial"/>
          <w:sz w:val="22"/>
          <w:szCs w:val="22"/>
        </w:rPr>
        <w:t xml:space="preserve">Provides contextual compliance alerts: 'Your NLCF interim report is due in 13 days and you are 85% of budget utilised'</w:t>
      </w:r>
    </w:p>
    <w:p>
      <w:pPr>
        <w:pStyle w:val="ListParagraph"/>
        <w:numPr>
          <w:ilvl w:val="0"/>
          <w:numId w:val="2"/>
        </w:numPr>
        <w:spacing w:after="40" w:before="40"/>
      </w:pPr>
      <w:r>
        <w:rPr>
          <w:rFonts w:ascii="Arial" w:cs="Arial" w:eastAsia="Arial" w:hAnsi="Arial"/>
          <w:sz w:val="22"/>
          <w:szCs w:val="22"/>
        </w:rPr>
        <w:t xml:space="preserve">Acts as a real-time CFO advisor, HR consultant, and compliance officer — accessible 24/7 with no additional headcount cost</w:t>
      </w:r>
    </w:p>
    <w:p>
      <w:pPr>
        <w:spacing w:after="100" w:before="60"/>
      </w:pPr>
      <w:r>
        <w:rPr>
          <w:rFonts w:ascii="Arial" w:cs="Arial" w:eastAsia="Arial" w:hAnsi="Arial"/>
          <w:i/>
          <w:iCs/>
          <w:color w:val="1E3A5F"/>
          <w:sz w:val="22"/>
          <w:szCs w:val="22"/>
        </w:rPr>
        <w:t xml:space="preserve">This is not a chatbot bolt-on. It is a genuine operational intelligence layer that rivals having a £150,000/year human CFO on staff.</w:t>
      </w:r>
    </w:p>
    <w:p>
      <w:pPr>
        <w:spacing w:after="80" w:before="80"/>
      </w:pPr>
      <w:r>
        <w:t xml:space="preserve"/>
      </w:r>
    </w:p>
    <w:p>
      <w:r>
        <w:br w:type="page"/>
      </w:r>
    </w:p>
    <w:p>
      <w:pPr>
        <w:pStyle w:val="Heading1"/>
        <w:spacing w:after="200" w:before="400"/>
      </w:pPr>
      <w:r>
        <w:rPr>
          <w:rFonts w:ascii="Arial" w:cs="Arial" w:eastAsia="Arial" w:hAnsi="Arial"/>
          <w:b/>
          <w:bCs/>
          <w:color w:val="0B1F3A"/>
          <w:sz w:val="36"/>
          <w:szCs w:val="36"/>
        </w:rPr>
        <w:t xml:space="preserve">3. COMPREHENSIVE GAP ANALYSIS</w:t>
      </w:r>
    </w:p>
    <w:p>
      <w:pPr>
        <w:pStyle w:val="Heading3"/>
        <w:spacing w:after="80" w:before="240"/>
      </w:pPr>
      <w:r>
        <w:rPr>
          <w:rFonts w:ascii="Arial" w:cs="Arial" w:eastAsia="Arial" w:hAnsi="Arial"/>
          <w:b/>
          <w:bCs/>
          <w:color w:val="0B1F3A"/>
          <w:sz w:val="24"/>
          <w:szCs w:val="24"/>
        </w:rPr>
        <w:t xml:space="preserve">To become the global enterprise standard — the king of all — the following gaps must be addressed with precision.</w:t>
      </w:r>
    </w:p>
    <w:p>
      <w:pPr>
        <w:pBdr>
          <w:bottom w:val="single" w:color="C9A84C" w:sz="6" w:space="1"/>
        </w:pBdr>
        <w:spacing w:after="120" w:before="120"/>
      </w:pPr>
      <w:r>
        <w:t xml:space="preserve"/>
      </w:r>
    </w:p>
    <w:p>
      <w:pPr>
        <w:spacing w:after="80" w:before="80"/>
      </w:pPr>
      <w:r>
        <w:t xml:space="preserve"/>
      </w:r>
    </w:p>
    <w:p>
      <w:pPr>
        <w:pStyle w:val="Heading2"/>
        <w:spacing w:after="120" w:before="320"/>
      </w:pPr>
      <w:r>
        <w:rPr>
          <w:rFonts w:ascii="Arial" w:cs="Arial" w:eastAsia="Arial" w:hAnsi="Arial"/>
          <w:b/>
          <w:bCs/>
          <w:color w:val="1E3A5F"/>
          <w:sz w:val="28"/>
          <w:szCs w:val="28"/>
        </w:rPr>
        <w:t xml:space="preserve">3.1 AI CFO — Critical Missing Modules</w:t>
      </w:r>
    </w:p>
    <w:p>
      <w:pPr>
        <w:pStyle w:val="Heading3"/>
        <w:spacing w:after="80" w:before="240"/>
      </w:pPr>
      <w:r>
        <w:rPr>
          <w:rFonts w:ascii="Arial" w:cs="Arial" w:eastAsia="Arial" w:hAnsi="Arial"/>
          <w:b/>
          <w:bCs/>
          <w:color w:val="0B1F3A"/>
          <w:sz w:val="24"/>
          <w:szCs w:val="24"/>
        </w:rPr>
        <w:t xml:space="preserve">3.1.1 Financial Planning &amp; Analysis (FP&amp;A) Engine</w:t>
      </w:r>
    </w:p>
    <w:p>
      <w:pPr>
        <w:spacing w:after="100" w:before="60"/>
      </w:pPr>
      <w:r>
        <w:rPr>
          <w:rFonts w:ascii="Arial" w:cs="Arial" w:eastAsia="Arial" w:hAnsi="Arial"/>
          <w:sz w:val="22"/>
          <w:szCs w:val="22"/>
        </w:rPr>
        <w:t xml:space="preserve">This is the single most important gap in the CFO module. Every enterprise CFO, from a 10-person startup to a FTSE 100 company, needs FP&amp;A. Current market leaders (Anaplan, Adaptive Insights, Workday Adaptive Planning) charge £50,000-£500,000/year for this. Nexus One can own this space with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80"/>
        <w:gridCol w:w="3880"/>
      </w:tblGrid>
      <w:tr>
        <w:tc>
          <w:tcPr>
            <w:tcW w:type="dxa" w:w="3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Required Capability</w:t>
            </w:r>
          </w:p>
        </w:tc>
        <w:tc>
          <w:tcPr>
            <w:tcW w:type="dxa" w:w="22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Current Status</w:t>
            </w:r>
          </w:p>
        </w:tc>
        <w:tc>
          <w:tcPr>
            <w:tcW w:type="dxa" w:w="38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Build Requirement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Rolling 12-month Budget vs Actual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Budget entry + variance engine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3-Year Financial Forecast Model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AI-driven projection with trend analysis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Flow Forecasting (13-week)</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Rolling cash runway calculator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Scenario Planning (What-If Analysis)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scenario toggle with AI narrative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KPI Dashboard &amp; Scorecard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60B"/>
                <w:sz w:val="20"/>
                <w:szCs w:val="20"/>
              </w:rPr>
              <w:t xml:space="preserve">PARTIAL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Extend to financial + operational KPIs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Break-Even Analysis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Contribution margin + fixed cost engine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Investor-Ready Financial Pack</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Auto-generated board pack with AI narrative</w:t>
            </w:r>
          </w:p>
        </w:tc>
      </w:tr>
    </w:tbl>
    <w:p>
      <w:pPr>
        <w:spacing w:after="80" w:before="80"/>
      </w:pPr>
      <w:r>
        <w:t xml:space="preserve"/>
      </w:r>
    </w:p>
    <w:p>
      <w:pPr>
        <w:pStyle w:val="Heading3"/>
        <w:spacing w:after="80" w:before="240"/>
      </w:pPr>
      <w:r>
        <w:rPr>
          <w:rFonts w:ascii="Arial" w:cs="Arial" w:eastAsia="Arial" w:hAnsi="Arial"/>
          <w:b/>
          <w:bCs/>
          <w:color w:val="0B1F3A"/>
          <w:sz w:val="24"/>
          <w:szCs w:val="24"/>
        </w:rPr>
        <w:t xml:space="preserve">3.1.2 Multi-Currency &amp; International Finance</w:t>
      </w:r>
    </w:p>
    <w:p>
      <w:pPr>
        <w:pStyle w:val="ListParagraph"/>
        <w:numPr>
          <w:ilvl w:val="0"/>
          <w:numId w:val="2"/>
        </w:numPr>
        <w:spacing w:after="40" w:before="40"/>
      </w:pPr>
      <w:r>
        <w:rPr>
          <w:rFonts w:ascii="Arial" w:cs="Arial" w:eastAsia="Arial" w:hAnsi="Arial"/>
          <w:sz w:val="22"/>
          <w:szCs w:val="22"/>
        </w:rPr>
        <w:t xml:space="preserve">Multi-currency general ledger — essential for any company trading internationally</w:t>
      </w:r>
    </w:p>
    <w:p>
      <w:pPr>
        <w:pStyle w:val="ListParagraph"/>
        <w:numPr>
          <w:ilvl w:val="0"/>
          <w:numId w:val="2"/>
        </w:numPr>
        <w:spacing w:after="40" w:before="40"/>
      </w:pPr>
      <w:r>
        <w:rPr>
          <w:rFonts w:ascii="Arial" w:cs="Arial" w:eastAsia="Arial" w:hAnsi="Arial"/>
          <w:sz w:val="22"/>
          <w:szCs w:val="22"/>
        </w:rPr>
        <w:t xml:space="preserve">Real-time FX rate feeds (USD, EUR, GBP, AED, NGN, INR, etc.)</w:t>
      </w:r>
    </w:p>
    <w:p>
      <w:pPr>
        <w:pStyle w:val="ListParagraph"/>
        <w:numPr>
          <w:ilvl w:val="0"/>
          <w:numId w:val="2"/>
        </w:numPr>
        <w:spacing w:after="40" w:before="40"/>
      </w:pPr>
      <w:r>
        <w:rPr>
          <w:rFonts w:ascii="Arial" w:cs="Arial" w:eastAsia="Arial" w:hAnsi="Arial"/>
          <w:sz w:val="22"/>
          <w:szCs w:val="22"/>
        </w:rPr>
        <w:t xml:space="preserve">IFRS (International Financial Reporting Standards) reporting templates — required for listed companies and large private companies globally</w:t>
      </w:r>
    </w:p>
    <w:p>
      <w:pPr>
        <w:pStyle w:val="ListParagraph"/>
        <w:numPr>
          <w:ilvl w:val="0"/>
          <w:numId w:val="2"/>
        </w:numPr>
        <w:spacing w:after="40" w:before="40"/>
      </w:pPr>
      <w:r>
        <w:rPr>
          <w:rFonts w:ascii="Arial" w:cs="Arial" w:eastAsia="Arial" w:hAnsi="Arial"/>
          <w:sz w:val="22"/>
          <w:szCs w:val="22"/>
        </w:rPr>
        <w:t xml:space="preserve">US GAAP chart of accounts — required for US entities</w:t>
      </w:r>
    </w:p>
    <w:p>
      <w:pPr>
        <w:pStyle w:val="ListParagraph"/>
        <w:numPr>
          <w:ilvl w:val="0"/>
          <w:numId w:val="2"/>
        </w:numPr>
        <w:spacing w:after="40" w:before="40"/>
      </w:pPr>
      <w:r>
        <w:rPr>
          <w:rFonts w:ascii="Arial" w:cs="Arial" w:eastAsia="Arial" w:hAnsi="Arial"/>
          <w:sz w:val="22"/>
          <w:szCs w:val="22"/>
        </w:rPr>
        <w:t xml:space="preserve">VAT management: UK standard/reduced/zero rate, EU VAT (OSS scheme), US Sales Tax by state, GST/HST Canada, Australian GST</w:t>
      </w:r>
    </w:p>
    <w:p>
      <w:pPr>
        <w:pStyle w:val="ListParagraph"/>
        <w:numPr>
          <w:ilvl w:val="0"/>
          <w:numId w:val="2"/>
        </w:numPr>
        <w:spacing w:after="40" w:before="40"/>
      </w:pPr>
      <w:r>
        <w:rPr>
          <w:rFonts w:ascii="Arial" w:cs="Arial" w:eastAsia="Arial" w:hAnsi="Arial"/>
          <w:sz w:val="22"/>
          <w:szCs w:val="22"/>
        </w:rPr>
        <w:t xml:space="preserve">Inter-company eliminations for group consolidation</w:t>
      </w:r>
    </w:p>
    <w:p>
      <w:pPr>
        <w:spacing w:after="80" w:before="80"/>
      </w:pPr>
      <w:r>
        <w:t xml:space="preserve"/>
      </w:r>
    </w:p>
    <w:p>
      <w:pPr>
        <w:pStyle w:val="Heading3"/>
        <w:spacing w:after="80" w:before="240"/>
      </w:pPr>
      <w:r>
        <w:rPr>
          <w:rFonts w:ascii="Arial" w:cs="Arial" w:eastAsia="Arial" w:hAnsi="Arial"/>
          <w:b/>
          <w:bCs/>
          <w:color w:val="0B1F3A"/>
          <w:sz w:val="24"/>
          <w:szCs w:val="24"/>
        </w:rPr>
        <w:t xml:space="preserve">3.1.3 Treasury &amp; Cash Management</w:t>
      </w:r>
    </w:p>
    <w:p>
      <w:pPr>
        <w:pStyle w:val="ListParagraph"/>
        <w:numPr>
          <w:ilvl w:val="0"/>
          <w:numId w:val="2"/>
        </w:numPr>
        <w:spacing w:after="40" w:before="40"/>
      </w:pPr>
      <w:r>
        <w:rPr>
          <w:rFonts w:ascii="Arial" w:cs="Arial" w:eastAsia="Arial" w:hAnsi="Arial"/>
          <w:sz w:val="22"/>
          <w:szCs w:val="22"/>
        </w:rPr>
        <w:t xml:space="preserve">Cash position dashboard with real-time bank balance aggregation</w:t>
      </w:r>
    </w:p>
    <w:p>
      <w:pPr>
        <w:pStyle w:val="ListParagraph"/>
        <w:numPr>
          <w:ilvl w:val="0"/>
          <w:numId w:val="2"/>
        </w:numPr>
        <w:spacing w:after="40" w:before="40"/>
      </w:pPr>
      <w:r>
        <w:rPr>
          <w:rFonts w:ascii="Arial" w:cs="Arial" w:eastAsia="Arial" w:hAnsi="Arial"/>
          <w:sz w:val="22"/>
          <w:szCs w:val="22"/>
        </w:rPr>
        <w:t xml:space="preserve">Days Sales Outstanding (DSO) and Days Payable Outstanding (DPO) tracking</w:t>
      </w:r>
    </w:p>
    <w:p>
      <w:pPr>
        <w:pStyle w:val="ListParagraph"/>
        <w:numPr>
          <w:ilvl w:val="0"/>
          <w:numId w:val="2"/>
        </w:numPr>
        <w:spacing w:after="40" w:before="40"/>
      </w:pPr>
      <w:r>
        <w:rPr>
          <w:rFonts w:ascii="Arial" w:cs="Arial" w:eastAsia="Arial" w:hAnsi="Arial"/>
          <w:sz w:val="22"/>
          <w:szCs w:val="22"/>
        </w:rPr>
        <w:t xml:space="preserve">Working capital cycle monitoring</w:t>
      </w:r>
    </w:p>
    <w:p>
      <w:pPr>
        <w:pStyle w:val="ListParagraph"/>
        <w:numPr>
          <w:ilvl w:val="0"/>
          <w:numId w:val="2"/>
        </w:numPr>
        <w:spacing w:after="40" w:before="40"/>
      </w:pPr>
      <w:r>
        <w:rPr>
          <w:rFonts w:ascii="Arial" w:cs="Arial" w:eastAsia="Arial" w:hAnsi="Arial"/>
          <w:sz w:val="22"/>
          <w:szCs w:val="22"/>
        </w:rPr>
        <w:t xml:space="preserve">Debt facility tracking (overdraft, term loans, revolving credit)</w:t>
      </w:r>
    </w:p>
    <w:p>
      <w:pPr>
        <w:pStyle w:val="ListParagraph"/>
        <w:numPr>
          <w:ilvl w:val="0"/>
          <w:numId w:val="2"/>
        </w:numPr>
        <w:spacing w:after="40" w:before="40"/>
      </w:pPr>
      <w:r>
        <w:rPr>
          <w:rFonts w:ascii="Arial" w:cs="Arial" w:eastAsia="Arial" w:hAnsi="Arial"/>
          <w:sz w:val="22"/>
          <w:szCs w:val="22"/>
        </w:rPr>
        <w:t xml:space="preserve">Investment register (short-term deposits, bonds, equity)</w:t>
      </w:r>
    </w:p>
    <w:p>
      <w:pPr>
        <w:pStyle w:val="ListParagraph"/>
        <w:numPr>
          <w:ilvl w:val="0"/>
          <w:numId w:val="2"/>
        </w:numPr>
        <w:spacing w:after="40" w:before="40"/>
      </w:pPr>
      <w:r>
        <w:rPr>
          <w:rFonts w:ascii="Arial" w:cs="Arial" w:eastAsia="Arial" w:hAnsi="Arial"/>
          <w:sz w:val="22"/>
          <w:szCs w:val="22"/>
        </w:rPr>
        <w:t xml:space="preserve">Foreign exchange exposure and hedging recommendations</w:t>
      </w:r>
    </w:p>
    <w:p>
      <w:pPr>
        <w:spacing w:after="80" w:before="80"/>
      </w:pPr>
      <w:r>
        <w:t xml:space="preserve"/>
      </w:r>
    </w:p>
    <w:p>
      <w:pPr>
        <w:pStyle w:val="Heading3"/>
        <w:spacing w:after="80" w:before="240"/>
      </w:pPr>
      <w:r>
        <w:rPr>
          <w:rFonts w:ascii="Arial" w:cs="Arial" w:eastAsia="Arial" w:hAnsi="Arial"/>
          <w:b/>
          <w:bCs/>
          <w:color w:val="0B1F3A"/>
          <w:sz w:val="24"/>
          <w:szCs w:val="24"/>
        </w:rPr>
        <w:t xml:space="preserve">3.1.4 Accounts Receivable &amp; Payable</w:t>
      </w:r>
    </w:p>
    <w:p>
      <w:pPr>
        <w:pStyle w:val="ListParagraph"/>
        <w:numPr>
          <w:ilvl w:val="0"/>
          <w:numId w:val="2"/>
        </w:numPr>
        <w:spacing w:after="40" w:before="40"/>
      </w:pPr>
      <w:r>
        <w:rPr>
          <w:rFonts w:ascii="Arial" w:cs="Arial" w:eastAsia="Arial" w:hAnsi="Arial"/>
          <w:sz w:val="22"/>
          <w:szCs w:val="22"/>
        </w:rPr>
        <w:t xml:space="preserve">Full AR module: invoice generation, credit control, aged debtor analysis, automatic payment chasing</w:t>
      </w:r>
    </w:p>
    <w:p>
      <w:pPr>
        <w:pStyle w:val="ListParagraph"/>
        <w:numPr>
          <w:ilvl w:val="0"/>
          <w:numId w:val="2"/>
        </w:numPr>
        <w:spacing w:after="40" w:before="40"/>
      </w:pPr>
      <w:r>
        <w:rPr>
          <w:rFonts w:ascii="Arial" w:cs="Arial" w:eastAsia="Arial" w:hAnsi="Arial"/>
          <w:sz w:val="22"/>
          <w:szCs w:val="22"/>
        </w:rPr>
        <w:t xml:space="preserve">Full AP module: supplier invoice capture (OCR), approval workflow, payment runs, aged creditor analysis</w:t>
      </w:r>
    </w:p>
    <w:p>
      <w:pPr>
        <w:pStyle w:val="ListParagraph"/>
        <w:numPr>
          <w:ilvl w:val="0"/>
          <w:numId w:val="2"/>
        </w:numPr>
        <w:spacing w:after="40" w:before="40"/>
      </w:pPr>
      <w:r>
        <w:rPr>
          <w:rFonts w:ascii="Arial" w:cs="Arial" w:eastAsia="Arial" w:hAnsi="Arial"/>
          <w:sz w:val="22"/>
          <w:szCs w:val="22"/>
        </w:rPr>
        <w:t xml:space="preserve">Purchase order management with three-way matching (PO, GRN, invoice)</w:t>
      </w:r>
    </w:p>
    <w:p>
      <w:pPr>
        <w:pStyle w:val="ListParagraph"/>
        <w:numPr>
          <w:ilvl w:val="0"/>
          <w:numId w:val="2"/>
        </w:numPr>
        <w:spacing w:after="40" w:before="40"/>
      </w:pPr>
      <w:r>
        <w:rPr>
          <w:rFonts w:ascii="Arial" w:cs="Arial" w:eastAsia="Arial" w:hAnsi="Arial"/>
          <w:sz w:val="22"/>
          <w:szCs w:val="22"/>
        </w:rPr>
        <w:t xml:space="preserve">Supplier onboarding with bank detail verification and fraud prevention</w:t>
      </w:r>
    </w:p>
    <w:p>
      <w:pPr>
        <w:spacing w:after="80" w:before="80"/>
      </w:pPr>
      <w:r>
        <w:t xml:space="preserve"/>
      </w:r>
    </w:p>
    <w:p>
      <w:pPr>
        <w:pStyle w:val="Heading3"/>
        <w:spacing w:after="80" w:before="240"/>
      </w:pPr>
      <w:r>
        <w:rPr>
          <w:rFonts w:ascii="Arial" w:cs="Arial" w:eastAsia="Arial" w:hAnsi="Arial"/>
          <w:b/>
          <w:bCs/>
          <w:color w:val="0B1F3A"/>
          <w:sz w:val="24"/>
          <w:szCs w:val="24"/>
        </w:rPr>
        <w:t xml:space="preserve">3.1.5 SOX &amp; Financial Controls (US-Listed &amp; Large Enterprise)</w:t>
      </w:r>
    </w:p>
    <w:p>
      <w:pPr>
        <w:pStyle w:val="ListParagraph"/>
        <w:numPr>
          <w:ilvl w:val="0"/>
          <w:numId w:val="2"/>
        </w:numPr>
        <w:spacing w:after="40" w:before="40"/>
      </w:pPr>
      <w:r>
        <w:rPr>
          <w:rFonts w:ascii="Arial" w:cs="Arial" w:eastAsia="Arial" w:hAnsi="Arial"/>
          <w:sz w:val="22"/>
          <w:szCs w:val="22"/>
        </w:rPr>
        <w:t xml:space="preserve">Sarbanes-Oxley (SOX) Section 302 and 404 controls documentation</w:t>
      </w:r>
    </w:p>
    <w:p>
      <w:pPr>
        <w:pStyle w:val="ListParagraph"/>
        <w:numPr>
          <w:ilvl w:val="0"/>
          <w:numId w:val="2"/>
        </w:numPr>
        <w:spacing w:after="40" w:before="40"/>
      </w:pPr>
      <w:r>
        <w:rPr>
          <w:rFonts w:ascii="Arial" w:cs="Arial" w:eastAsia="Arial" w:hAnsi="Arial"/>
          <w:sz w:val="22"/>
          <w:szCs w:val="22"/>
        </w:rPr>
        <w:t xml:space="preserve">Internal control testing workflows</w:t>
      </w:r>
    </w:p>
    <w:p>
      <w:pPr>
        <w:pStyle w:val="ListParagraph"/>
        <w:numPr>
          <w:ilvl w:val="0"/>
          <w:numId w:val="2"/>
        </w:numPr>
        <w:spacing w:after="40" w:before="40"/>
      </w:pPr>
      <w:r>
        <w:rPr>
          <w:rFonts w:ascii="Arial" w:cs="Arial" w:eastAsia="Arial" w:hAnsi="Arial"/>
          <w:sz w:val="22"/>
          <w:szCs w:val="22"/>
        </w:rPr>
        <w:t xml:space="preserve">Segregation of duties (SOD) matrix</w:t>
      </w:r>
    </w:p>
    <w:p>
      <w:pPr>
        <w:pStyle w:val="ListParagraph"/>
        <w:numPr>
          <w:ilvl w:val="0"/>
          <w:numId w:val="2"/>
        </w:numPr>
        <w:spacing w:after="40" w:before="40"/>
      </w:pPr>
      <w:r>
        <w:rPr>
          <w:rFonts w:ascii="Arial" w:cs="Arial" w:eastAsia="Arial" w:hAnsi="Arial"/>
          <w:sz w:val="22"/>
          <w:szCs w:val="22"/>
        </w:rPr>
        <w:t xml:space="preserve">Management representation letters</w:t>
      </w:r>
    </w:p>
    <w:p>
      <w:pPr>
        <w:pStyle w:val="ListParagraph"/>
        <w:numPr>
          <w:ilvl w:val="0"/>
          <w:numId w:val="2"/>
        </w:numPr>
        <w:spacing w:after="40" w:before="40"/>
      </w:pPr>
      <w:r>
        <w:rPr>
          <w:rFonts w:ascii="Arial" w:cs="Arial" w:eastAsia="Arial" w:hAnsi="Arial"/>
          <w:sz w:val="22"/>
          <w:szCs w:val="22"/>
        </w:rPr>
        <w:t xml:space="preserve">External auditor portal access</w:t>
      </w:r>
    </w:p>
    <w:p>
      <w:pPr>
        <w:spacing w:after="80" w:before="80"/>
      </w:pPr>
      <w:r>
        <w:t xml:space="preserve"/>
      </w:r>
    </w:p>
    <w:p>
      <w:pPr>
        <w:pStyle w:val="Heading2"/>
        <w:spacing w:after="120" w:before="320"/>
      </w:pPr>
      <w:r>
        <w:rPr>
          <w:rFonts w:ascii="Arial" w:cs="Arial" w:eastAsia="Arial" w:hAnsi="Arial"/>
          <w:b/>
          <w:bCs/>
          <w:color w:val="1E3A5F"/>
          <w:sz w:val="28"/>
          <w:szCs w:val="28"/>
        </w:rPr>
        <w:t xml:space="preserve">3.2 AI HR Director — Global Expansion Requirements</w:t>
      </w:r>
    </w:p>
    <w:p>
      <w:pPr>
        <w:pStyle w:val="Heading3"/>
        <w:spacing w:after="80" w:before="240"/>
      </w:pPr>
      <w:r>
        <w:rPr>
          <w:rFonts w:ascii="Arial" w:cs="Arial" w:eastAsia="Arial" w:hAnsi="Arial"/>
          <w:b/>
          <w:bCs/>
          <w:color w:val="0B1F3A"/>
          <w:sz w:val="24"/>
          <w:szCs w:val="24"/>
        </w:rPr>
        <w:t xml:space="preserve">3.2.1 Global Payroll Engine</w:t>
      </w:r>
    </w:p>
    <w:p>
      <w:pPr>
        <w:spacing w:after="100" w:before="60"/>
      </w:pPr>
      <w:r>
        <w:rPr>
          <w:rFonts w:ascii="Arial" w:cs="Arial" w:eastAsia="Arial" w:hAnsi="Arial"/>
          <w:sz w:val="22"/>
          <w:szCs w:val="22"/>
        </w:rPr>
        <w:t xml:space="preserve">The current payroll engine is exceptional for the UK. To serve global companies, every major jurisdiction must be built. This is the largest single development investment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Jurisdiction</w:t>
            </w:r>
          </w:p>
        </w:tc>
        <w:tc>
          <w:tcPr>
            <w:tcW w:type="dxa" w:w="20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Priority</w:t>
            </w:r>
          </w:p>
        </w:tc>
        <w:tc>
          <w:tcPr>
            <w:tcW w:type="dxa" w:w="47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Key Requirements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United States (all 50 states)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P1 — CRITICAL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Federal/state income tax, FICA (SS 6.2%, Medicare 1.45%), FUTA/SUTA, W-2, W-4, Form 941, 1099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European Union (27 member states)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P1 — CRITICAL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EU social security, Works Council obligations, GDPR-compliant data transfers, local labour law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Canada (federal + provinces)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60B"/>
                <w:sz w:val="20"/>
                <w:szCs w:val="20"/>
              </w:rPr>
              <w:t xml:space="preserve">P2 — 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CPP, EI, provincial income tax, T4 slips, ROE, Labour 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Australia &amp; New Zealand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60B"/>
                <w:sz w:val="20"/>
                <w:szCs w:val="20"/>
              </w:rPr>
              <w:t xml:space="preserve">P2 — 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Superannuation (11% employer), Fair Work Act, STP Phase 2, PAYG withholding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UAE &amp; Gulf (GCC)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60B"/>
                <w:sz w:val="20"/>
                <w:szCs w:val="20"/>
              </w:rPr>
              <w:t xml:space="preserve">P2 — 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DIFC/ADGM labour law, WPS (Wage Protection System), EOSB calculation, no income tax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Nigeria &amp; West Africa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60B"/>
                <w:sz w:val="20"/>
                <w:szCs w:val="20"/>
              </w:rPr>
              <w:t xml:space="preserve">P3 — 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PAYE (state), Pension (PenCom 10%+8%), NHF, ITF, NSITF, FIRS compliance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South Africa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60B"/>
                <w:sz w:val="20"/>
                <w:szCs w:val="20"/>
              </w:rPr>
              <w:t xml:space="preserve">P3 — 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SARS PAYE, UIF (2%), SDL (1%), ETI, EMP201, EMP501 reconciliation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60B"/>
                <w:sz w:val="20"/>
                <w:szCs w:val="20"/>
              </w:rPr>
              <w:t xml:space="preserve">P3 — 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TDS/TCS, PF (12%), ESI, Professional Tax (state-level), Form 16, 26AS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Singapore &amp; APAC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60B"/>
                <w:sz w:val="20"/>
                <w:szCs w:val="20"/>
              </w:rPr>
              <w:t xml:space="preserve">P3 — 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CPF (37% combined), Skills Development Levy, IR8A, work pass compliance</w:t>
            </w:r>
          </w:p>
        </w:tc>
      </w:tr>
    </w:tbl>
    <w:p>
      <w:pPr>
        <w:spacing w:after="80" w:before="80"/>
      </w:pPr>
      <w:r>
        <w:t xml:space="preserve"/>
      </w:r>
    </w:p>
    <w:p>
      <w:pPr>
        <w:pStyle w:val="Heading3"/>
        <w:spacing w:after="80" w:before="240"/>
      </w:pPr>
      <w:r>
        <w:rPr>
          <w:rFonts w:ascii="Arial" w:cs="Arial" w:eastAsia="Arial" w:hAnsi="Arial"/>
          <w:b/>
          <w:bCs/>
          <w:color w:val="0B1F3A"/>
          <w:sz w:val="24"/>
          <w:szCs w:val="24"/>
        </w:rPr>
        <w:t xml:space="preserve">3.2.2 Talent Acquisition &amp; Recruitment</w:t>
      </w:r>
    </w:p>
    <w:p>
      <w:pPr>
        <w:spacing w:after="100" w:before="60"/>
      </w:pPr>
      <w:r>
        <w:rPr>
          <w:rFonts w:ascii="Arial" w:cs="Arial" w:eastAsia="Arial" w:hAnsi="Arial"/>
          <w:sz w:val="22"/>
          <w:szCs w:val="22"/>
        </w:rPr>
        <w:t xml:space="preserve">Every leading HR platform (Workday, SuccessFactors, Oracle HCM) includes a full ATS. This is a critical acquisition pathway for Nexus One:</w:t>
      </w:r>
    </w:p>
    <w:p>
      <w:pPr>
        <w:pStyle w:val="ListParagraph"/>
        <w:numPr>
          <w:ilvl w:val="0"/>
          <w:numId w:val="2"/>
        </w:numPr>
        <w:spacing w:after="40" w:before="40"/>
      </w:pPr>
      <w:r>
        <w:rPr>
          <w:rFonts w:ascii="Arial" w:cs="Arial" w:eastAsia="Arial" w:hAnsi="Arial"/>
          <w:sz w:val="22"/>
          <w:szCs w:val="22"/>
        </w:rPr>
        <w:t xml:space="preserve">Job requisition management with approval workflow and headcount budget linkage</w:t>
      </w:r>
    </w:p>
    <w:p>
      <w:pPr>
        <w:pStyle w:val="ListParagraph"/>
        <w:numPr>
          <w:ilvl w:val="0"/>
          <w:numId w:val="2"/>
        </w:numPr>
        <w:spacing w:after="40" w:before="40"/>
      </w:pPr>
      <w:r>
        <w:rPr>
          <w:rFonts w:ascii="Arial" w:cs="Arial" w:eastAsia="Arial" w:hAnsi="Arial"/>
          <w:sz w:val="22"/>
          <w:szCs w:val="22"/>
        </w:rPr>
        <w:t xml:space="preserve">Applicant Tracking System (ATS): multi-channel job posting, CV parsing, interview scheduling</w:t>
      </w:r>
    </w:p>
    <w:p>
      <w:pPr>
        <w:pStyle w:val="ListParagraph"/>
        <w:numPr>
          <w:ilvl w:val="0"/>
          <w:numId w:val="2"/>
        </w:numPr>
        <w:spacing w:after="40" w:before="40"/>
      </w:pPr>
      <w:r>
        <w:rPr>
          <w:rFonts w:ascii="Arial" w:cs="Arial" w:eastAsia="Arial" w:hAnsi="Arial"/>
          <w:sz w:val="22"/>
          <w:szCs w:val="22"/>
        </w:rPr>
        <w:t xml:space="preserve">AI-powered candidate matching and screening — using Claude to score candidates against job descriptions</w:t>
      </w:r>
    </w:p>
    <w:p>
      <w:pPr>
        <w:pStyle w:val="ListParagraph"/>
        <w:numPr>
          <w:ilvl w:val="0"/>
          <w:numId w:val="2"/>
        </w:numPr>
        <w:spacing w:after="40" w:before="40"/>
      </w:pPr>
      <w:r>
        <w:rPr>
          <w:rFonts w:ascii="Arial" w:cs="Arial" w:eastAsia="Arial" w:hAnsi="Arial"/>
          <w:sz w:val="22"/>
          <w:szCs w:val="22"/>
        </w:rPr>
        <w:t xml:space="preserve">Offer letter generation with automatic payroll setup on acceptance</w:t>
      </w:r>
    </w:p>
    <w:p>
      <w:pPr>
        <w:pStyle w:val="ListParagraph"/>
        <w:numPr>
          <w:ilvl w:val="0"/>
          <w:numId w:val="2"/>
        </w:numPr>
        <w:spacing w:after="40" w:before="40"/>
      </w:pPr>
      <w:r>
        <w:rPr>
          <w:rFonts w:ascii="Arial" w:cs="Arial" w:eastAsia="Arial" w:hAnsi="Arial"/>
          <w:sz w:val="22"/>
          <w:szCs w:val="22"/>
        </w:rPr>
        <w:t xml:space="preserve">Background check integration (DBS, international criminal record, credit check, reference verification)</w:t>
      </w:r>
    </w:p>
    <w:p>
      <w:pPr>
        <w:pStyle w:val="ListParagraph"/>
        <w:numPr>
          <w:ilvl w:val="0"/>
          <w:numId w:val="2"/>
        </w:numPr>
        <w:spacing w:after="40" w:before="40"/>
      </w:pPr>
      <w:r>
        <w:rPr>
          <w:rFonts w:ascii="Arial" w:cs="Arial" w:eastAsia="Arial" w:hAnsi="Arial"/>
          <w:sz w:val="22"/>
          <w:szCs w:val="22"/>
        </w:rPr>
        <w:t xml:space="preserve">Diversity hiring metrics and bias-reduction tools</w:t>
      </w:r>
    </w:p>
    <w:p>
      <w:pPr>
        <w:spacing w:after="80" w:before="80"/>
      </w:pPr>
      <w:r>
        <w:t xml:space="preserve"/>
      </w:r>
    </w:p>
    <w:p>
      <w:pPr>
        <w:pStyle w:val="Heading3"/>
        <w:spacing w:after="80" w:before="240"/>
      </w:pPr>
      <w:r>
        <w:rPr>
          <w:rFonts w:ascii="Arial" w:cs="Arial" w:eastAsia="Arial" w:hAnsi="Arial"/>
          <w:b/>
          <w:bCs/>
          <w:color w:val="0B1F3A"/>
          <w:sz w:val="24"/>
          <w:szCs w:val="24"/>
        </w:rPr>
        <w:t xml:space="preserve">3.2.3 Learning Management System (LMS)</w:t>
      </w:r>
    </w:p>
    <w:p>
      <w:pPr>
        <w:pStyle w:val="ListParagraph"/>
        <w:numPr>
          <w:ilvl w:val="0"/>
          <w:numId w:val="2"/>
        </w:numPr>
        <w:spacing w:after="40" w:before="40"/>
      </w:pPr>
      <w:r>
        <w:rPr>
          <w:rFonts w:ascii="Arial" w:cs="Arial" w:eastAsia="Arial" w:hAnsi="Arial"/>
          <w:sz w:val="22"/>
          <w:szCs w:val="22"/>
        </w:rPr>
        <w:t xml:space="preserve">E-learning course delivery with SCORM compliance</w:t>
      </w:r>
    </w:p>
    <w:p>
      <w:pPr>
        <w:pStyle w:val="ListParagraph"/>
        <w:numPr>
          <w:ilvl w:val="0"/>
          <w:numId w:val="2"/>
        </w:numPr>
        <w:spacing w:after="40" w:before="40"/>
      </w:pPr>
      <w:r>
        <w:rPr>
          <w:rFonts w:ascii="Arial" w:cs="Arial" w:eastAsia="Arial" w:hAnsi="Arial"/>
          <w:sz w:val="22"/>
          <w:szCs w:val="22"/>
        </w:rPr>
        <w:t xml:space="preserve">Mandatory training assignment and completion tracking</w:t>
      </w:r>
    </w:p>
    <w:p>
      <w:pPr>
        <w:pStyle w:val="ListParagraph"/>
        <w:numPr>
          <w:ilvl w:val="0"/>
          <w:numId w:val="2"/>
        </w:numPr>
        <w:spacing w:after="40" w:before="40"/>
      </w:pPr>
      <w:r>
        <w:rPr>
          <w:rFonts w:ascii="Arial" w:cs="Arial" w:eastAsia="Arial" w:hAnsi="Arial"/>
          <w:sz w:val="22"/>
          <w:szCs w:val="22"/>
        </w:rPr>
        <w:t xml:space="preserve">AI-personalised learning pathways based on role, skill gaps, and career goals</w:t>
      </w:r>
    </w:p>
    <w:p>
      <w:pPr>
        <w:pStyle w:val="ListParagraph"/>
        <w:numPr>
          <w:ilvl w:val="0"/>
          <w:numId w:val="2"/>
        </w:numPr>
        <w:spacing w:after="40" w:before="40"/>
      </w:pPr>
      <w:r>
        <w:rPr>
          <w:rFonts w:ascii="Arial" w:cs="Arial" w:eastAsia="Arial" w:hAnsi="Arial"/>
          <w:sz w:val="22"/>
          <w:szCs w:val="22"/>
        </w:rPr>
        <w:t xml:space="preserve">Integration with CPD bodies (CIPD, CIMA, ACCA, SRA, FCA)</w:t>
      </w:r>
    </w:p>
    <w:p>
      <w:pPr>
        <w:pStyle w:val="ListParagraph"/>
        <w:numPr>
          <w:ilvl w:val="0"/>
          <w:numId w:val="2"/>
        </w:numPr>
        <w:spacing w:after="40" w:before="40"/>
      </w:pPr>
      <w:r>
        <w:rPr>
          <w:rFonts w:ascii="Arial" w:cs="Arial" w:eastAsia="Arial" w:hAnsi="Arial"/>
          <w:sz w:val="22"/>
          <w:szCs w:val="22"/>
        </w:rPr>
        <w:t xml:space="preserve">Competency framework builder</w:t>
      </w:r>
    </w:p>
    <w:p>
      <w:pPr>
        <w:spacing w:after="80" w:before="80"/>
      </w:pPr>
      <w:r>
        <w:t xml:space="preserve"/>
      </w:r>
    </w:p>
    <w:p>
      <w:pPr>
        <w:pStyle w:val="Heading3"/>
        <w:spacing w:after="80" w:before="240"/>
      </w:pPr>
      <w:r>
        <w:rPr>
          <w:rFonts w:ascii="Arial" w:cs="Arial" w:eastAsia="Arial" w:hAnsi="Arial"/>
          <w:b/>
          <w:bCs/>
          <w:color w:val="0B1F3A"/>
          <w:sz w:val="24"/>
          <w:szCs w:val="24"/>
        </w:rPr>
        <w:t xml:space="preserve">3.2.4 Employee Self-Service Portal</w:t>
      </w:r>
    </w:p>
    <w:p>
      <w:pPr>
        <w:pStyle w:val="ListParagraph"/>
        <w:numPr>
          <w:ilvl w:val="0"/>
          <w:numId w:val="2"/>
        </w:numPr>
        <w:spacing w:after="40" w:before="40"/>
      </w:pPr>
      <w:r>
        <w:rPr>
          <w:rFonts w:ascii="Arial" w:cs="Arial" w:eastAsia="Arial" w:hAnsi="Arial"/>
          <w:sz w:val="22"/>
          <w:szCs w:val="22"/>
        </w:rPr>
        <w:t xml:space="preserve">Mobile-first employee app: view payslips, book leave, access documents, complete training</w:t>
      </w:r>
    </w:p>
    <w:p>
      <w:pPr>
        <w:pStyle w:val="ListParagraph"/>
        <w:numPr>
          <w:ilvl w:val="0"/>
          <w:numId w:val="2"/>
        </w:numPr>
        <w:spacing w:after="40" w:before="40"/>
      </w:pPr>
      <w:r>
        <w:rPr>
          <w:rFonts w:ascii="Arial" w:cs="Arial" w:eastAsia="Arial" w:hAnsi="Arial"/>
          <w:sz w:val="22"/>
          <w:szCs w:val="22"/>
        </w:rPr>
        <w:t xml:space="preserve">Manager self-service: approve timesheets, review leave requests, conduct appraisals</w:t>
      </w:r>
    </w:p>
    <w:p>
      <w:pPr>
        <w:pStyle w:val="ListParagraph"/>
        <w:numPr>
          <w:ilvl w:val="0"/>
          <w:numId w:val="2"/>
        </w:numPr>
        <w:spacing w:after="40" w:before="40"/>
      </w:pPr>
      <w:r>
        <w:rPr>
          <w:rFonts w:ascii="Arial" w:cs="Arial" w:eastAsia="Arial" w:hAnsi="Arial"/>
          <w:sz w:val="22"/>
          <w:szCs w:val="22"/>
        </w:rPr>
        <w:t xml:space="preserve">Document e-signature integration (DocuSign/Adobe Sign API)</w:t>
      </w:r>
    </w:p>
    <w:p>
      <w:pPr>
        <w:pStyle w:val="ListParagraph"/>
        <w:numPr>
          <w:ilvl w:val="0"/>
          <w:numId w:val="2"/>
        </w:numPr>
        <w:spacing w:after="40" w:before="40"/>
      </w:pPr>
      <w:r>
        <w:rPr>
          <w:rFonts w:ascii="Arial" w:cs="Arial" w:eastAsia="Arial" w:hAnsi="Arial"/>
          <w:sz w:val="22"/>
          <w:szCs w:val="22"/>
        </w:rPr>
        <w:t xml:space="preserve">Benefits enrolment portal</w:t>
      </w:r>
    </w:p>
    <w:p>
      <w:pPr>
        <w:pStyle w:val="ListParagraph"/>
        <w:numPr>
          <w:ilvl w:val="0"/>
          <w:numId w:val="2"/>
        </w:numPr>
        <w:spacing w:after="40" w:before="40"/>
      </w:pPr>
      <w:r>
        <w:rPr>
          <w:rFonts w:ascii="Arial" w:cs="Arial" w:eastAsia="Arial" w:hAnsi="Arial"/>
          <w:sz w:val="22"/>
          <w:szCs w:val="22"/>
        </w:rPr>
        <w:t xml:space="preserve">On-demand pay (earned wage access) — growing expectation in 2026</w:t>
      </w:r>
    </w:p>
    <w:p>
      <w:pPr>
        <w:spacing w:after="80" w:before="80"/>
      </w:pPr>
      <w:r>
        <w:t xml:space="preserve"/>
      </w:r>
    </w:p>
    <w:p>
      <w:pPr>
        <w:pStyle w:val="Heading2"/>
        <w:spacing w:after="120" w:before="320"/>
      </w:pPr>
      <w:r>
        <w:rPr>
          <w:rFonts w:ascii="Arial" w:cs="Arial" w:eastAsia="Arial" w:hAnsi="Arial"/>
          <w:b/>
          <w:bCs/>
          <w:color w:val="1E3A5F"/>
          <w:sz w:val="28"/>
          <w:szCs w:val="28"/>
        </w:rPr>
        <w:t xml:space="preserve">3.3 Global Compliance Coverage — The Most Critical Gap</w:t>
      </w:r>
    </w:p>
    <w:p>
      <w:pPr>
        <w:spacing w:after="100" w:before="60"/>
      </w:pPr>
      <w:r>
        <w:rPr>
          <w:rFonts w:ascii="Arial" w:cs="Arial" w:eastAsia="Arial" w:hAnsi="Arial"/>
          <w:sz w:val="22"/>
          <w:szCs w:val="22"/>
        </w:rPr>
        <w:t xml:space="preserve">Currently Nexus One is a UK-compliance system. To serve any company anywhere in the world — which is the ambition — the following compliance frameworks must be integrated as monitored, enforced, and documented capabilities within the platform:</w:t>
      </w:r>
    </w:p>
    <w:p>
      <w:pPr>
        <w:spacing w:after="80" w:before="80"/>
      </w:pPr>
      <w:r>
        <w:t xml:space="preserve"/>
      </w:r>
    </w:p>
    <w:p>
      <w:pPr>
        <w:pStyle w:val="Heading3"/>
        <w:spacing w:after="80" w:before="240"/>
      </w:pPr>
      <w:r>
        <w:rPr>
          <w:rFonts w:ascii="Arial" w:cs="Arial" w:eastAsia="Arial" w:hAnsi="Arial"/>
          <w:b/>
          <w:bCs/>
          <w:color w:val="0B1F3A"/>
          <w:sz w:val="24"/>
          <w:szCs w:val="24"/>
        </w:rPr>
        <w:t xml:space="preserve">3.3.1 Data Protection &amp; Privacy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Framework</w:t>
            </w:r>
          </w:p>
        </w:tc>
        <w:tc>
          <w:tcPr>
            <w:tcW w:type="dxa" w:w="20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Jurisdiction</w:t>
            </w:r>
          </w:p>
        </w:tc>
        <w:tc>
          <w:tcPr>
            <w:tcW w:type="dxa" w:w="20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Status</w:t>
            </w:r>
          </w:p>
        </w:tc>
        <w:tc>
          <w:tcPr>
            <w:tcW w:type="dxa" w:w="31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What Nexus One Must Deliver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GDPR (EU)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European Union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860B"/>
                <w:sz w:val="20"/>
                <w:szCs w:val="20"/>
              </w:rPr>
              <w:t xml:space="preserve">PARTIAL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Article 13-22 rights engine, DPA, DPIA, SCCs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UK GDPR / DPA 2018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United Kingdom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PRESENT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ICO registration, breach notification (72hr)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CCPA / CPRA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California, USA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Consumer rights, opt-out, data deletion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HIPAA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USA (Healthcare)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PHI handling, BAAs, audit controls, encryption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POPIA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South Africa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Responsible party obligations, data subjects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PDPA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Singapore/Thailand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Consent management, data transfers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NDPA 2023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Nigeria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NDPC registration, data subject rights</w:t>
            </w:r>
          </w:p>
        </w:tc>
      </w:tr>
    </w:tbl>
    <w:p>
      <w:pPr>
        <w:spacing w:after="80" w:before="80"/>
      </w:pPr>
      <w:r>
        <w:t xml:space="preserve"/>
      </w:r>
    </w:p>
    <w:p>
      <w:pPr>
        <w:pStyle w:val="Heading3"/>
        <w:spacing w:after="80" w:before="240"/>
      </w:pPr>
      <w:r>
        <w:rPr>
          <w:rFonts w:ascii="Arial" w:cs="Arial" w:eastAsia="Arial" w:hAnsi="Arial"/>
          <w:b/>
          <w:bCs/>
          <w:color w:val="0B1F3A"/>
          <w:sz w:val="24"/>
          <w:szCs w:val="24"/>
        </w:rPr>
        <w:t xml:space="preserve">3.3.2 Financial &amp; Accounting Standards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Standard</w:t>
            </w:r>
          </w:p>
        </w:tc>
        <w:tc>
          <w:tcPr>
            <w:tcW w:type="dxa" w:w="20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Market</w:t>
            </w:r>
          </w:p>
        </w:tc>
        <w:tc>
          <w:tcPr>
            <w:tcW w:type="dxa" w:w="51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FRS 102 (UK GAAP)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Statutory reporting for UK SMEs — must be default UK chart of accounts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FRS 105 (Micro entities)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Simplified reporting for companies under £632k turnover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CHARITIES SORP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UK/Ireland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SoFA, restricted/unrestricted funds, trustee annual report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IFRS (IAS 1-41)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Global/Listed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IFRS chart of accounts, note disclosures, segment reporting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 GAAP (ASC)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FASB ASC chart, revenue recognition (ASC 606), lease accounting (ASC 842)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SOX (Sarbanes-Oxley)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USA Listed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302/404 controls, CEO/CFO certifications, ICFR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COSO 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control documentation, risk assessment, monitoring activities</w:t>
            </w:r>
          </w:p>
        </w:tc>
      </w:tr>
    </w:tbl>
    <w:p>
      <w:pPr>
        <w:spacing w:after="80" w:before="80"/>
      </w:pPr>
      <w:r>
        <w:t xml:space="preserve"/>
      </w:r>
    </w:p>
    <w:p>
      <w:pPr>
        <w:pStyle w:val="Heading3"/>
        <w:spacing w:after="80" w:before="240"/>
      </w:pPr>
      <w:r>
        <w:rPr>
          <w:rFonts w:ascii="Arial" w:cs="Arial" w:eastAsia="Arial" w:hAnsi="Arial"/>
          <w:b/>
          <w:bCs/>
          <w:color w:val="0B1F3A"/>
          <w:sz w:val="24"/>
          <w:szCs w:val="24"/>
        </w:rPr>
        <w:t xml:space="preserve">3.3.3 Industry-Specific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Regulation</w:t>
            </w:r>
          </w:p>
        </w:tc>
        <w:tc>
          <w:tcPr>
            <w:tcW w:type="dxa" w:w="20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Industry / Jurisdiction</w:t>
            </w:r>
          </w:p>
        </w:tc>
        <w:tc>
          <w:tcPr>
            <w:tcW w:type="dxa" w:w="51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What Must Be Built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FCA (Financial Conduct Authority)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UK Financial Services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SMCR register, conduct rules training, regulatory capital tracking, FCA reporting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Charity Commission (CC)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UK Charities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return automation, serious incident reporting, public benefit statement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CQC 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UK Healthcare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CQC fundamental standards, notifiable events, fit and proper persons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Ofsted/SEND 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UK Education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Safeguarding frameworks, EHCP management, attendance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 27001:2022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(Tech/Data)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ISMS documentation, risk register, annex A controls, audit scheduling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2 Type II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USA (SaaS/Cloud)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Trust services criteria, control testing, evidence collection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PCI DSS v4.0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(Payments)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Cardholder data environment, encryption, access controls, quarterly scans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DORA (Digital Operational Resilience)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EU Financial Services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ICT risk management, incident reporting, third-party risk (from Jan 2025)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AML/CTF (Anti-Money Laundering)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(Finance/Legal)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workflows, SAR filing, enhanced due diligence, transaction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Employment Equity 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South Africa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EE reporting, workforce profile, annual EEA2/EEA4 submission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EEOC / FLSA / FMLA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USA Employment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 equal employment, fair labor standards, family medical leave tracking</w:t>
            </w:r>
          </w:p>
        </w:tc>
      </w:tr>
    </w:tbl>
    <w:p>
      <w:pPr>
        <w:spacing w:after="80" w:before="80"/>
      </w:pPr>
      <w:r>
        <w:t xml:space="preserve"/>
      </w:r>
    </w:p>
    <w:p>
      <w:r>
        <w:br w:type="page"/>
      </w:r>
    </w:p>
    <w:p>
      <w:pPr>
        <w:pStyle w:val="Heading1"/>
        <w:spacing w:after="200" w:before="400"/>
      </w:pPr>
      <w:r>
        <w:rPr>
          <w:rFonts w:ascii="Arial" w:cs="Arial" w:eastAsia="Arial" w:hAnsi="Arial"/>
          <w:b/>
          <w:bCs/>
          <w:color w:val="0B1F3A"/>
          <w:sz w:val="36"/>
          <w:szCs w:val="36"/>
        </w:rPr>
        <w:t xml:space="preserve">4. THE ROADMAP TO MARKET DOMINANCE</w:t>
      </w:r>
    </w:p>
    <w:p>
      <w:pPr>
        <w:pStyle w:val="Heading3"/>
        <w:spacing w:after="80" w:before="240"/>
      </w:pPr>
      <w:r>
        <w:rPr>
          <w:rFonts w:ascii="Arial" w:cs="Arial" w:eastAsia="Arial" w:hAnsi="Arial"/>
          <w:b/>
          <w:bCs/>
          <w:color w:val="0B1F3A"/>
          <w:sz w:val="24"/>
          <w:szCs w:val="24"/>
        </w:rPr>
        <w:t xml:space="preserve">Making Nexus One the King of All Enterprise Platforms</w:t>
      </w:r>
    </w:p>
    <w:p>
      <w:pPr>
        <w:pBdr>
          <w:bottom w:val="single" w:color="C9A84C" w:sz="6" w:space="1"/>
        </w:pBdr>
        <w:spacing w:after="120" w:before="120"/>
      </w:pPr>
      <w:r>
        <w:t xml:space="preserve"/>
      </w:r>
    </w:p>
    <w:p>
      <w:pPr>
        <w:spacing w:after="100" w:before="60"/>
      </w:pPr>
      <w:r>
        <w:rPr>
          <w:rFonts w:ascii="Arial" w:cs="Arial" w:eastAsia="Arial" w:hAnsi="Arial"/>
          <w:sz w:val="22"/>
          <w:szCs w:val="22"/>
        </w:rPr>
        <w:t xml:space="preserve">Based on 40 years of building, deploying, and redesigning enterprise systems at every level, the following phased roadmap represents the most efficient path from prototype to global market leader. This is not incremental improvement — it is a deliberate programme to build a product that makes SAP, Oracle, Workday, and every competing platform obsolete for the mid-market.</w:t>
      </w:r>
    </w:p>
    <w:p>
      <w:pPr>
        <w:spacing w:after="80" w:before="80"/>
      </w:pPr>
      <w:r>
        <w:t xml:space="preserve"/>
      </w:r>
    </w:p>
    <w:p>
      <w:pPr>
        <w:pStyle w:val="Heading2"/>
        <w:spacing w:after="120" w:before="320"/>
      </w:pPr>
      <w:r>
        <w:rPr>
          <w:rFonts w:ascii="Arial" w:cs="Arial" w:eastAsia="Arial" w:hAnsi="Arial"/>
          <w:b/>
          <w:bCs/>
          <w:color w:val="1E3A5F"/>
          <w:sz w:val="28"/>
          <w:szCs w:val="28"/>
        </w:rPr>
        <w:t xml:space="preserve">PHASE 1: Enterprise Foundation (Months 1-3)</w:t>
      </w:r>
    </w:p>
    <w:p>
      <w:pPr>
        <w:pStyle w:val="Heading3"/>
        <w:spacing w:after="80" w:before="240"/>
      </w:pPr>
      <w:r>
        <w:rPr>
          <w:rFonts w:ascii="Arial" w:cs="Arial" w:eastAsia="Arial" w:hAnsi="Arial"/>
          <w:b/>
          <w:bCs/>
          <w:color w:val="0B1F3A"/>
          <w:sz w:val="24"/>
          <w:szCs w:val="24"/>
        </w:rPr>
        <w:t xml:space="preserve">Objective: Make Nexus One production-ready and legally deployable for UK companies of all sizes and sectors.</w:t>
      </w:r>
    </w:p>
    <w:p>
      <w:pPr>
        <w:spacing w:after="80" w:before="80"/>
      </w:pPr>
      <w:r>
        <w:t xml:space="preserve"/>
      </w:r>
    </w:p>
    <w:p>
      <w:pPr>
        <w:spacing w:after="100" w:before="60"/>
      </w:pPr>
      <w:r>
        <w:rPr>
          <w:rFonts w:ascii="Arial" w:cs="Arial" w:eastAsia="Arial" w:hAnsi="Arial"/>
          <w:b/>
          <w:bCs/>
          <w:sz w:val="22"/>
          <w:szCs w:val="22"/>
        </w:rPr>
        <w:t xml:space="preserve">1.1 Security &amp; Infrastructure (CRITICAL — Day 1)</w:t>
      </w:r>
    </w:p>
    <w:p>
      <w:pPr>
        <w:pStyle w:val="ListParagraph"/>
        <w:numPr>
          <w:ilvl w:val="0"/>
          <w:numId w:val="2"/>
        </w:numPr>
        <w:spacing w:after="40" w:before="40"/>
      </w:pPr>
      <w:r>
        <w:rPr>
          <w:rFonts w:ascii="Arial" w:cs="Arial" w:eastAsia="Arial" w:hAnsi="Arial"/>
          <w:sz w:val="22"/>
          <w:szCs w:val="22"/>
        </w:rPr>
        <w:t xml:space="preserve">Deploy FastAPI backend with PostgreSQL on AWS/Azure with enterprise-grade security</w:t>
      </w:r>
    </w:p>
    <w:p>
      <w:pPr>
        <w:pStyle w:val="ListParagraph"/>
        <w:numPr>
          <w:ilvl w:val="0"/>
          <w:numId w:val="2"/>
        </w:numPr>
        <w:spacing w:after="40" w:before="40"/>
      </w:pPr>
      <w:r>
        <w:rPr>
          <w:rFonts w:ascii="Arial" w:cs="Arial" w:eastAsia="Arial" w:hAnsi="Arial"/>
          <w:sz w:val="22"/>
          <w:szCs w:val="22"/>
        </w:rPr>
        <w:t xml:space="preserve">Implement JWT with Redis blacklist, rate limiting, and refresh token rotation</w:t>
      </w:r>
    </w:p>
    <w:p>
      <w:pPr>
        <w:pStyle w:val="ListParagraph"/>
        <w:numPr>
          <w:ilvl w:val="0"/>
          <w:numId w:val="2"/>
        </w:numPr>
        <w:spacing w:after="40" w:before="40"/>
      </w:pPr>
      <w:r>
        <w:rPr>
          <w:rFonts w:ascii="Arial" w:cs="Arial" w:eastAsia="Arial" w:hAnsi="Arial"/>
          <w:sz w:val="22"/>
          <w:szCs w:val="22"/>
        </w:rPr>
        <w:t xml:space="preserve">AES-256 field-level encryption for NI numbers, bank details, passport numbers, medical data</w:t>
      </w:r>
    </w:p>
    <w:p>
      <w:pPr>
        <w:pStyle w:val="ListParagraph"/>
        <w:numPr>
          <w:ilvl w:val="0"/>
          <w:numId w:val="2"/>
        </w:numPr>
        <w:spacing w:after="40" w:before="40"/>
      </w:pPr>
      <w:r>
        <w:rPr>
          <w:rFonts w:ascii="Arial" w:cs="Arial" w:eastAsia="Arial" w:hAnsi="Arial"/>
          <w:sz w:val="22"/>
          <w:szCs w:val="22"/>
        </w:rPr>
        <w:t xml:space="preserve">Role-based access control with row-level security (each user sees only their permitted data)</w:t>
      </w:r>
    </w:p>
    <w:p>
      <w:pPr>
        <w:pStyle w:val="ListParagraph"/>
        <w:numPr>
          <w:ilvl w:val="0"/>
          <w:numId w:val="2"/>
        </w:numPr>
        <w:spacing w:after="40" w:before="40"/>
      </w:pPr>
      <w:r>
        <w:rPr>
          <w:rFonts w:ascii="Arial" w:cs="Arial" w:eastAsia="Arial" w:hAnsi="Arial"/>
          <w:sz w:val="22"/>
          <w:szCs w:val="22"/>
        </w:rPr>
        <w:t xml:space="preserve">Automated database backups with point-in-time recovery</w:t>
      </w:r>
    </w:p>
    <w:p>
      <w:pPr>
        <w:pStyle w:val="ListParagraph"/>
        <w:numPr>
          <w:ilvl w:val="0"/>
          <w:numId w:val="2"/>
        </w:numPr>
        <w:spacing w:after="40" w:before="40"/>
      </w:pPr>
      <w:r>
        <w:rPr>
          <w:rFonts w:ascii="Arial" w:cs="Arial" w:eastAsia="Arial" w:hAnsi="Arial"/>
          <w:sz w:val="22"/>
          <w:szCs w:val="22"/>
        </w:rPr>
        <w:t xml:space="preserve">SOC 2 Type I readiness assessment and ISO 27001 gap analysis</w:t>
      </w:r>
    </w:p>
    <w:p>
      <w:pPr>
        <w:pStyle w:val="ListParagraph"/>
        <w:numPr>
          <w:ilvl w:val="0"/>
          <w:numId w:val="2"/>
        </w:numPr>
        <w:spacing w:after="40" w:before="40"/>
      </w:pPr>
      <w:r>
        <w:rPr>
          <w:rFonts w:ascii="Arial" w:cs="Arial" w:eastAsia="Arial" w:hAnsi="Arial"/>
          <w:sz w:val="22"/>
          <w:szCs w:val="22"/>
        </w:rPr>
        <w:t xml:space="preserve">Two-factor authentication (TOTP + SMS) for all users</w:t>
      </w:r>
    </w:p>
    <w:p>
      <w:pPr>
        <w:spacing w:after="80" w:before="80"/>
      </w:pPr>
      <w:r>
        <w:t xml:space="preserve"/>
      </w:r>
    </w:p>
    <w:p>
      <w:pPr>
        <w:spacing w:after="100" w:before="60"/>
      </w:pPr>
      <w:r>
        <w:rPr>
          <w:rFonts w:ascii="Arial" w:cs="Arial" w:eastAsia="Arial" w:hAnsi="Arial"/>
          <w:b/>
          <w:bCs/>
          <w:sz w:val="22"/>
          <w:szCs w:val="22"/>
        </w:rPr>
        <w:t xml:space="preserve">1.2 UK Compliance Hardening</w:t>
      </w:r>
    </w:p>
    <w:p>
      <w:pPr>
        <w:pStyle w:val="ListParagraph"/>
        <w:numPr>
          <w:ilvl w:val="0"/>
          <w:numId w:val="2"/>
        </w:numPr>
        <w:spacing w:after="40" w:before="40"/>
      </w:pPr>
      <w:r>
        <w:rPr>
          <w:rFonts w:ascii="Arial" w:cs="Arial" w:eastAsia="Arial" w:hAnsi="Arial"/>
          <w:sz w:val="22"/>
          <w:szCs w:val="22"/>
        </w:rPr>
        <w:t xml:space="preserve">NMW validation gate: no payroll run can complete if any employee is below NMW — criminal liability prevention</w:t>
      </w:r>
    </w:p>
    <w:p>
      <w:pPr>
        <w:pStyle w:val="ListParagraph"/>
        <w:numPr>
          <w:ilvl w:val="0"/>
          <w:numId w:val="2"/>
        </w:numPr>
        <w:spacing w:after="40" w:before="40"/>
      </w:pPr>
      <w:r>
        <w:rPr>
          <w:rFonts w:ascii="Arial" w:cs="Arial" w:eastAsia="Arial" w:hAnsi="Arial"/>
          <w:sz w:val="22"/>
          <w:szCs w:val="22"/>
        </w:rPr>
        <w:t xml:space="preserve">P60/P45 PDF generation meeting HMRC approved format specification</w:t>
      </w:r>
    </w:p>
    <w:p>
      <w:pPr>
        <w:pStyle w:val="ListParagraph"/>
        <w:numPr>
          <w:ilvl w:val="0"/>
          <w:numId w:val="2"/>
        </w:numPr>
        <w:spacing w:after="40" w:before="40"/>
      </w:pPr>
      <w:r>
        <w:rPr>
          <w:rFonts w:ascii="Arial" w:cs="Arial" w:eastAsia="Arial" w:hAnsi="Arial"/>
          <w:sz w:val="22"/>
          <w:szCs w:val="22"/>
        </w:rPr>
        <w:t xml:space="preserve">RTI FPS/EPS API connection to HMRC Government Gateway (live submission)</w:t>
      </w:r>
    </w:p>
    <w:p>
      <w:pPr>
        <w:pStyle w:val="ListParagraph"/>
        <w:numPr>
          <w:ilvl w:val="0"/>
          <w:numId w:val="2"/>
        </w:numPr>
        <w:spacing w:after="40" w:before="40"/>
      </w:pPr>
      <w:r>
        <w:rPr>
          <w:rFonts w:ascii="Arial" w:cs="Arial" w:eastAsia="Arial" w:hAnsi="Arial"/>
          <w:sz w:val="22"/>
          <w:szCs w:val="22"/>
        </w:rPr>
        <w:t xml:space="preserve">Companies House API integration: automatic company data population, filing deadline tracking</w:t>
      </w:r>
    </w:p>
    <w:p>
      <w:pPr>
        <w:pStyle w:val="ListParagraph"/>
        <w:numPr>
          <w:ilvl w:val="0"/>
          <w:numId w:val="2"/>
        </w:numPr>
        <w:spacing w:after="40" w:before="40"/>
      </w:pPr>
      <w:r>
        <w:rPr>
          <w:rFonts w:ascii="Arial" w:cs="Arial" w:eastAsia="Arial" w:hAnsi="Arial"/>
          <w:sz w:val="22"/>
          <w:szCs w:val="22"/>
        </w:rPr>
        <w:t xml:space="preserve">ICO registration tracking and automatic annual renewal alerts</w:t>
      </w:r>
    </w:p>
    <w:p>
      <w:pPr>
        <w:pStyle w:val="ListParagraph"/>
        <w:numPr>
          <w:ilvl w:val="0"/>
          <w:numId w:val="2"/>
        </w:numPr>
        <w:spacing w:after="40" w:before="40"/>
      </w:pPr>
      <w:r>
        <w:rPr>
          <w:rFonts w:ascii="Arial" w:cs="Arial" w:eastAsia="Arial" w:hAnsi="Arial"/>
          <w:sz w:val="22"/>
          <w:szCs w:val="22"/>
        </w:rPr>
        <w:t xml:space="preserve">GDPR DPA 2018 — full Article 17 (erasure) and Article 20 (portability) endpoints</w:t>
      </w:r>
    </w:p>
    <w:p>
      <w:pPr>
        <w:spacing w:after="80" w:before="80"/>
      </w:pPr>
      <w:r>
        <w:t xml:space="preserve"/>
      </w:r>
    </w:p>
    <w:p>
      <w:pPr>
        <w:spacing w:after="100" w:before="60"/>
      </w:pPr>
      <w:r>
        <w:rPr>
          <w:rFonts w:ascii="Arial" w:cs="Arial" w:eastAsia="Arial" w:hAnsi="Arial"/>
          <w:b/>
          <w:bCs/>
          <w:sz w:val="22"/>
          <w:szCs w:val="22"/>
        </w:rPr>
        <w:t xml:space="preserve">1.3 Core CFO Module Completion</w:t>
      </w:r>
    </w:p>
    <w:p>
      <w:pPr>
        <w:pStyle w:val="ListParagraph"/>
        <w:numPr>
          <w:ilvl w:val="0"/>
          <w:numId w:val="2"/>
        </w:numPr>
        <w:spacing w:after="40" w:before="40"/>
      </w:pPr>
      <w:r>
        <w:rPr>
          <w:rFonts w:ascii="Arial" w:cs="Arial" w:eastAsia="Arial" w:hAnsi="Arial"/>
          <w:sz w:val="22"/>
          <w:szCs w:val="22"/>
        </w:rPr>
        <w:t xml:space="preserve">Complete AR/AP engine: invoice generation, supplier management, payment runs, aged analysis</w:t>
      </w:r>
    </w:p>
    <w:p>
      <w:pPr>
        <w:pStyle w:val="ListParagraph"/>
        <w:numPr>
          <w:ilvl w:val="0"/>
          <w:numId w:val="2"/>
        </w:numPr>
        <w:spacing w:after="40" w:before="40"/>
      </w:pPr>
      <w:r>
        <w:rPr>
          <w:rFonts w:ascii="Arial" w:cs="Arial" w:eastAsia="Arial" w:hAnsi="Arial"/>
          <w:sz w:val="22"/>
          <w:szCs w:val="22"/>
        </w:rPr>
        <w:t xml:space="preserve">Bank reconciliation automation with Plaid/TrueLayer open banking integration</w:t>
      </w:r>
    </w:p>
    <w:p>
      <w:pPr>
        <w:pStyle w:val="ListParagraph"/>
        <w:numPr>
          <w:ilvl w:val="0"/>
          <w:numId w:val="2"/>
        </w:numPr>
        <w:spacing w:after="40" w:before="40"/>
      </w:pPr>
      <w:r>
        <w:rPr>
          <w:rFonts w:ascii="Arial" w:cs="Arial" w:eastAsia="Arial" w:hAnsi="Arial"/>
          <w:sz w:val="22"/>
          <w:szCs w:val="22"/>
        </w:rPr>
        <w:t xml:space="preserve">Budget vs Actual tracking with variance alerts</w:t>
      </w:r>
    </w:p>
    <w:p>
      <w:pPr>
        <w:pStyle w:val="ListParagraph"/>
        <w:numPr>
          <w:ilvl w:val="0"/>
          <w:numId w:val="2"/>
        </w:numPr>
        <w:spacing w:after="40" w:before="40"/>
      </w:pPr>
      <w:r>
        <w:rPr>
          <w:rFonts w:ascii="Arial" w:cs="Arial" w:eastAsia="Arial" w:hAnsi="Arial"/>
          <w:sz w:val="22"/>
          <w:szCs w:val="22"/>
        </w:rPr>
        <w:t xml:space="preserve">FRS 102 compliant Statement of Financial Activities (SoFA) for charity clients</w:t>
      </w:r>
    </w:p>
    <w:p>
      <w:pPr>
        <w:pStyle w:val="ListParagraph"/>
        <w:numPr>
          <w:ilvl w:val="0"/>
          <w:numId w:val="2"/>
        </w:numPr>
        <w:spacing w:after="40" w:before="40"/>
      </w:pPr>
      <w:r>
        <w:rPr>
          <w:rFonts w:ascii="Arial" w:cs="Arial" w:eastAsia="Arial" w:hAnsi="Arial"/>
          <w:sz w:val="22"/>
          <w:szCs w:val="22"/>
        </w:rPr>
        <w:t xml:space="preserve">Automatic VAT return calculation and MTD (Making Tax Digital) submission</w:t>
      </w:r>
    </w:p>
    <w:p>
      <w:pPr>
        <w:spacing w:after="80" w:before="80"/>
      </w:pPr>
      <w:r>
        <w:t xml:space="preserve"/>
      </w:r>
    </w:p>
    <w:p>
      <w:pPr>
        <w:spacing w:after="100" w:before="60"/>
      </w:pPr>
      <w:r>
        <w:rPr>
          <w:rFonts w:ascii="Arial" w:cs="Arial" w:eastAsia="Arial" w:hAnsi="Arial"/>
          <w:b/>
          <w:bCs/>
          <w:sz w:val="22"/>
          <w:szCs w:val="22"/>
        </w:rPr>
        <w:t xml:space="preserve">1.4 AI CFO Enhancement</w:t>
      </w:r>
    </w:p>
    <w:p>
      <w:pPr>
        <w:pStyle w:val="ListParagraph"/>
        <w:numPr>
          <w:ilvl w:val="0"/>
          <w:numId w:val="2"/>
        </w:numPr>
        <w:spacing w:after="40" w:before="40"/>
      </w:pPr>
      <w:r>
        <w:rPr>
          <w:rFonts w:ascii="Arial" w:cs="Arial" w:eastAsia="Arial" w:hAnsi="Arial"/>
          <w:sz w:val="22"/>
          <w:szCs w:val="22"/>
        </w:rPr>
        <w:t xml:space="preserve">Cash flow forecasting module: 13-week rolling cash runway calculator</w:t>
      </w:r>
    </w:p>
    <w:p>
      <w:pPr>
        <w:pStyle w:val="ListParagraph"/>
        <w:numPr>
          <w:ilvl w:val="0"/>
          <w:numId w:val="2"/>
        </w:numPr>
        <w:spacing w:after="40" w:before="40"/>
      </w:pPr>
      <w:r>
        <w:rPr>
          <w:rFonts w:ascii="Arial" w:cs="Arial" w:eastAsia="Arial" w:hAnsi="Arial"/>
          <w:sz w:val="22"/>
          <w:szCs w:val="22"/>
        </w:rPr>
        <w:t xml:space="preserve">AI-generated board pack: financial highlights, risk register, recommendation narrative</w:t>
      </w:r>
    </w:p>
    <w:p>
      <w:pPr>
        <w:pStyle w:val="ListParagraph"/>
        <w:numPr>
          <w:ilvl w:val="0"/>
          <w:numId w:val="2"/>
        </w:numPr>
        <w:spacing w:after="40" w:before="40"/>
      </w:pPr>
      <w:r>
        <w:rPr>
          <w:rFonts w:ascii="Arial" w:cs="Arial" w:eastAsia="Arial" w:hAnsi="Arial"/>
          <w:sz w:val="22"/>
          <w:szCs w:val="22"/>
        </w:rPr>
        <w:t xml:space="preserve">Anomaly detection: AI flags unusual transactions, expense spikes, budget overruns automatically</w:t>
      </w:r>
    </w:p>
    <w:p>
      <w:pPr>
        <w:pStyle w:val="ListParagraph"/>
        <w:numPr>
          <w:ilvl w:val="0"/>
          <w:numId w:val="2"/>
        </w:numPr>
        <w:spacing w:after="40" w:before="40"/>
      </w:pPr>
      <w:r>
        <w:rPr>
          <w:rFonts w:ascii="Arial" w:cs="Arial" w:eastAsia="Arial" w:hAnsi="Arial"/>
          <w:sz w:val="22"/>
          <w:szCs w:val="22"/>
        </w:rPr>
        <w:t xml:space="preserve">Natural language financial queries: 'What is our runway if grant income drops 20%?'</w:t>
      </w:r>
    </w:p>
    <w:p>
      <w:pPr>
        <w:spacing w:after="80" w:before="80"/>
      </w:pPr>
      <w:r>
        <w:t xml:space="preserve"/>
      </w:r>
    </w:p>
    <w:p>
      <w:pPr>
        <w:pStyle w:val="Heading2"/>
        <w:spacing w:after="120" w:before="320"/>
      </w:pPr>
      <w:r>
        <w:rPr>
          <w:rFonts w:ascii="Arial" w:cs="Arial" w:eastAsia="Arial" w:hAnsi="Arial"/>
          <w:b/>
          <w:bCs/>
          <w:color w:val="1E3A5F"/>
          <w:sz w:val="28"/>
          <w:szCs w:val="28"/>
        </w:rPr>
        <w:t xml:space="preserve">PHASE 2: Multi-Sector Expansion (Months 4-8)</w:t>
      </w:r>
    </w:p>
    <w:p>
      <w:pPr>
        <w:pStyle w:val="Heading3"/>
        <w:spacing w:after="80" w:before="240"/>
      </w:pPr>
      <w:r>
        <w:rPr>
          <w:rFonts w:ascii="Arial" w:cs="Arial" w:eastAsia="Arial" w:hAnsi="Arial"/>
          <w:b/>
          <w:bCs/>
          <w:color w:val="0B1F3A"/>
          <w:sz w:val="24"/>
          <w:szCs w:val="24"/>
        </w:rPr>
        <w:t xml:space="preserve">Objective: Support every UK company type — startup, SME, enterprise, charity, housing association, healthcare, education, professional services.</w:t>
      </w:r>
    </w:p>
    <w:p>
      <w:pPr>
        <w:spacing w:after="80" w:before="80"/>
      </w:pPr>
      <w:r>
        <w:t xml:space="preserve"/>
      </w:r>
    </w:p>
    <w:p>
      <w:pPr>
        <w:spacing w:after="100" w:before="60"/>
      </w:pPr>
      <w:r>
        <w:rPr>
          <w:rFonts w:ascii="Arial" w:cs="Arial" w:eastAsia="Arial" w:hAnsi="Arial"/>
          <w:b/>
          <w:bCs/>
          <w:sz w:val="22"/>
          <w:szCs w:val="22"/>
        </w:rPr>
        <w:t xml:space="preserve">2.1 FP&amp;A Engine — Competitive Moat</w:t>
      </w:r>
    </w:p>
    <w:p>
      <w:pPr>
        <w:pStyle w:val="ListParagraph"/>
        <w:numPr>
          <w:ilvl w:val="0"/>
          <w:numId w:val="2"/>
        </w:numPr>
        <w:spacing w:after="40" w:before="40"/>
      </w:pPr>
      <w:r>
        <w:rPr>
          <w:rFonts w:ascii="Arial" w:cs="Arial" w:eastAsia="Arial" w:hAnsi="Arial"/>
          <w:sz w:val="22"/>
          <w:szCs w:val="22"/>
        </w:rPr>
        <w:t xml:space="preserve">Scenario planning: 3-5 scenarios (base, optimistic, pessimistic, stress test) with AI narrative</w:t>
      </w:r>
    </w:p>
    <w:p>
      <w:pPr>
        <w:pStyle w:val="ListParagraph"/>
        <w:numPr>
          <w:ilvl w:val="0"/>
          <w:numId w:val="2"/>
        </w:numPr>
        <w:spacing w:after="40" w:before="40"/>
      </w:pPr>
      <w:r>
        <w:rPr>
          <w:rFonts w:ascii="Arial" w:cs="Arial" w:eastAsia="Arial" w:hAnsi="Arial"/>
          <w:sz w:val="22"/>
          <w:szCs w:val="22"/>
        </w:rPr>
        <w:t xml:space="preserve">3-year financial model with rolling 12-month forecast</w:t>
      </w:r>
    </w:p>
    <w:p>
      <w:pPr>
        <w:pStyle w:val="ListParagraph"/>
        <w:numPr>
          <w:ilvl w:val="0"/>
          <w:numId w:val="2"/>
        </w:numPr>
        <w:spacing w:after="40" w:before="40"/>
      </w:pPr>
      <w:r>
        <w:rPr>
          <w:rFonts w:ascii="Arial" w:cs="Arial" w:eastAsia="Arial" w:hAnsi="Arial"/>
          <w:sz w:val="22"/>
          <w:szCs w:val="22"/>
        </w:rPr>
        <w:t xml:space="preserve">Headcount planning linked to payroll cost modelling</w:t>
      </w:r>
    </w:p>
    <w:p>
      <w:pPr>
        <w:pStyle w:val="ListParagraph"/>
        <w:numPr>
          <w:ilvl w:val="0"/>
          <w:numId w:val="2"/>
        </w:numPr>
        <w:spacing w:after="40" w:before="40"/>
      </w:pPr>
      <w:r>
        <w:rPr>
          <w:rFonts w:ascii="Arial" w:cs="Arial" w:eastAsia="Arial" w:hAnsi="Arial"/>
          <w:sz w:val="22"/>
          <w:szCs w:val="22"/>
        </w:rPr>
        <w:t xml:space="preserve">Department-level budget holders with self-service dashboards</w:t>
      </w:r>
    </w:p>
    <w:p>
      <w:pPr>
        <w:pStyle w:val="ListParagraph"/>
        <w:numPr>
          <w:ilvl w:val="0"/>
          <w:numId w:val="2"/>
        </w:numPr>
        <w:spacing w:after="40" w:before="40"/>
      </w:pPr>
      <w:r>
        <w:rPr>
          <w:rFonts w:ascii="Arial" w:cs="Arial" w:eastAsia="Arial" w:hAnsi="Arial"/>
          <w:sz w:val="22"/>
          <w:szCs w:val="22"/>
        </w:rPr>
        <w:t xml:space="preserve">Investor-ready financial pack generator: P&amp;L, Balance Sheet, Cash Flow, key metrics, commentary</w:t>
      </w:r>
    </w:p>
    <w:p>
      <w:pPr>
        <w:spacing w:after="80" w:before="80"/>
      </w:pPr>
      <w:r>
        <w:t xml:space="preserve"/>
      </w:r>
    </w:p>
    <w:p>
      <w:pPr>
        <w:spacing w:after="100" w:before="60"/>
      </w:pPr>
      <w:r>
        <w:rPr>
          <w:rFonts w:ascii="Arial" w:cs="Arial" w:eastAsia="Arial" w:hAnsi="Arial"/>
          <w:b/>
          <w:bCs/>
          <w:sz w:val="22"/>
          <w:szCs w:val="22"/>
        </w:rPr>
        <w:t xml:space="preserve">2.2 Recruitment &amp; Talent Module</w:t>
      </w:r>
    </w:p>
    <w:p>
      <w:pPr>
        <w:pStyle w:val="ListParagraph"/>
        <w:numPr>
          <w:ilvl w:val="0"/>
          <w:numId w:val="2"/>
        </w:numPr>
        <w:spacing w:after="40" w:before="40"/>
      </w:pPr>
      <w:r>
        <w:rPr>
          <w:rFonts w:ascii="Arial" w:cs="Arial" w:eastAsia="Arial" w:hAnsi="Arial"/>
          <w:sz w:val="22"/>
          <w:szCs w:val="22"/>
        </w:rPr>
        <w:t xml:space="preserve">ATS with AI-powered CV screening using Claude — scores and ranks candidates against job description</w:t>
      </w:r>
    </w:p>
    <w:p>
      <w:pPr>
        <w:pStyle w:val="ListParagraph"/>
        <w:numPr>
          <w:ilvl w:val="0"/>
          <w:numId w:val="2"/>
        </w:numPr>
        <w:spacing w:after="40" w:before="40"/>
      </w:pPr>
      <w:r>
        <w:rPr>
          <w:rFonts w:ascii="Arial" w:cs="Arial" w:eastAsia="Arial" w:hAnsi="Arial"/>
          <w:sz w:val="22"/>
          <w:szCs w:val="22"/>
        </w:rPr>
        <w:t xml:space="preserve">Interview scheduling with calendar integration (Google/Outlook)</w:t>
      </w:r>
    </w:p>
    <w:p>
      <w:pPr>
        <w:pStyle w:val="ListParagraph"/>
        <w:numPr>
          <w:ilvl w:val="0"/>
          <w:numId w:val="2"/>
        </w:numPr>
        <w:spacing w:after="40" w:before="40"/>
      </w:pPr>
      <w:r>
        <w:rPr>
          <w:rFonts w:ascii="Arial" w:cs="Arial" w:eastAsia="Arial" w:hAnsi="Arial"/>
          <w:sz w:val="22"/>
          <w:szCs w:val="22"/>
        </w:rPr>
        <w:t xml:space="preserve">Offer management linked to payroll auto-setup</w:t>
      </w:r>
    </w:p>
    <w:p>
      <w:pPr>
        <w:pStyle w:val="ListParagraph"/>
        <w:numPr>
          <w:ilvl w:val="0"/>
          <w:numId w:val="2"/>
        </w:numPr>
        <w:spacing w:after="40" w:before="40"/>
      </w:pPr>
      <w:r>
        <w:rPr>
          <w:rFonts w:ascii="Arial" w:cs="Arial" w:eastAsia="Arial" w:hAnsi="Arial"/>
          <w:sz w:val="22"/>
          <w:szCs w:val="22"/>
        </w:rPr>
        <w:t xml:space="preserve">Right to Work digital check integration (UKVI Share Code verification API)</w:t>
      </w:r>
    </w:p>
    <w:p>
      <w:pPr>
        <w:pStyle w:val="ListParagraph"/>
        <w:numPr>
          <w:ilvl w:val="0"/>
          <w:numId w:val="2"/>
        </w:numPr>
        <w:spacing w:after="40" w:before="40"/>
      </w:pPr>
      <w:r>
        <w:rPr>
          <w:rFonts w:ascii="Arial" w:cs="Arial" w:eastAsia="Arial" w:hAnsi="Arial"/>
          <w:sz w:val="22"/>
          <w:szCs w:val="22"/>
        </w:rPr>
        <w:t xml:space="preserve">Diversity analytics and Rooney Rule compliance tracking</w:t>
      </w:r>
    </w:p>
    <w:p>
      <w:pPr>
        <w:spacing w:after="80" w:before="80"/>
      </w:pPr>
      <w:r>
        <w:t xml:space="preserve"/>
      </w:r>
    </w:p>
    <w:p>
      <w:pPr>
        <w:spacing w:after="100" w:before="60"/>
      </w:pPr>
      <w:r>
        <w:rPr>
          <w:rFonts w:ascii="Arial" w:cs="Arial" w:eastAsia="Arial" w:hAnsi="Arial"/>
          <w:b/>
          <w:bCs/>
          <w:sz w:val="22"/>
          <w:szCs w:val="22"/>
        </w:rPr>
        <w:t xml:space="preserve">2.3 Learning &amp; Development (LMS)</w:t>
      </w:r>
    </w:p>
    <w:p>
      <w:pPr>
        <w:pStyle w:val="ListParagraph"/>
        <w:numPr>
          <w:ilvl w:val="0"/>
          <w:numId w:val="2"/>
        </w:numPr>
        <w:spacing w:after="40" w:before="40"/>
      </w:pPr>
      <w:r>
        <w:rPr>
          <w:rFonts w:ascii="Arial" w:cs="Arial" w:eastAsia="Arial" w:hAnsi="Arial"/>
          <w:sz w:val="22"/>
          <w:szCs w:val="22"/>
        </w:rPr>
        <w:t xml:space="preserve">In-platform course builder with video, quiz, and certification modules</w:t>
      </w:r>
    </w:p>
    <w:p>
      <w:pPr>
        <w:pStyle w:val="ListParagraph"/>
        <w:numPr>
          <w:ilvl w:val="0"/>
          <w:numId w:val="2"/>
        </w:numPr>
        <w:spacing w:after="40" w:before="40"/>
      </w:pPr>
      <w:r>
        <w:rPr>
          <w:rFonts w:ascii="Arial" w:cs="Arial" w:eastAsia="Arial" w:hAnsi="Arial"/>
          <w:sz w:val="22"/>
          <w:szCs w:val="22"/>
        </w:rPr>
        <w:t xml:space="preserve">Mandatory training assignment by role with automatic escalation</w:t>
      </w:r>
    </w:p>
    <w:p>
      <w:pPr>
        <w:pStyle w:val="ListParagraph"/>
        <w:numPr>
          <w:ilvl w:val="0"/>
          <w:numId w:val="2"/>
        </w:numPr>
        <w:spacing w:after="40" w:before="40"/>
      </w:pPr>
      <w:r>
        <w:rPr>
          <w:rFonts w:ascii="Arial" w:cs="Arial" w:eastAsia="Arial" w:hAnsi="Arial"/>
          <w:sz w:val="22"/>
          <w:szCs w:val="22"/>
        </w:rPr>
        <w:t xml:space="preserve">AI-generated training content using Claude: policies, procedures, compliance briefings</w:t>
      </w:r>
    </w:p>
    <w:p>
      <w:pPr>
        <w:pStyle w:val="ListParagraph"/>
        <w:numPr>
          <w:ilvl w:val="0"/>
          <w:numId w:val="2"/>
        </w:numPr>
        <w:spacing w:after="40" w:before="40"/>
      </w:pPr>
      <w:r>
        <w:rPr>
          <w:rFonts w:ascii="Arial" w:cs="Arial" w:eastAsia="Arial" w:hAnsi="Arial"/>
          <w:sz w:val="22"/>
          <w:szCs w:val="22"/>
        </w:rPr>
        <w:t xml:space="preserve">SCORM-compatible for existing training content import</w:t>
      </w:r>
    </w:p>
    <w:p>
      <w:pPr>
        <w:spacing w:after="80" w:before="80"/>
      </w:pPr>
      <w:r>
        <w:t xml:space="preserve"/>
      </w:r>
    </w:p>
    <w:p>
      <w:pPr>
        <w:spacing w:after="100" w:before="60"/>
      </w:pPr>
      <w:r>
        <w:rPr>
          <w:rFonts w:ascii="Arial" w:cs="Arial" w:eastAsia="Arial" w:hAnsi="Arial"/>
          <w:b/>
          <w:bCs/>
          <w:sz w:val="22"/>
          <w:szCs w:val="22"/>
        </w:rPr>
        <w:t xml:space="preserve">2.4 Industry Modules</w:t>
      </w:r>
    </w:p>
    <w:p>
      <w:pPr>
        <w:pStyle w:val="ListParagraph"/>
        <w:numPr>
          <w:ilvl w:val="0"/>
          <w:numId w:val="2"/>
        </w:numPr>
        <w:spacing w:after="40" w:before="40"/>
      </w:pPr>
      <w:r>
        <w:rPr>
          <w:rFonts w:ascii="Arial" w:cs="Arial" w:eastAsia="Arial" w:hAnsi="Arial"/>
          <w:sz w:val="22"/>
          <w:szCs w:val="22"/>
        </w:rPr>
        <w:t xml:space="preserve">Charities &amp; CICs: SORP-compliant reporting, restricted fund management, Charity Commission annual return automation, Gift Aid reclaim</w:t>
      </w:r>
    </w:p>
    <w:p>
      <w:pPr>
        <w:pStyle w:val="ListParagraph"/>
        <w:numPr>
          <w:ilvl w:val="0"/>
          <w:numId w:val="2"/>
        </w:numPr>
        <w:spacing w:after="40" w:before="40"/>
      </w:pPr>
      <w:r>
        <w:rPr>
          <w:rFonts w:ascii="Arial" w:cs="Arial" w:eastAsia="Arial" w:hAnsi="Arial"/>
          <w:sz w:val="22"/>
          <w:szCs w:val="22"/>
        </w:rPr>
        <w:t xml:space="preserve">Healthcare (CQC regulated): Safe staffing levels, CQC KLOEs tracking, notifiable events log, fit and proper persons register</w:t>
      </w:r>
    </w:p>
    <w:p>
      <w:pPr>
        <w:pStyle w:val="ListParagraph"/>
        <w:numPr>
          <w:ilvl w:val="0"/>
          <w:numId w:val="2"/>
        </w:numPr>
        <w:spacing w:after="40" w:before="40"/>
      </w:pPr>
      <w:r>
        <w:rPr>
          <w:rFonts w:ascii="Arial" w:cs="Arial" w:eastAsia="Arial" w:hAnsi="Arial"/>
          <w:sz w:val="22"/>
          <w:szCs w:val="22"/>
        </w:rPr>
        <w:t xml:space="preserve">Education (Ofsted): Safeguarding framework, EHCP/SEN management, attendance monitoring, pupil premium tracking</w:t>
      </w:r>
    </w:p>
    <w:p>
      <w:pPr>
        <w:pStyle w:val="ListParagraph"/>
        <w:numPr>
          <w:ilvl w:val="0"/>
          <w:numId w:val="2"/>
        </w:numPr>
        <w:spacing w:after="40" w:before="40"/>
      </w:pPr>
      <w:r>
        <w:rPr>
          <w:rFonts w:ascii="Arial" w:cs="Arial" w:eastAsia="Arial" w:hAnsi="Arial"/>
          <w:sz w:val="22"/>
          <w:szCs w:val="22"/>
        </w:rPr>
        <w:t xml:space="preserve">Professional Services (FCA authorised): SMCR register, Training and Competence logs, regulatory capital, FCA REP reporting</w:t>
      </w:r>
    </w:p>
    <w:p>
      <w:pPr>
        <w:pStyle w:val="ListParagraph"/>
        <w:numPr>
          <w:ilvl w:val="0"/>
          <w:numId w:val="2"/>
        </w:numPr>
        <w:spacing w:after="40" w:before="40"/>
      </w:pPr>
      <w:r>
        <w:rPr>
          <w:rFonts w:ascii="Arial" w:cs="Arial" w:eastAsia="Arial" w:hAnsi="Arial"/>
          <w:sz w:val="22"/>
          <w:szCs w:val="22"/>
        </w:rPr>
        <w:t xml:space="preserve">Construction &amp; Trades: CIS (Construction Industry Scheme) monthly returns, subbies management, retention tracking</w:t>
      </w:r>
    </w:p>
    <w:p>
      <w:pPr>
        <w:spacing w:after="80" w:before="80"/>
      </w:pPr>
      <w:r>
        <w:t xml:space="preserve"/>
      </w:r>
    </w:p>
    <w:p>
      <w:pPr>
        <w:pStyle w:val="Heading2"/>
        <w:spacing w:after="120" w:before="320"/>
      </w:pPr>
      <w:r>
        <w:rPr>
          <w:rFonts w:ascii="Arial" w:cs="Arial" w:eastAsia="Arial" w:hAnsi="Arial"/>
          <w:b/>
          <w:bCs/>
          <w:color w:val="1E3A5F"/>
          <w:sz w:val="28"/>
          <w:szCs w:val="28"/>
        </w:rPr>
        <w:t xml:space="preserve">PHASE 3: Global Market Entry (Months 9-18)</w:t>
      </w:r>
    </w:p>
    <w:p>
      <w:pPr>
        <w:pStyle w:val="Heading3"/>
        <w:spacing w:after="80" w:before="240"/>
      </w:pPr>
      <w:r>
        <w:rPr>
          <w:rFonts w:ascii="Arial" w:cs="Arial" w:eastAsia="Arial" w:hAnsi="Arial"/>
          <w:b/>
          <w:bCs/>
          <w:color w:val="0B1F3A"/>
          <w:sz w:val="24"/>
          <w:szCs w:val="24"/>
        </w:rPr>
        <w:t xml:space="preserve">Objective: Launch Nexus One as a genuine global platform that any company in any country can deploy with full local compliance.</w:t>
      </w:r>
    </w:p>
    <w:p>
      <w:pPr>
        <w:spacing w:after="80" w:before="80"/>
      </w:pPr>
      <w:r>
        <w:t xml:space="preserve"/>
      </w:r>
    </w:p>
    <w:p>
      <w:pPr>
        <w:spacing w:after="100" w:before="60"/>
      </w:pPr>
      <w:r>
        <w:rPr>
          <w:rFonts w:ascii="Arial" w:cs="Arial" w:eastAsia="Arial" w:hAnsi="Arial"/>
          <w:b/>
          <w:bCs/>
          <w:sz w:val="22"/>
          <w:szCs w:val="22"/>
        </w:rPr>
        <w:t xml:space="preserve">3.1 United States Full Launch</w:t>
      </w:r>
    </w:p>
    <w:p>
      <w:pPr>
        <w:pStyle w:val="ListParagraph"/>
        <w:numPr>
          <w:ilvl w:val="0"/>
          <w:numId w:val="2"/>
        </w:numPr>
        <w:spacing w:after="40" w:before="40"/>
      </w:pPr>
      <w:r>
        <w:rPr>
          <w:rFonts w:ascii="Arial" w:cs="Arial" w:eastAsia="Arial" w:hAnsi="Arial"/>
          <w:sz w:val="22"/>
          <w:szCs w:val="22"/>
        </w:rPr>
        <w:t xml:space="preserve">Federal payroll: FICA, FUTA, W-2, W-4, Form 941 generation and IRS e-filing</w:t>
      </w:r>
    </w:p>
    <w:p>
      <w:pPr>
        <w:pStyle w:val="ListParagraph"/>
        <w:numPr>
          <w:ilvl w:val="0"/>
          <w:numId w:val="2"/>
        </w:numPr>
        <w:spacing w:after="40" w:before="40"/>
      </w:pPr>
      <w:r>
        <w:rPr>
          <w:rFonts w:ascii="Arial" w:cs="Arial" w:eastAsia="Arial" w:hAnsi="Arial"/>
          <w:sz w:val="22"/>
          <w:szCs w:val="22"/>
        </w:rPr>
        <w:t xml:space="preserve">State-by-state income tax and SUI (State Unemployment Insurance) engine — all 50 states</w:t>
      </w:r>
    </w:p>
    <w:p>
      <w:pPr>
        <w:pStyle w:val="ListParagraph"/>
        <w:numPr>
          <w:ilvl w:val="0"/>
          <w:numId w:val="2"/>
        </w:numPr>
        <w:spacing w:after="40" w:before="40"/>
      </w:pPr>
      <w:r>
        <w:rPr>
          <w:rFonts w:ascii="Arial" w:cs="Arial" w:eastAsia="Arial" w:hAnsi="Arial"/>
          <w:sz w:val="22"/>
          <w:szCs w:val="22"/>
        </w:rPr>
        <w:t xml:space="preserve">FLSA overtime rules, FMLA leave tracking, ADA accommodation register</w:t>
      </w:r>
    </w:p>
    <w:p>
      <w:pPr>
        <w:pStyle w:val="ListParagraph"/>
        <w:numPr>
          <w:ilvl w:val="0"/>
          <w:numId w:val="2"/>
        </w:numPr>
        <w:spacing w:after="40" w:before="40"/>
      </w:pPr>
      <w:r>
        <w:rPr>
          <w:rFonts w:ascii="Arial" w:cs="Arial" w:eastAsia="Arial" w:hAnsi="Arial"/>
          <w:sz w:val="22"/>
          <w:szCs w:val="22"/>
        </w:rPr>
        <w:t xml:space="preserve">US GAAP chart of accounts with ASC 606 revenue recognition</w:t>
      </w:r>
    </w:p>
    <w:p>
      <w:pPr>
        <w:pStyle w:val="ListParagraph"/>
        <w:numPr>
          <w:ilvl w:val="0"/>
          <w:numId w:val="2"/>
        </w:numPr>
        <w:spacing w:after="40" w:before="40"/>
      </w:pPr>
      <w:r>
        <w:rPr>
          <w:rFonts w:ascii="Arial" w:cs="Arial" w:eastAsia="Arial" w:hAnsi="Arial"/>
          <w:sz w:val="22"/>
          <w:szCs w:val="22"/>
        </w:rPr>
        <w:t xml:space="preserve">1099 contractor management</w:t>
      </w:r>
    </w:p>
    <w:p>
      <w:pPr>
        <w:pStyle w:val="ListParagraph"/>
        <w:numPr>
          <w:ilvl w:val="0"/>
          <w:numId w:val="2"/>
        </w:numPr>
        <w:spacing w:after="40" w:before="40"/>
      </w:pPr>
      <w:r>
        <w:rPr>
          <w:rFonts w:ascii="Arial" w:cs="Arial" w:eastAsia="Arial" w:hAnsi="Arial"/>
          <w:sz w:val="22"/>
          <w:szCs w:val="22"/>
        </w:rPr>
        <w:t xml:space="preserve">SOX Section 302/404 controls documentation for SEC-listed companies</w:t>
      </w:r>
    </w:p>
    <w:p>
      <w:pPr>
        <w:pStyle w:val="ListParagraph"/>
        <w:numPr>
          <w:ilvl w:val="0"/>
          <w:numId w:val="2"/>
        </w:numPr>
        <w:spacing w:after="40" w:before="40"/>
      </w:pPr>
      <w:r>
        <w:rPr>
          <w:rFonts w:ascii="Arial" w:cs="Arial" w:eastAsia="Arial" w:hAnsi="Arial"/>
          <w:sz w:val="22"/>
          <w:szCs w:val="22"/>
        </w:rPr>
        <w:t xml:space="preserve">HIPAA compliance module for healthcare employers</w:t>
      </w:r>
    </w:p>
    <w:p>
      <w:pPr>
        <w:spacing w:after="80" w:before="80"/>
      </w:pPr>
      <w:r>
        <w:t xml:space="preserve"/>
      </w:r>
    </w:p>
    <w:p>
      <w:pPr>
        <w:spacing w:after="100" w:before="60"/>
      </w:pPr>
      <w:r>
        <w:rPr>
          <w:rFonts w:ascii="Arial" w:cs="Arial" w:eastAsia="Arial" w:hAnsi="Arial"/>
          <w:b/>
          <w:bCs/>
          <w:sz w:val="22"/>
          <w:szCs w:val="22"/>
        </w:rPr>
        <w:t xml:space="preserve">3.2 European Union Full Launch</w:t>
      </w:r>
    </w:p>
    <w:p>
      <w:pPr>
        <w:pStyle w:val="ListParagraph"/>
        <w:numPr>
          <w:ilvl w:val="0"/>
          <w:numId w:val="2"/>
        </w:numPr>
        <w:spacing w:after="40" w:before="40"/>
      </w:pPr>
      <w:r>
        <w:rPr>
          <w:rFonts w:ascii="Arial" w:cs="Arial" w:eastAsia="Arial" w:hAnsi="Arial"/>
          <w:sz w:val="22"/>
          <w:szCs w:val="22"/>
        </w:rPr>
        <w:t xml:space="preserve">EU-wide GDPR compliance with SCCs (Standard Contractual Clauses) for data transfers</w:t>
      </w:r>
    </w:p>
    <w:p>
      <w:pPr>
        <w:pStyle w:val="ListParagraph"/>
        <w:numPr>
          <w:ilvl w:val="0"/>
          <w:numId w:val="2"/>
        </w:numPr>
        <w:spacing w:after="40" w:before="40"/>
      </w:pPr>
      <w:r>
        <w:rPr>
          <w:rFonts w:ascii="Arial" w:cs="Arial" w:eastAsia="Arial" w:hAnsi="Arial"/>
          <w:sz w:val="22"/>
          <w:szCs w:val="22"/>
        </w:rPr>
        <w:t xml:space="preserve">Works Council consultation workflow templates (Germany, France, Netherlands, Spain)</w:t>
      </w:r>
    </w:p>
    <w:p>
      <w:pPr>
        <w:pStyle w:val="ListParagraph"/>
        <w:numPr>
          <w:ilvl w:val="0"/>
          <w:numId w:val="2"/>
        </w:numPr>
        <w:spacing w:after="40" w:before="40"/>
      </w:pPr>
      <w:r>
        <w:rPr>
          <w:rFonts w:ascii="Arial" w:cs="Arial" w:eastAsia="Arial" w:hAnsi="Arial"/>
          <w:sz w:val="22"/>
          <w:szCs w:val="22"/>
        </w:rPr>
        <w:t xml:space="preserve">Country-by-country payroll: Germany (Lohnsteuer, social security), France (cotisations sociales, DSN), Netherlands (loonheffing), etc.</w:t>
      </w:r>
    </w:p>
    <w:p>
      <w:pPr>
        <w:pStyle w:val="ListParagraph"/>
        <w:numPr>
          <w:ilvl w:val="0"/>
          <w:numId w:val="2"/>
        </w:numPr>
        <w:spacing w:after="40" w:before="40"/>
      </w:pPr>
      <w:r>
        <w:rPr>
          <w:rFonts w:ascii="Arial" w:cs="Arial" w:eastAsia="Arial" w:hAnsi="Arial"/>
          <w:sz w:val="22"/>
          <w:szCs w:val="22"/>
        </w:rPr>
        <w:t xml:space="preserve">DORA (Digital Operational Resilience Act) compliance module for EU financial services firms</w:t>
      </w:r>
    </w:p>
    <w:p>
      <w:pPr>
        <w:pStyle w:val="ListParagraph"/>
        <w:numPr>
          <w:ilvl w:val="0"/>
          <w:numId w:val="2"/>
        </w:numPr>
        <w:spacing w:after="40" w:before="40"/>
      </w:pPr>
      <w:r>
        <w:rPr>
          <w:rFonts w:ascii="Arial" w:cs="Arial" w:eastAsia="Arial" w:hAnsi="Arial"/>
          <w:sz w:val="22"/>
          <w:szCs w:val="22"/>
        </w:rPr>
        <w:t xml:space="preserve">EU Whistleblower Protection Directive 2019/1937 implementation</w:t>
      </w:r>
    </w:p>
    <w:p>
      <w:pPr>
        <w:spacing w:after="80" w:before="80"/>
      </w:pPr>
      <w:r>
        <w:t xml:space="preserve"/>
      </w:r>
    </w:p>
    <w:p>
      <w:pPr>
        <w:spacing w:after="100" w:before="60"/>
      </w:pPr>
      <w:r>
        <w:rPr>
          <w:rFonts w:ascii="Arial" w:cs="Arial" w:eastAsia="Arial" w:hAnsi="Arial"/>
          <w:b/>
          <w:bCs/>
          <w:sz w:val="22"/>
          <w:szCs w:val="22"/>
        </w:rPr>
        <w:t xml:space="preserve">3.3 African Markets (Nigeria, South Africa, Kenya, Ghana)</w:t>
      </w:r>
    </w:p>
    <w:p>
      <w:pPr>
        <w:pStyle w:val="ListParagraph"/>
        <w:numPr>
          <w:ilvl w:val="0"/>
          <w:numId w:val="2"/>
        </w:numPr>
        <w:spacing w:after="40" w:before="40"/>
      </w:pPr>
      <w:r>
        <w:rPr>
          <w:rFonts w:ascii="Arial" w:cs="Arial" w:eastAsia="Arial" w:hAnsi="Arial"/>
          <w:sz w:val="22"/>
          <w:szCs w:val="22"/>
        </w:rPr>
        <w:t xml:space="preserve">Nigeria: PAYE by state, Pension (PenCom), ITF, NHF, NSITF, FIRS — critical given Realtouch's Nigerian connections</w:t>
      </w:r>
    </w:p>
    <w:p>
      <w:pPr>
        <w:pStyle w:val="ListParagraph"/>
        <w:numPr>
          <w:ilvl w:val="0"/>
          <w:numId w:val="2"/>
        </w:numPr>
        <w:spacing w:after="40" w:before="40"/>
      </w:pPr>
      <w:r>
        <w:rPr>
          <w:rFonts w:ascii="Arial" w:cs="Arial" w:eastAsia="Arial" w:hAnsi="Arial"/>
          <w:sz w:val="22"/>
          <w:szCs w:val="22"/>
        </w:rPr>
        <w:t xml:space="preserve">South Africa: SARS PAYE, UIF, SDL, ETI, EMP201/501, Employment Equity reporting, BBBEE scorecard tracking</w:t>
      </w:r>
    </w:p>
    <w:p>
      <w:pPr>
        <w:pStyle w:val="ListParagraph"/>
        <w:numPr>
          <w:ilvl w:val="0"/>
          <w:numId w:val="2"/>
        </w:numPr>
        <w:spacing w:after="40" w:before="40"/>
      </w:pPr>
      <w:r>
        <w:rPr>
          <w:rFonts w:ascii="Arial" w:cs="Arial" w:eastAsia="Arial" w:hAnsi="Arial"/>
          <w:sz w:val="22"/>
          <w:szCs w:val="22"/>
        </w:rPr>
        <w:t xml:space="preserve">Kenya: NSSF, NHIF, PAYE (KRA), SHA (Social Health Authority 2024)</w:t>
      </w:r>
    </w:p>
    <w:p>
      <w:pPr>
        <w:pStyle w:val="ListParagraph"/>
        <w:numPr>
          <w:ilvl w:val="0"/>
          <w:numId w:val="2"/>
        </w:numPr>
        <w:spacing w:after="40" w:before="40"/>
      </w:pPr>
      <w:r>
        <w:rPr>
          <w:rFonts w:ascii="Arial" w:cs="Arial" w:eastAsia="Arial" w:hAnsi="Arial"/>
          <w:sz w:val="22"/>
          <w:szCs w:val="22"/>
        </w:rPr>
        <w:t xml:space="preserve">Ghana: SSNIT, PAYE (GRA), tier 1/2/3 pension</w:t>
      </w:r>
    </w:p>
    <w:p>
      <w:pPr>
        <w:pStyle w:val="ListParagraph"/>
        <w:numPr>
          <w:ilvl w:val="0"/>
          <w:numId w:val="2"/>
        </w:numPr>
        <w:spacing w:after="40" w:before="40"/>
      </w:pPr>
      <w:r>
        <w:rPr>
          <w:rFonts w:ascii="Arial" w:cs="Arial" w:eastAsia="Arial" w:hAnsi="Arial"/>
          <w:sz w:val="22"/>
          <w:szCs w:val="22"/>
        </w:rPr>
        <w:t xml:space="preserve">Pan-African compliance positioning as the first enterprise system to fully serve African businesses — direct market gap</w:t>
      </w:r>
    </w:p>
    <w:p>
      <w:pPr>
        <w:spacing w:after="80" w:before="80"/>
      </w:pPr>
      <w:r>
        <w:t xml:space="preserve"/>
      </w:r>
    </w:p>
    <w:p>
      <w:pPr>
        <w:spacing w:after="100" w:before="60"/>
      </w:pPr>
      <w:r>
        <w:rPr>
          <w:rFonts w:ascii="Arial" w:cs="Arial" w:eastAsia="Arial" w:hAnsi="Arial"/>
          <w:b/>
          <w:bCs/>
          <w:sz w:val="22"/>
          <w:szCs w:val="22"/>
        </w:rPr>
        <w:t xml:space="preserve">3.4 Middle East &amp; Gulf</w:t>
      </w:r>
    </w:p>
    <w:p>
      <w:pPr>
        <w:pStyle w:val="ListParagraph"/>
        <w:numPr>
          <w:ilvl w:val="0"/>
          <w:numId w:val="2"/>
        </w:numPr>
        <w:spacing w:after="40" w:before="40"/>
      </w:pPr>
      <w:r>
        <w:rPr>
          <w:rFonts w:ascii="Arial" w:cs="Arial" w:eastAsia="Arial" w:hAnsi="Arial"/>
          <w:sz w:val="22"/>
          <w:szCs w:val="22"/>
        </w:rPr>
        <w:t xml:space="preserve">UAE: WPS (Wage Protection System) SIF file generation, EOSB (End of Service Benefit) calculation, DIFC/ADGM labour law</w:t>
      </w:r>
    </w:p>
    <w:p>
      <w:pPr>
        <w:pStyle w:val="ListParagraph"/>
        <w:numPr>
          <w:ilvl w:val="0"/>
          <w:numId w:val="2"/>
        </w:numPr>
        <w:spacing w:after="40" w:before="40"/>
      </w:pPr>
      <w:r>
        <w:rPr>
          <w:rFonts w:ascii="Arial" w:cs="Arial" w:eastAsia="Arial" w:hAnsi="Arial"/>
          <w:sz w:val="22"/>
          <w:szCs w:val="22"/>
        </w:rPr>
        <w:t xml:space="preserve">Saudi Arabia: GOSI contributions, Nitaqat compliance (Saudisation), VAT (15%), Muqeem work permit tracking</w:t>
      </w:r>
    </w:p>
    <w:p>
      <w:pPr>
        <w:pStyle w:val="ListParagraph"/>
        <w:numPr>
          <w:ilvl w:val="0"/>
          <w:numId w:val="2"/>
        </w:numPr>
        <w:spacing w:after="40" w:before="40"/>
      </w:pPr>
      <w:r>
        <w:rPr>
          <w:rFonts w:ascii="Arial" w:cs="Arial" w:eastAsia="Arial" w:hAnsi="Arial"/>
          <w:sz w:val="22"/>
          <w:szCs w:val="22"/>
        </w:rPr>
        <w:t xml:space="preserve">Qatar, Bahrain, Kuwait, Oman: local labour law variations</w:t>
      </w:r>
    </w:p>
    <w:p>
      <w:pPr>
        <w:spacing w:after="80" w:before="80"/>
      </w:pPr>
      <w:r>
        <w:t xml:space="preserve"/>
      </w:r>
    </w:p>
    <w:p>
      <w:pPr>
        <w:pStyle w:val="Heading2"/>
        <w:spacing w:after="120" w:before="320"/>
      </w:pPr>
      <w:r>
        <w:rPr>
          <w:rFonts w:ascii="Arial" w:cs="Arial" w:eastAsia="Arial" w:hAnsi="Arial"/>
          <w:b/>
          <w:bCs/>
          <w:color w:val="1E3A5F"/>
          <w:sz w:val="28"/>
          <w:szCs w:val="28"/>
        </w:rPr>
        <w:t xml:space="preserve">PHASE 4: AI Autonomy — The Ultimate Differentiator (Months 12-24)</w:t>
      </w:r>
    </w:p>
    <w:p>
      <w:pPr>
        <w:pStyle w:val="Heading3"/>
        <w:spacing w:after="80" w:before="240"/>
      </w:pPr>
      <w:r>
        <w:rPr>
          <w:rFonts w:ascii="Arial" w:cs="Arial" w:eastAsia="Arial" w:hAnsi="Arial"/>
          <w:b/>
          <w:bCs/>
          <w:color w:val="0B1F3A"/>
          <w:sz w:val="24"/>
          <w:szCs w:val="24"/>
        </w:rPr>
        <w:t xml:space="preserve">Objective: Build the world's first truly autonomous AI CFO, AI COO, and AI HR Director — systems that don't just assist but actually run these functions.</w:t>
      </w:r>
    </w:p>
    <w:p>
      <w:pPr>
        <w:spacing w:after="80" w:before="80"/>
      </w:pPr>
      <w:r>
        <w:t xml:space="preserve"/>
      </w:r>
    </w:p>
    <w:p>
      <w:pPr>
        <w:spacing w:after="100" w:before="60"/>
      </w:pPr>
      <w:r>
        <w:rPr>
          <w:rFonts w:ascii="Arial" w:cs="Arial" w:eastAsia="Arial" w:hAnsi="Arial"/>
          <w:b/>
          <w:bCs/>
          <w:sz w:val="22"/>
          <w:szCs w:val="22"/>
        </w:rPr>
        <w:t xml:space="preserve">4.1 Autonomous AI CFO Capabilities</w:t>
      </w:r>
    </w:p>
    <w:p>
      <w:pPr>
        <w:pStyle w:val="ListParagraph"/>
        <w:numPr>
          <w:ilvl w:val="0"/>
          <w:numId w:val="2"/>
        </w:numPr>
        <w:spacing w:after="40" w:before="40"/>
      </w:pPr>
      <w:r>
        <w:rPr>
          <w:rFonts w:ascii="Arial" w:cs="Arial" w:eastAsia="Arial" w:hAnsi="Arial"/>
          <w:sz w:val="22"/>
          <w:szCs w:val="22"/>
        </w:rPr>
        <w:t xml:space="preserve">Month-end close automation: AI executes the closing checklist, posts accruals, reconciles accounts, and generates management accounts — in minutes not days</w:t>
      </w:r>
    </w:p>
    <w:p>
      <w:pPr>
        <w:pStyle w:val="ListParagraph"/>
        <w:numPr>
          <w:ilvl w:val="0"/>
          <w:numId w:val="2"/>
        </w:numPr>
        <w:spacing w:after="40" w:before="40"/>
      </w:pPr>
      <w:r>
        <w:rPr>
          <w:rFonts w:ascii="Arial" w:cs="Arial" w:eastAsia="Arial" w:hAnsi="Arial"/>
          <w:sz w:val="22"/>
          <w:szCs w:val="22"/>
        </w:rPr>
        <w:t xml:space="preserve">Real-time financial health score with board-ready narrative — updated every 15 minutes from live transactions</w:t>
      </w:r>
    </w:p>
    <w:p>
      <w:pPr>
        <w:pStyle w:val="ListParagraph"/>
        <w:numPr>
          <w:ilvl w:val="0"/>
          <w:numId w:val="2"/>
        </w:numPr>
        <w:spacing w:after="40" w:before="40"/>
      </w:pPr>
      <w:r>
        <w:rPr>
          <w:rFonts w:ascii="Arial" w:cs="Arial" w:eastAsia="Arial" w:hAnsi="Arial"/>
          <w:sz w:val="22"/>
          <w:szCs w:val="22"/>
        </w:rPr>
        <w:t xml:space="preserve">Predictive cash crisis alerts: 'At current burn rate you will reach £0 in 47 days — here are 3 recommended actions'</w:t>
      </w:r>
    </w:p>
    <w:p>
      <w:pPr>
        <w:pStyle w:val="ListParagraph"/>
        <w:numPr>
          <w:ilvl w:val="0"/>
          <w:numId w:val="2"/>
        </w:numPr>
        <w:spacing w:after="40" w:before="40"/>
      </w:pPr>
      <w:r>
        <w:rPr>
          <w:rFonts w:ascii="Arial" w:cs="Arial" w:eastAsia="Arial" w:hAnsi="Arial"/>
          <w:sz w:val="22"/>
          <w:szCs w:val="22"/>
        </w:rPr>
        <w:t xml:space="preserve">Grant compliance monitoring: continuous tracking of all grant conditions, spend rules, reporting deadlines</w:t>
      </w:r>
    </w:p>
    <w:p>
      <w:pPr>
        <w:pStyle w:val="ListParagraph"/>
        <w:numPr>
          <w:ilvl w:val="0"/>
          <w:numId w:val="2"/>
        </w:numPr>
        <w:spacing w:after="40" w:before="40"/>
      </w:pPr>
      <w:r>
        <w:rPr>
          <w:rFonts w:ascii="Arial" w:cs="Arial" w:eastAsia="Arial" w:hAnsi="Arial"/>
          <w:sz w:val="22"/>
          <w:szCs w:val="22"/>
        </w:rPr>
        <w:t xml:space="preserve">AI-generated statutory accounts: Companies House ready, auditor-ready, with full note disclosures</w:t>
      </w:r>
    </w:p>
    <w:p>
      <w:pPr>
        <w:pStyle w:val="ListParagraph"/>
        <w:numPr>
          <w:ilvl w:val="0"/>
          <w:numId w:val="2"/>
        </w:numPr>
        <w:spacing w:after="40" w:before="40"/>
      </w:pPr>
      <w:r>
        <w:rPr>
          <w:rFonts w:ascii="Arial" w:cs="Arial" w:eastAsia="Arial" w:hAnsi="Arial"/>
          <w:sz w:val="22"/>
          <w:szCs w:val="22"/>
        </w:rPr>
        <w:t xml:space="preserve">Investor relations pack generator: pitch deck financial slides, data room documents, due diligence Q&amp;A</w:t>
      </w:r>
    </w:p>
    <w:p>
      <w:pPr>
        <w:spacing w:after="80" w:before="80"/>
      </w:pPr>
      <w:r>
        <w:t xml:space="preserve"/>
      </w:r>
    </w:p>
    <w:p>
      <w:pPr>
        <w:spacing w:after="100" w:before="60"/>
      </w:pPr>
      <w:r>
        <w:rPr>
          <w:rFonts w:ascii="Arial" w:cs="Arial" w:eastAsia="Arial" w:hAnsi="Arial"/>
          <w:b/>
          <w:bCs/>
          <w:sz w:val="22"/>
          <w:szCs w:val="22"/>
        </w:rPr>
        <w:t xml:space="preserve">4.2 Autonomous AI HR Director Capabilities</w:t>
      </w:r>
    </w:p>
    <w:p>
      <w:pPr>
        <w:pStyle w:val="ListParagraph"/>
        <w:numPr>
          <w:ilvl w:val="0"/>
          <w:numId w:val="2"/>
        </w:numPr>
        <w:spacing w:after="40" w:before="40"/>
      </w:pPr>
      <w:r>
        <w:rPr>
          <w:rFonts w:ascii="Arial" w:cs="Arial" w:eastAsia="Arial" w:hAnsi="Arial"/>
          <w:sz w:val="22"/>
          <w:szCs w:val="22"/>
        </w:rPr>
        <w:t xml:space="preserve">Predictive turnover analysis: identifies employees at risk of leaving 90 days in advance with intervention recommendations</w:t>
      </w:r>
    </w:p>
    <w:p>
      <w:pPr>
        <w:pStyle w:val="ListParagraph"/>
        <w:numPr>
          <w:ilvl w:val="0"/>
          <w:numId w:val="2"/>
        </w:numPr>
        <w:spacing w:after="40" w:before="40"/>
      </w:pPr>
      <w:r>
        <w:rPr>
          <w:rFonts w:ascii="Arial" w:cs="Arial" w:eastAsia="Arial" w:hAnsi="Arial"/>
          <w:sz w:val="22"/>
          <w:szCs w:val="22"/>
        </w:rPr>
        <w:t xml:space="preserve">Automated HR policy generator: using Claude to draft handbooks, policies, procedures tailored to the organisation's industry, size, and jurisdiction</w:t>
      </w:r>
    </w:p>
    <w:p>
      <w:pPr>
        <w:pStyle w:val="ListParagraph"/>
        <w:numPr>
          <w:ilvl w:val="0"/>
          <w:numId w:val="2"/>
        </w:numPr>
        <w:spacing w:after="40" w:before="40"/>
      </w:pPr>
      <w:r>
        <w:rPr>
          <w:rFonts w:ascii="Arial" w:cs="Arial" w:eastAsia="Arial" w:hAnsi="Arial"/>
          <w:sz w:val="22"/>
          <w:szCs w:val="22"/>
        </w:rPr>
        <w:t xml:space="preserve">AI-driven pay equity analysis: quarterly equal pay audits with gender, ethnicity, and age intersectionality</w:t>
      </w:r>
    </w:p>
    <w:p>
      <w:pPr>
        <w:pStyle w:val="ListParagraph"/>
        <w:numPr>
          <w:ilvl w:val="0"/>
          <w:numId w:val="2"/>
        </w:numPr>
        <w:spacing w:after="40" w:before="40"/>
      </w:pPr>
      <w:r>
        <w:rPr>
          <w:rFonts w:ascii="Arial" w:cs="Arial" w:eastAsia="Arial" w:hAnsi="Arial"/>
          <w:sz w:val="22"/>
          <w:szCs w:val="22"/>
        </w:rPr>
        <w:t xml:space="preserve">Workforce planning engine: headcount optimisation, succession planning, skills gap analysis</w:t>
      </w:r>
    </w:p>
    <w:p>
      <w:pPr>
        <w:pStyle w:val="ListParagraph"/>
        <w:numPr>
          <w:ilvl w:val="0"/>
          <w:numId w:val="2"/>
        </w:numPr>
        <w:spacing w:after="40" w:before="40"/>
      </w:pPr>
      <w:r>
        <w:rPr>
          <w:rFonts w:ascii="Arial" w:cs="Arial" w:eastAsia="Arial" w:hAnsi="Arial"/>
          <w:sz w:val="22"/>
          <w:szCs w:val="22"/>
        </w:rPr>
        <w:t xml:space="preserve">Employee sentiment analysis from survey data with AI-generated action plans</w:t>
      </w:r>
    </w:p>
    <w:p>
      <w:pPr>
        <w:pStyle w:val="ListParagraph"/>
        <w:numPr>
          <w:ilvl w:val="0"/>
          <w:numId w:val="2"/>
        </w:numPr>
        <w:spacing w:after="40" w:before="40"/>
      </w:pPr>
      <w:r>
        <w:rPr>
          <w:rFonts w:ascii="Arial" w:cs="Arial" w:eastAsia="Arial" w:hAnsi="Arial"/>
          <w:sz w:val="22"/>
          <w:szCs w:val="22"/>
        </w:rPr>
        <w:t xml:space="preserve">Automated compliance calendar: every HR, payroll, and legal deadline populated and tracked for every jurisdiction the company operates in</w:t>
      </w:r>
    </w:p>
    <w:p>
      <w:pPr>
        <w:spacing w:after="80" w:before="80"/>
      </w:pPr>
      <w:r>
        <w:t xml:space="preserve"/>
      </w:r>
    </w:p>
    <w:p>
      <w:pPr>
        <w:spacing w:after="100" w:before="60"/>
      </w:pPr>
      <w:r>
        <w:rPr>
          <w:rFonts w:ascii="Arial" w:cs="Arial" w:eastAsia="Arial" w:hAnsi="Arial"/>
          <w:b/>
          <w:bCs/>
          <w:sz w:val="22"/>
          <w:szCs w:val="22"/>
        </w:rPr>
        <w:t xml:space="preserve">4.3 Autonomous AI COO Capabilities</w:t>
      </w:r>
    </w:p>
    <w:p>
      <w:pPr>
        <w:pStyle w:val="ListParagraph"/>
        <w:numPr>
          <w:ilvl w:val="0"/>
          <w:numId w:val="2"/>
        </w:numPr>
        <w:spacing w:after="40" w:before="40"/>
      </w:pPr>
      <w:r>
        <w:rPr>
          <w:rFonts w:ascii="Arial" w:cs="Arial" w:eastAsia="Arial" w:hAnsi="Arial"/>
          <w:sz w:val="22"/>
          <w:szCs w:val="22"/>
        </w:rPr>
        <w:t xml:space="preserve">Operational KPI monitoring with automatic anomaly detection and root cause analysis</w:t>
      </w:r>
    </w:p>
    <w:p>
      <w:pPr>
        <w:pStyle w:val="ListParagraph"/>
        <w:numPr>
          <w:ilvl w:val="0"/>
          <w:numId w:val="2"/>
        </w:numPr>
        <w:spacing w:after="40" w:before="40"/>
      </w:pPr>
      <w:r>
        <w:rPr>
          <w:rFonts w:ascii="Arial" w:cs="Arial" w:eastAsia="Arial" w:hAnsi="Arial"/>
          <w:sz w:val="22"/>
          <w:szCs w:val="22"/>
        </w:rPr>
        <w:t xml:space="preserve">Supplier and vendor risk management with AI contract review</w:t>
      </w:r>
    </w:p>
    <w:p>
      <w:pPr>
        <w:pStyle w:val="ListParagraph"/>
        <w:numPr>
          <w:ilvl w:val="0"/>
          <w:numId w:val="2"/>
        </w:numPr>
        <w:spacing w:after="40" w:before="40"/>
      </w:pPr>
      <w:r>
        <w:rPr>
          <w:rFonts w:ascii="Arial" w:cs="Arial" w:eastAsia="Arial" w:hAnsi="Arial"/>
          <w:sz w:val="22"/>
          <w:szCs w:val="22"/>
        </w:rPr>
        <w:t xml:space="preserve">Project portfolio management with AI resource allocation recommendations</w:t>
      </w:r>
    </w:p>
    <w:p>
      <w:pPr>
        <w:pStyle w:val="ListParagraph"/>
        <w:numPr>
          <w:ilvl w:val="0"/>
          <w:numId w:val="2"/>
        </w:numPr>
        <w:spacing w:after="40" w:before="40"/>
      </w:pPr>
      <w:r>
        <w:rPr>
          <w:rFonts w:ascii="Arial" w:cs="Arial" w:eastAsia="Arial" w:hAnsi="Arial"/>
          <w:sz w:val="22"/>
          <w:szCs w:val="22"/>
        </w:rPr>
        <w:t xml:space="preserve">OKR (Objectives and Key Results) framework with AI-generated strategic insights</w:t>
      </w:r>
    </w:p>
    <w:p>
      <w:pPr>
        <w:spacing w:after="80" w:before="80"/>
      </w:pPr>
      <w:r>
        <w:t xml:space="preserve"/>
      </w:r>
    </w:p>
    <w:p>
      <w:r>
        <w:br w:type="page"/>
      </w:r>
    </w:p>
    <w:p>
      <w:pPr>
        <w:pStyle w:val="Heading1"/>
        <w:spacing w:after="200" w:before="400"/>
      </w:pPr>
      <w:r>
        <w:rPr>
          <w:rFonts w:ascii="Arial" w:cs="Arial" w:eastAsia="Arial" w:hAnsi="Arial"/>
          <w:b/>
          <w:bCs/>
          <w:color w:val="0B1F3A"/>
          <w:sz w:val="36"/>
          <w:szCs w:val="36"/>
        </w:rPr>
        <w:t xml:space="preserve">5. TECHNICAL ARCHITECTURE FOR MARKET LEADERSHIP</w:t>
      </w:r>
    </w:p>
    <w:p>
      <w:pPr>
        <w:pBdr>
          <w:bottom w:val="single" w:color="C9A84C" w:sz="6" w:space="1"/>
        </w:pBdr>
        <w:spacing w:after="120" w:before="120"/>
      </w:pPr>
      <w:r>
        <w:t xml:space="preserve"/>
      </w:r>
    </w:p>
    <w:p>
      <w:pPr>
        <w:spacing w:after="100" w:before="60"/>
      </w:pPr>
      <w:r>
        <w:rPr>
          <w:rFonts w:ascii="Arial" w:cs="Arial" w:eastAsia="Arial" w:hAnsi="Arial"/>
          <w:sz w:val="22"/>
          <w:szCs w:val="22"/>
        </w:rPr>
        <w:t xml:space="preserve">This section defines the target architecture that must be built to support global enterprise clients, starting companies, and everything in between. The architecture must be: cloud-native, multi-tenant, API-first, AI-embedded, and infinitely scalable.</w:t>
      </w:r>
    </w:p>
    <w:p>
      <w:pPr>
        <w:spacing w:after="80" w:before="80"/>
      </w:pPr>
      <w:r>
        <w:t xml:space="preserve"/>
      </w:r>
    </w:p>
    <w:p>
      <w:pPr>
        <w:pStyle w:val="Heading2"/>
        <w:spacing w:after="120" w:before="320"/>
      </w:pPr>
      <w:r>
        <w:rPr>
          <w:rFonts w:ascii="Arial" w:cs="Arial" w:eastAsia="Arial" w:hAnsi="Arial"/>
          <w:b/>
          <w:bCs/>
          <w:color w:val="1E3A5F"/>
          <w:sz w:val="28"/>
          <w:szCs w:val="28"/>
        </w:rPr>
        <w:t xml:space="preserve">5.1 Core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Layer</w:t>
            </w:r>
          </w:p>
        </w:tc>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Technology</w:t>
            </w:r>
          </w:p>
        </w:tc>
        <w:tc>
          <w:tcPr>
            <w:tcW w:type="dxa" w:w="47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Next.js 14 + TypeScript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SSR for performance, accessibility, PWA for mobile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FastAPI (Python 3.11)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High-performance REST + GraphQL, async throughout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16 + Redis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ACID compliance, row-level security, real-time caching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Sonnet 4.6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FP&amp;A, document generation, compliance monitoring, insights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Background Jobs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Celery + Redis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Payroll processing, RTI submission, scheduled reports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S3 / Azure Blob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Payslips, contracts, compliance documents — encrypted at rest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Elasticsearch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Full-text search across all financial and HR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 + Twilio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Payslips, leave approvals, compliance alerts, 2FA SMS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Kubernetes on AWS EKS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Auto-scaling, zero-downtime deployments, disaster recovery</w:t>
            </w:r>
          </w:p>
        </w:tc>
      </w:tr>
    </w:tbl>
    <w:p>
      <w:pPr>
        <w:spacing w:after="80" w:before="80"/>
      </w:pPr>
      <w:r>
        <w:t xml:space="preserve"/>
      </w:r>
    </w:p>
    <w:p>
      <w:pPr>
        <w:pStyle w:val="Heading2"/>
        <w:spacing w:after="120" w:before="320"/>
      </w:pPr>
      <w:r>
        <w:rPr>
          <w:rFonts w:ascii="Arial" w:cs="Arial" w:eastAsia="Arial" w:hAnsi="Arial"/>
          <w:b/>
          <w:bCs/>
          <w:color w:val="1E3A5F"/>
          <w:sz w:val="28"/>
          <w:szCs w:val="28"/>
        </w:rPr>
        <w:t xml:space="preserve">5.2 Multi-Tenancy Architecture</w:t>
      </w:r>
    </w:p>
    <w:p>
      <w:pPr>
        <w:spacing w:after="100" w:before="60"/>
      </w:pPr>
      <w:r>
        <w:rPr>
          <w:rFonts w:ascii="Arial" w:cs="Arial" w:eastAsia="Arial" w:hAnsi="Arial"/>
          <w:sz w:val="22"/>
          <w:szCs w:val="22"/>
        </w:rPr>
        <w:t xml:space="preserve">Every enterprise customer must have complete data isolation. The recommended approach is a hybrid model:</w:t>
      </w:r>
    </w:p>
    <w:p>
      <w:pPr>
        <w:pStyle w:val="ListParagraph"/>
        <w:numPr>
          <w:ilvl w:val="0"/>
          <w:numId w:val="2"/>
        </w:numPr>
        <w:spacing w:after="40" w:before="40"/>
      </w:pPr>
      <w:r>
        <w:rPr>
          <w:rFonts w:ascii="Arial" w:cs="Arial" w:eastAsia="Arial" w:hAnsi="Arial"/>
          <w:sz w:val="22"/>
          <w:szCs w:val="22"/>
        </w:rPr>
        <w:t xml:space="preserve">Schema-per-tenant for SME/startup clients — lightweight, cost-efficient, easy onboarding</w:t>
      </w:r>
    </w:p>
    <w:p>
      <w:pPr>
        <w:pStyle w:val="ListParagraph"/>
        <w:numPr>
          <w:ilvl w:val="0"/>
          <w:numId w:val="2"/>
        </w:numPr>
        <w:spacing w:after="40" w:before="40"/>
      </w:pPr>
      <w:r>
        <w:rPr>
          <w:rFonts w:ascii="Arial" w:cs="Arial" w:eastAsia="Arial" w:hAnsi="Arial"/>
          <w:sz w:val="22"/>
          <w:szCs w:val="22"/>
        </w:rPr>
        <w:t xml:space="preserve">Database-per-tenant for enterprise clients — maximum isolation, meets HIPAA, SOX, and financial services data residency requirements</w:t>
      </w:r>
    </w:p>
    <w:p>
      <w:pPr>
        <w:pStyle w:val="ListParagraph"/>
        <w:numPr>
          <w:ilvl w:val="0"/>
          <w:numId w:val="2"/>
        </w:numPr>
        <w:spacing w:after="40" w:before="40"/>
      </w:pPr>
      <w:r>
        <w:rPr>
          <w:rFonts w:ascii="Arial" w:cs="Arial" w:eastAsia="Arial" w:hAnsi="Arial"/>
          <w:sz w:val="22"/>
          <w:szCs w:val="22"/>
        </w:rPr>
        <w:t xml:space="preserve">Tenant configuration engine: each tenant independently configures their country/jurisdiction, industry type, company size tier, and enabled modules</w:t>
      </w:r>
    </w:p>
    <w:p>
      <w:pPr>
        <w:pStyle w:val="ListParagraph"/>
        <w:numPr>
          <w:ilvl w:val="0"/>
          <w:numId w:val="2"/>
        </w:numPr>
        <w:spacing w:after="40" w:before="40"/>
      </w:pPr>
      <w:r>
        <w:rPr>
          <w:rFonts w:ascii="Arial" w:cs="Arial" w:eastAsia="Arial" w:hAnsi="Arial"/>
          <w:sz w:val="22"/>
          <w:szCs w:val="22"/>
        </w:rPr>
        <w:t xml:space="preserve">White-label capability: allow resellers and partners to brand Nexus One as their own product</w:t>
      </w:r>
    </w:p>
    <w:p>
      <w:pPr>
        <w:spacing w:after="80" w:before="80"/>
      </w:pPr>
      <w:r>
        <w:t xml:space="preserve"/>
      </w:r>
    </w:p>
    <w:p>
      <w:pPr>
        <w:pStyle w:val="Heading2"/>
        <w:spacing w:after="120" w:before="320"/>
      </w:pPr>
      <w:r>
        <w:rPr>
          <w:rFonts w:ascii="Arial" w:cs="Arial" w:eastAsia="Arial" w:hAnsi="Arial"/>
          <w:b/>
          <w:bCs/>
          <w:color w:val="1E3A5F"/>
          <w:sz w:val="28"/>
          <w:szCs w:val="28"/>
        </w:rPr>
        <w:t xml:space="preserve">5.3 Integration Ecosystem (API-First Strategy)</w:t>
      </w:r>
    </w:p>
    <w:p>
      <w:pPr>
        <w:spacing w:after="100" w:before="60"/>
      </w:pPr>
      <w:r>
        <w:rPr>
          <w:rFonts w:ascii="Arial" w:cs="Arial" w:eastAsia="Arial" w:hAnsi="Arial"/>
          <w:sz w:val="22"/>
          <w:szCs w:val="22"/>
        </w:rPr>
        <w:t xml:space="preserve">Nexus One must connect to the ecosystem companies already use. This is how SAP and Oracle win — lock-in through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Category</w:t>
            </w:r>
          </w:p>
        </w:tc>
        <w:tc>
          <w:tcPr>
            <w:tcW w:type="dxa" w:w="63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Integrations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Banking &amp; Open Finance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Plaid, TrueLayer, Open Banking (UK), Basiq (AU), Mono (Africa), Stripe, GoCardless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Tax &amp; Government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HMRC MTD, Companies House, IRS e-file, SARS eFiling, FIRS TaxPro, DWP RTI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QuickBooks, Xero, Sage, FreeAgent, Kashflow (migration + sync APIs)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Payroll Partners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BACS/Faster Payments, SEPA, ACH (US), SWIFT international payments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 &amp; Collaboration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Slack, Microsoft Teams, Google Workspace, BambooHR (migration), LinkedIn Jobs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&amp; Signing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DocuSign, Adobe Sign, HelloSign — automated contract execution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Identity &amp; Background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Yoti, Onfido (RTW digital checks), Disclosure Scotland, Access NI, First Advantage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Pension Providers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NEST, The People's Pension, Smart Pension, NOW: Pensions (UK); Vanguard, Fidelity (US)</w:t>
            </w:r>
          </w:p>
        </w:tc>
      </w:tr>
    </w:tbl>
    <w:p>
      <w:pPr>
        <w:spacing w:after="80" w:before="80"/>
      </w:pPr>
      <w:r>
        <w:t xml:space="preserve"/>
      </w:r>
    </w:p>
    <w:p>
      <w:r>
        <w:br w:type="page"/>
      </w:r>
    </w:p>
    <w:p>
      <w:pPr>
        <w:pStyle w:val="Heading1"/>
        <w:spacing w:after="200" w:before="400"/>
      </w:pPr>
      <w:r>
        <w:rPr>
          <w:rFonts w:ascii="Arial" w:cs="Arial" w:eastAsia="Arial" w:hAnsi="Arial"/>
          <w:b/>
          <w:bCs/>
          <w:color w:val="0B1F3A"/>
          <w:sz w:val="36"/>
          <w:szCs w:val="36"/>
        </w:rPr>
        <w:t xml:space="preserve">6. COMPETITIVE POSITIONING — WHERE NEXUS ONE WINS</w:t>
      </w:r>
    </w:p>
    <w:p>
      <w:pPr>
        <w:pBdr>
          <w:bottom w:val="single" w:color="C9A84C" w:sz="6" w:space="1"/>
        </w:pBdr>
        <w:spacing w:after="120" w:before="120"/>
      </w:pPr>
      <w:r>
        <w:t xml:space="preserve"/>
      </w:r>
    </w:p>
    <w:p>
      <w:pPr>
        <w:spacing w:after="100" w:before="60"/>
      </w:pPr>
      <w:r>
        <w:rPr>
          <w:rFonts w:ascii="Arial" w:cs="Arial" w:eastAsia="Arial" w:hAnsi="Arial"/>
          <w:sz w:val="22"/>
          <w:szCs w:val="22"/>
        </w:rPr>
        <w:t xml:space="preserve">After 40 years across every level of these professions, this is the most honest competitive analysis I can provide. Nexus One's competitive moat is not about matching SAP feature-for-feature. It is about being the first platform to make enterprise-grade AI intelligence genuinely accessible to every type of organisation.</w:t>
      </w:r>
    </w:p>
    <w:p>
      <w:pPr>
        <w:spacing w:after="80" w:before="80"/>
      </w:pPr>
      <w:r>
        <w:t xml:space="preserve"/>
      </w:r>
    </w:p>
    <w:p>
      <w:pPr>
        <w:pStyle w:val="Heading2"/>
        <w:spacing w:after="120" w:before="320"/>
      </w:pPr>
      <w:r>
        <w:rPr>
          <w:rFonts w:ascii="Arial" w:cs="Arial" w:eastAsia="Arial" w:hAnsi="Arial"/>
          <w:b/>
          <w:bCs/>
          <w:color w:val="1E3A5F"/>
          <w:sz w:val="28"/>
          <w:szCs w:val="28"/>
        </w:rPr>
        <w:t xml:space="preserve">6.1 The Competitive Landscape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440"/>
        <w:gridCol w:w="1440"/>
        <w:gridCol w:w="1800"/>
      </w:tblGrid>
      <w:tr>
        <w:tc>
          <w:tcPr>
            <w:tcW w:type="dxa" w:w="1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Platform</w:t>
            </w:r>
          </w:p>
        </w:tc>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Price/user/mo</w:t>
            </w:r>
          </w:p>
        </w:tc>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AI Depth</w:t>
            </w:r>
          </w:p>
        </w:tc>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Compliance</w:t>
            </w:r>
          </w:p>
        </w:tc>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SME Fit</w:t>
            </w:r>
          </w:p>
        </w:tc>
        <w:tc>
          <w:tcPr>
            <w:tcW w:type="dxa" w:w="1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Nexus One Advantage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S/4HANA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£200-£800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10x cheaper, same AI depth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Workday HCM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£100-£400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Accessible, unified, Africa-ready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Oracle Fusion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£150-£600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Poor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Full-stack at fraction of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BrightHR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£7-£15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UK only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HR + AI + Finance + UKVI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Employment Hero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£9-£20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AU/UK/NZ</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Deeper compliance, African markets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Xero + BrightHR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£25-£45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UK good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system instead of two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Odoo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£12-£35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AI layer, African compliance</w:t>
            </w:r>
          </w:p>
        </w:tc>
      </w:tr>
      <w:tr>
        <w:tc>
          <w:tcPr>
            <w:tcW w:type="dxa" w:w="1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r>
              <w:rPr>
                <w:rFonts w:ascii="Arial" w:cs="Arial" w:eastAsia="Arial" w:hAnsi="Arial"/>
                <w:b w:val="false"/>
                <w:bCs w:val="false"/>
                <w:color w:val="000000"/>
                <w:sz w:val="20"/>
                <w:szCs w:val="20"/>
              </w:rPr>
              <w:t xml:space="preserve">NEXUS ONE</w:t>
            </w:r>
          </w:p>
        </w:tc>
        <w:tc>
          <w:tcPr>
            <w:tcW w:type="dxa" w:w="144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val="false"/>
                <w:bCs w:val="false"/>
                <w:color w:val="000000"/>
                <w:sz w:val="20"/>
                <w:szCs w:val="20"/>
              </w:rPr>
              <w:t xml:space="preserve">£15-£150</w:t>
            </w:r>
          </w:p>
        </w:tc>
        <w:tc>
          <w:tcPr>
            <w:tcW w:type="dxa" w:w="1440"/>
            <w:tcBorders>
              <w:top w:val="single" w:color="CCCCCC" w:sz="1"/>
              <w:left w:val="single" w:color="CCCCCC" w:sz="1"/>
              <w:bottom w:val="single" w:color="CCCCCC" w:sz="1"/>
              <w:right w:val="single" w:color="CCCCCC" w:sz="1"/>
            </w:tcBorders>
            <w:shd w:fill="1E7E34"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HIGHEST</w:t>
            </w:r>
          </w:p>
        </w:tc>
        <w:tc>
          <w:tcPr>
            <w:tcW w:type="dxa" w:w="1440"/>
            <w:tcBorders>
              <w:top w:val="single" w:color="CCCCCC" w:sz="1"/>
              <w:left w:val="single" w:color="CCCCCC" w:sz="1"/>
              <w:bottom w:val="single" w:color="CCCCCC" w:sz="1"/>
              <w:right w:val="single" w:color="CCCCCC" w:sz="1"/>
            </w:tcBorders>
            <w:shd w:fill="1E7E34"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w:t>
            </w:r>
          </w:p>
        </w:tc>
        <w:tc>
          <w:tcPr>
            <w:tcW w:type="dxa" w:w="1440"/>
            <w:tcBorders>
              <w:top w:val="single" w:color="CCCCCC" w:sz="1"/>
              <w:left w:val="single" w:color="CCCCCC" w:sz="1"/>
              <w:bottom w:val="single" w:color="CCCCCC" w:sz="1"/>
              <w:right w:val="single" w:color="CCCCCC" w:sz="1"/>
            </w:tcBorders>
            <w:shd w:fill="1E7E34"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w:t>
            </w:r>
          </w:p>
        </w:tc>
        <w:tc>
          <w:tcPr>
            <w:tcW w:type="dxa" w:w="1800"/>
            <w:tcBorders>
              <w:top w:val="single" w:color="CCCCCC" w:sz="1"/>
              <w:left w:val="single" w:color="CCCCCC" w:sz="1"/>
              <w:bottom w:val="single" w:color="CCCCCC" w:sz="1"/>
              <w:right w:val="single" w:color="CCCCCC" w:sz="1"/>
            </w:tcBorders>
            <w:shd w:fill="1E7E34" w:val="clear"/>
            <w:tcMar>
              <w:top w:type="dxa" w:w="80"/>
              <w:left w:type="dxa" w:w="120"/>
              <w:bottom w:type="dxa" w:w="80"/>
              <w:right w:type="dxa" w:w="120"/>
            </w:tcMar>
          </w:tcPr>
          <w:p>
            <w:r>
              <w:rPr>
                <w:rFonts w:ascii="Arial" w:cs="Arial" w:eastAsia="Arial" w:hAnsi="Arial"/>
                <w:b w:val="false"/>
                <w:bCs w:val="false"/>
                <w:color w:val="000000"/>
                <w:sz w:val="20"/>
                <w:szCs w:val="20"/>
              </w:rPr>
              <w:t xml:space="preserve">AI CFO + COO + HR in one</w:t>
            </w:r>
          </w:p>
        </w:tc>
      </w:tr>
    </w:tbl>
    <w:p>
      <w:pPr>
        <w:spacing w:after="80" w:before="80"/>
        <w:ind w:left="720"/>
      </w:pPr>
      <w:r>
        <w:rPr>
          <w:rFonts w:ascii="Arial" w:cs="Arial" w:eastAsia="Arial" w:hAnsi="Arial"/>
          <w:i/>
          <w:iCs/>
          <w:color w:val="555555"/>
          <w:sz w:val="20"/>
          <w:szCs w:val="20"/>
        </w:rPr>
        <w:t xml:space="preserve">ℹ  *Compliance globally requires the full Phase 3 build described in Section 4.</w:t>
      </w:r>
    </w:p>
    <w:p>
      <w:pPr>
        <w:spacing w:after="80" w:before="80"/>
      </w:pPr>
      <w:r>
        <w:t xml:space="preserve"/>
      </w:r>
    </w:p>
    <w:p>
      <w:pPr>
        <w:pStyle w:val="Heading2"/>
        <w:spacing w:after="120" w:before="320"/>
      </w:pPr>
      <w:r>
        <w:rPr>
          <w:rFonts w:ascii="Arial" w:cs="Arial" w:eastAsia="Arial" w:hAnsi="Arial"/>
          <w:b/>
          <w:bCs/>
          <w:color w:val="1E3A5F"/>
          <w:sz w:val="28"/>
          <w:szCs w:val="28"/>
        </w:rPr>
        <w:t xml:space="preserve">6.2 Nexus One's Unique Competitive Advantages</w:t>
      </w:r>
    </w:p>
    <w:p>
      <w:pPr>
        <w:pStyle w:val="Heading3"/>
        <w:spacing w:after="80" w:before="240"/>
      </w:pPr>
      <w:r>
        <w:rPr>
          <w:rFonts w:ascii="Arial" w:cs="Arial" w:eastAsia="Arial" w:hAnsi="Arial"/>
          <w:b/>
          <w:bCs/>
          <w:color w:val="0B1F3A"/>
          <w:sz w:val="24"/>
          <w:szCs w:val="24"/>
        </w:rPr>
        <w:t xml:space="preserve">No other platform in the world does all of the following simultaneously:</w:t>
      </w:r>
    </w:p>
    <w:p>
      <w:pPr>
        <w:pStyle w:val="ListParagraph"/>
        <w:numPr>
          <w:ilvl w:val="0"/>
          <w:numId w:val="3"/>
        </w:numPr>
        <w:spacing w:after="40" w:before="40"/>
      </w:pPr>
      <w:r>
        <w:rPr>
          <w:rFonts w:ascii="Arial" w:cs="Arial" w:eastAsia="Arial" w:hAnsi="Arial"/>
          <w:sz w:val="22"/>
          <w:szCs w:val="22"/>
        </w:rPr>
        <w:t xml:space="preserve">Real Claude AI embedded in the operational workflow — not a chatbot add-on, but an AI that knows the company's live financial and HR data and acts as a genuine C-suite advisor</w:t>
      </w:r>
    </w:p>
    <w:p>
      <w:pPr>
        <w:pStyle w:val="ListParagraph"/>
        <w:numPr>
          <w:ilvl w:val="0"/>
          <w:numId w:val="3"/>
        </w:numPr>
        <w:spacing w:after="40" w:before="40"/>
      </w:pPr>
      <w:r>
        <w:rPr>
          <w:rFonts w:ascii="Arial" w:cs="Arial" w:eastAsia="Arial" w:hAnsi="Arial"/>
          <w:sz w:val="22"/>
          <w:szCs w:val="22"/>
        </w:rPr>
        <w:t xml:space="preserve">Full CFO + HR Director + COO functions unified in a single platform with a single data model — eliminating the Xero + BrightHR + Asana + compliance tool stack</w:t>
      </w:r>
    </w:p>
    <w:p>
      <w:pPr>
        <w:pStyle w:val="ListParagraph"/>
        <w:numPr>
          <w:ilvl w:val="0"/>
          <w:numId w:val="3"/>
        </w:numPr>
        <w:spacing w:after="40" w:before="40"/>
      </w:pPr>
      <w:r>
        <w:rPr>
          <w:rFonts w:ascii="Arial" w:cs="Arial" w:eastAsia="Arial" w:hAnsi="Arial"/>
          <w:sz w:val="22"/>
          <w:szCs w:val="22"/>
        </w:rPr>
        <w:t xml:space="preserve">UK UKVI Sponsorship Licence Management at this depth — no HR or finance platform in the market comes close</w:t>
      </w:r>
    </w:p>
    <w:p>
      <w:pPr>
        <w:pStyle w:val="ListParagraph"/>
        <w:numPr>
          <w:ilvl w:val="0"/>
          <w:numId w:val="3"/>
        </w:numPr>
        <w:spacing w:after="40" w:before="40"/>
      </w:pPr>
      <w:r>
        <w:rPr>
          <w:rFonts w:ascii="Arial" w:cs="Arial" w:eastAsia="Arial" w:hAnsi="Arial"/>
          <w:sz w:val="22"/>
          <w:szCs w:val="22"/>
        </w:rPr>
        <w:t xml:space="preserve">African market readiness — Nigeria, South Africa, Kenya — being built from day one, not as an afterthought</w:t>
      </w:r>
    </w:p>
    <w:p>
      <w:pPr>
        <w:pStyle w:val="ListParagraph"/>
        <w:numPr>
          <w:ilvl w:val="0"/>
          <w:numId w:val="3"/>
        </w:numPr>
        <w:spacing w:after="40" w:before="40"/>
      </w:pPr>
      <w:r>
        <w:rPr>
          <w:rFonts w:ascii="Arial" w:cs="Arial" w:eastAsia="Arial" w:hAnsi="Arial"/>
          <w:sz w:val="22"/>
          <w:szCs w:val="22"/>
        </w:rPr>
        <w:t xml:space="preserve">Charity/CIC/Social Enterprise specialisation with SORP accounting and grant management — a completely underserved market of 170,000+ UK charities alone</w:t>
      </w:r>
    </w:p>
    <w:p>
      <w:pPr>
        <w:pStyle w:val="ListParagraph"/>
        <w:numPr>
          <w:ilvl w:val="0"/>
          <w:numId w:val="3"/>
        </w:numPr>
        <w:spacing w:after="40" w:before="40"/>
      </w:pPr>
      <w:r>
        <w:rPr>
          <w:rFonts w:ascii="Arial" w:cs="Arial" w:eastAsia="Arial" w:hAnsi="Arial"/>
          <w:sz w:val="22"/>
          <w:szCs w:val="22"/>
        </w:rPr>
        <w:t xml:space="preserve">Startup to enterprise scalability — the same platform used from day one of a company can grow with it through IPO and beyond</w:t>
      </w:r>
    </w:p>
    <w:p>
      <w:pPr>
        <w:spacing w:after="80" w:before="80"/>
      </w:pPr>
      <w:r>
        <w:t xml:space="preserve"/>
      </w:r>
    </w:p>
    <w:p>
      <w:r>
        <w:br w:type="page"/>
      </w:r>
    </w:p>
    <w:p>
      <w:pPr>
        <w:pStyle w:val="Heading1"/>
        <w:spacing w:after="200" w:before="400"/>
      </w:pPr>
      <w:r>
        <w:rPr>
          <w:rFonts w:ascii="Arial" w:cs="Arial" w:eastAsia="Arial" w:hAnsi="Arial"/>
          <w:b/>
          <w:bCs/>
          <w:color w:val="0B1F3A"/>
          <w:sz w:val="36"/>
          <w:szCs w:val="36"/>
        </w:rPr>
        <w:t xml:space="preserve">7. COMMERCIALISATION &amp; GO-TO-MARKET STRATEGY</w:t>
      </w:r>
    </w:p>
    <w:p>
      <w:pPr>
        <w:pBdr>
          <w:bottom w:val="single" w:color="C9A84C" w:sz="6" w:space="1"/>
        </w:pBdr>
        <w:spacing w:after="120" w:before="120"/>
      </w:pPr>
      <w:r>
        <w:t xml:space="preserve"/>
      </w:r>
    </w:p>
    <w:p>
      <w:pPr>
        <w:spacing w:after="80" w:before="80"/>
      </w:pPr>
      <w:r>
        <w:t xml:space="preserve"/>
      </w:r>
    </w:p>
    <w:p>
      <w:pPr>
        <w:pStyle w:val="Heading2"/>
        <w:spacing w:after="120" w:before="320"/>
      </w:pPr>
      <w:r>
        <w:rPr>
          <w:rFonts w:ascii="Arial" w:cs="Arial" w:eastAsia="Arial" w:hAnsi="Arial"/>
          <w:b/>
          <w:bCs/>
          <w:color w:val="1E3A5F"/>
          <w:sz w:val="28"/>
          <w:szCs w:val="28"/>
        </w:rPr>
        <w:t xml:space="preserve">7.1 Pricing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4680"/>
      </w:tblGrid>
      <w:tr>
        <w:tc>
          <w:tcPr>
            <w:tcW w:type="dxa" w:w="18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Tier</w:t>
            </w:r>
          </w:p>
        </w:tc>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Price/month</w:t>
            </w:r>
          </w:p>
        </w:tc>
        <w:tc>
          <w:tcPr>
            <w:tcW w:type="dxa" w:w="1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Target</w:t>
            </w:r>
          </w:p>
        </w:tc>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Included Modules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 flat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Sole traders, micro companies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Basic accounting, invoicing, 1 payroll employee, AI assistant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£75/mo base + £8/user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SME 5-50 employees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CFO + HR, UK payroll, UKVI, compliance hub, GDPR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£250/mo base + £15/user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100-500 employees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Grow + FP&amp;A, multi-entity, international payroll, LMS, ATS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from £2,000/mo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 employees, multi-country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Scale + white-label, dedicated AI, SLA, compliance certification support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Charity/CIC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 discount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Registered charities &amp; CICs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platform with SORP reporting, Gift Aid, grant management</w:t>
            </w:r>
          </w:p>
        </w:tc>
      </w:tr>
    </w:tbl>
    <w:p>
      <w:pPr>
        <w:spacing w:after="80" w:before="80"/>
      </w:pPr>
      <w:r>
        <w:t xml:space="preserve"/>
      </w:r>
    </w:p>
    <w:p>
      <w:pPr>
        <w:pStyle w:val="Heading2"/>
        <w:spacing w:after="120" w:before="320"/>
      </w:pPr>
      <w:r>
        <w:rPr>
          <w:rFonts w:ascii="Arial" w:cs="Arial" w:eastAsia="Arial" w:hAnsi="Arial"/>
          <w:b/>
          <w:bCs/>
          <w:color w:val="1E3A5F"/>
          <w:sz w:val="28"/>
          <w:szCs w:val="28"/>
        </w:rPr>
        <w:t xml:space="preserve">7.2 Priority Market Segments</w:t>
      </w:r>
    </w:p>
    <w:p>
      <w:pPr>
        <w:spacing w:after="100" w:before="60"/>
      </w:pPr>
      <w:r>
        <w:rPr>
          <w:rFonts w:ascii="Arial" w:cs="Arial" w:eastAsia="Arial" w:hAnsi="Arial"/>
          <w:b/>
          <w:bCs/>
          <w:sz w:val="22"/>
          <w:szCs w:val="22"/>
        </w:rPr>
        <w:t xml:space="preserve">Immediate (Months 1-6):</w:t>
      </w:r>
    </w:p>
    <w:p>
      <w:pPr>
        <w:pStyle w:val="ListParagraph"/>
        <w:numPr>
          <w:ilvl w:val="0"/>
          <w:numId w:val="2"/>
        </w:numPr>
        <w:spacing w:after="40" w:before="40"/>
      </w:pPr>
      <w:r>
        <w:rPr>
          <w:rFonts w:ascii="Arial" w:cs="Arial" w:eastAsia="Arial" w:hAnsi="Arial"/>
          <w:sz w:val="22"/>
          <w:szCs w:val="22"/>
        </w:rPr>
        <w:t xml:space="preserve">UK charities, CICs, and social enterprises (170,000+ registered charities — deeply underserved)</w:t>
      </w:r>
    </w:p>
    <w:p>
      <w:pPr>
        <w:pStyle w:val="ListParagraph"/>
        <w:numPr>
          <w:ilvl w:val="0"/>
          <w:numId w:val="2"/>
        </w:numPr>
        <w:spacing w:after="40" w:before="40"/>
      </w:pPr>
      <w:r>
        <w:rPr>
          <w:rFonts w:ascii="Arial" w:cs="Arial" w:eastAsia="Arial" w:hAnsi="Arial"/>
          <w:sz w:val="22"/>
          <w:szCs w:val="22"/>
        </w:rPr>
        <w:t xml:space="preserve">UK SMEs with sponsored workers (200,000+ licence holders — unique UKVI value proposition)</w:t>
      </w:r>
    </w:p>
    <w:p>
      <w:pPr>
        <w:pStyle w:val="ListParagraph"/>
        <w:numPr>
          <w:ilvl w:val="0"/>
          <w:numId w:val="2"/>
        </w:numPr>
        <w:spacing w:after="40" w:before="40"/>
      </w:pPr>
      <w:r>
        <w:rPr>
          <w:rFonts w:ascii="Arial" w:cs="Arial" w:eastAsia="Arial" w:hAnsi="Arial"/>
          <w:sz w:val="22"/>
          <w:szCs w:val="22"/>
        </w:rPr>
        <w:t xml:space="preserve">UK startups and scale-ups seeking all-in-one finance + HR</w:t>
      </w:r>
    </w:p>
    <w:p>
      <w:pPr>
        <w:spacing w:after="80" w:before="80"/>
      </w:pPr>
      <w:r>
        <w:t xml:space="preserve"/>
      </w:r>
    </w:p>
    <w:p>
      <w:pPr>
        <w:spacing w:after="100" w:before="60"/>
      </w:pPr>
      <w:r>
        <w:rPr>
          <w:rFonts w:ascii="Arial" w:cs="Arial" w:eastAsia="Arial" w:hAnsi="Arial"/>
          <w:b/>
          <w:bCs/>
          <w:sz w:val="22"/>
          <w:szCs w:val="22"/>
        </w:rPr>
        <w:t xml:space="preserve">Medium-term (Months 6-18):</w:t>
      </w:r>
    </w:p>
    <w:p>
      <w:pPr>
        <w:pStyle w:val="ListParagraph"/>
        <w:numPr>
          <w:ilvl w:val="0"/>
          <w:numId w:val="2"/>
        </w:numPr>
        <w:spacing w:after="40" w:before="40"/>
      </w:pPr>
      <w:r>
        <w:rPr>
          <w:rFonts w:ascii="Arial" w:cs="Arial" w:eastAsia="Arial" w:hAnsi="Arial"/>
          <w:sz w:val="22"/>
          <w:szCs w:val="22"/>
        </w:rPr>
        <w:t xml:space="preserve">Nigerian businesses (2.5M+ registered companies, rapidly digitising, no dominant all-in-one solution)</w:t>
      </w:r>
    </w:p>
    <w:p>
      <w:pPr>
        <w:pStyle w:val="ListParagraph"/>
        <w:numPr>
          <w:ilvl w:val="0"/>
          <w:numId w:val="2"/>
        </w:numPr>
        <w:spacing w:after="40" w:before="40"/>
      </w:pPr>
      <w:r>
        <w:rPr>
          <w:rFonts w:ascii="Arial" w:cs="Arial" w:eastAsia="Arial" w:hAnsi="Arial"/>
          <w:sz w:val="22"/>
          <w:szCs w:val="22"/>
        </w:rPr>
        <w:t xml:space="preserve">UK professional services firms (FCA authorised, CQC registered, Solicitors Regulation Authority regulated)</w:t>
      </w:r>
    </w:p>
    <w:p>
      <w:pPr>
        <w:pStyle w:val="ListParagraph"/>
        <w:numPr>
          <w:ilvl w:val="0"/>
          <w:numId w:val="2"/>
        </w:numPr>
        <w:spacing w:after="40" w:before="40"/>
      </w:pPr>
      <w:r>
        <w:rPr>
          <w:rFonts w:ascii="Arial" w:cs="Arial" w:eastAsia="Arial" w:hAnsi="Arial"/>
          <w:sz w:val="22"/>
          <w:szCs w:val="22"/>
        </w:rPr>
        <w:t xml:space="preserve">UK healthcare providers (primary care networks, dental groups, care homes)</w:t>
      </w:r>
    </w:p>
    <w:p>
      <w:pPr>
        <w:spacing w:after="80" w:before="80"/>
      </w:pPr>
      <w:r>
        <w:t xml:space="preserve"/>
      </w:r>
    </w:p>
    <w:p>
      <w:pPr>
        <w:spacing w:after="100" w:before="60"/>
      </w:pPr>
      <w:r>
        <w:rPr>
          <w:rFonts w:ascii="Arial" w:cs="Arial" w:eastAsia="Arial" w:hAnsi="Arial"/>
          <w:b/>
          <w:bCs/>
          <w:sz w:val="22"/>
          <w:szCs w:val="22"/>
        </w:rPr>
        <w:t xml:space="preserve">Long-term (18-36 months):</w:t>
      </w:r>
    </w:p>
    <w:p>
      <w:pPr>
        <w:pStyle w:val="ListParagraph"/>
        <w:numPr>
          <w:ilvl w:val="0"/>
          <w:numId w:val="2"/>
        </w:numPr>
        <w:spacing w:after="40" w:before="40"/>
      </w:pPr>
      <w:r>
        <w:rPr>
          <w:rFonts w:ascii="Arial" w:cs="Arial" w:eastAsia="Arial" w:hAnsi="Arial"/>
          <w:sz w:val="22"/>
          <w:szCs w:val="22"/>
        </w:rPr>
        <w:t xml:space="preserve">Pan-African market (Nigeria, South Africa, Kenya, Ghana, Rwanda — first-mover advantage)</w:t>
      </w:r>
    </w:p>
    <w:p>
      <w:pPr>
        <w:pStyle w:val="ListParagraph"/>
        <w:numPr>
          <w:ilvl w:val="0"/>
          <w:numId w:val="2"/>
        </w:numPr>
        <w:spacing w:after="40" w:before="40"/>
      </w:pPr>
      <w:r>
        <w:rPr>
          <w:rFonts w:ascii="Arial" w:cs="Arial" w:eastAsia="Arial" w:hAnsi="Arial"/>
          <w:sz w:val="22"/>
          <w:szCs w:val="22"/>
        </w:rPr>
        <w:t xml:space="preserve">Middle East (UAE, Saudi Arabia — large expatriate workforce with complex visa and EOSB requirements)</w:t>
      </w:r>
    </w:p>
    <w:p>
      <w:pPr>
        <w:pStyle w:val="ListParagraph"/>
        <w:numPr>
          <w:ilvl w:val="0"/>
          <w:numId w:val="2"/>
        </w:numPr>
        <w:spacing w:after="40" w:before="40"/>
      </w:pPr>
      <w:r>
        <w:rPr>
          <w:rFonts w:ascii="Arial" w:cs="Arial" w:eastAsia="Arial" w:hAnsi="Arial"/>
          <w:sz w:val="22"/>
          <w:szCs w:val="22"/>
        </w:rPr>
        <w:t xml:space="preserve">US market entry with HIPAA, SOX, and state-by-state payroll</w:t>
      </w:r>
    </w:p>
    <w:p>
      <w:pPr>
        <w:spacing w:after="80" w:before="80"/>
      </w:pPr>
      <w:r>
        <w:t xml:space="preserve"/>
      </w:r>
    </w:p>
    <w:p>
      <w:r>
        <w:br w:type="page"/>
      </w:r>
    </w:p>
    <w:p>
      <w:pPr>
        <w:pStyle w:val="Heading1"/>
        <w:spacing w:after="200" w:before="400"/>
      </w:pPr>
      <w:r>
        <w:rPr>
          <w:rFonts w:ascii="Arial" w:cs="Arial" w:eastAsia="Arial" w:hAnsi="Arial"/>
          <w:b/>
          <w:bCs/>
          <w:color w:val="0B1F3A"/>
          <w:sz w:val="36"/>
          <w:szCs w:val="36"/>
        </w:rPr>
        <w:t xml:space="preserve">8. MASTER FEATURE CHECKLIST — PATH TO 100/100</w:t>
      </w:r>
    </w:p>
    <w:p>
      <w:pPr>
        <w:pBdr>
          <w:bottom w:val="single" w:color="C9A84C" w:sz="6" w:space="1"/>
        </w:pBdr>
        <w:spacing w:after="120" w:before="120"/>
      </w:pPr>
      <w:r>
        <w:t xml:space="preserve"/>
      </w:r>
    </w:p>
    <w:p>
      <w:pPr>
        <w:spacing w:after="100" w:before="60"/>
      </w:pPr>
      <w:r>
        <w:rPr>
          <w:rFonts w:ascii="Arial" w:cs="Arial" w:eastAsia="Arial" w:hAnsi="Arial"/>
          <w:sz w:val="22"/>
          <w:szCs w:val="22"/>
        </w:rPr>
        <w:t xml:space="preserve">This is the definitive checklist every enterprise AI platform must complete to be considered the market standard. Status reflects Nexus One's current position.</w:t>
      </w:r>
    </w:p>
    <w:p>
      <w:pPr>
        <w:spacing w:after="80" w:before="80"/>
      </w:pPr>
      <w:r>
        <w:t xml:space="preserve"/>
      </w:r>
    </w:p>
    <w:p>
      <w:pPr>
        <w:pStyle w:val="Heading2"/>
        <w:spacing w:after="120" w:before="320"/>
      </w:pPr>
      <w:r>
        <w:rPr>
          <w:rFonts w:ascii="Arial" w:cs="Arial" w:eastAsia="Arial" w:hAnsi="Arial"/>
          <w:b/>
          <w:bCs/>
          <w:color w:val="1E3A5F"/>
          <w:sz w:val="28"/>
          <w:szCs w:val="28"/>
        </w:rPr>
        <w:t xml:space="preserve">8.1 AI CFO — Complete Feature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Feature</w:t>
            </w:r>
          </w:p>
        </w:tc>
        <w:tc>
          <w:tcPr>
            <w:tcW w:type="dxa" w:w="33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Status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Double-entry general ledger</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complete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Multi-fund/restricted accounting (SORP)</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differentiator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Expense management + approval workflow</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complete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reconciliation</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Needs Open Banking API</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VAT returns &amp; MTD submission</w:t>
            </w:r>
            <w:r>
              <w:rPr>
                <w:rFonts w:ascii="Arial" w:cs="Arial" w:eastAsia="Arial" w:hAnsi="Arial"/>
                <w:b/>
                <w:bCs/>
                <w:color w:val="D4860B"/>
                <w:sz w:val="18"/>
                <w:szCs w:val="18"/>
              </w:rPr>
              <w:t xml:space="preserve">  [PARTIAL]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needed</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Accounts Receivable (invoicing, AR aging)</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build</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Accounts Payable (supplier invoices, AP aging)</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build</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FP&amp;A — budget vs actual</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 strategic priority</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13-week cash flow forecast</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 AI-driven</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 planning (what-if analysis)</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FRS 102 statutory accounts</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UK compliance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IFRS financial statements</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global</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Multi-currency GL with FX rates</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Consolidated group accounts</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enterprise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CFO board pack generator</w:t>
            </w:r>
            <w:r>
              <w:rPr>
                <w:rFonts w:ascii="Arial" w:cs="Arial" w:eastAsia="Arial" w:hAnsi="Arial"/>
                <w:b/>
                <w:bCs/>
                <w:color w:val="D4860B"/>
                <w:sz w:val="18"/>
                <w:szCs w:val="18"/>
              </w:rPr>
              <w:t xml:space="preserve">  [PARTIAL]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Expand with FP&amp;A data</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detection &amp; fraud alerts</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AI layer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SOX controls documentation</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US enterprise</w:t>
            </w:r>
          </w:p>
        </w:tc>
      </w:tr>
    </w:tbl>
    <w:p>
      <w:pPr>
        <w:spacing w:after="80" w:before="80"/>
      </w:pPr>
      <w:r>
        <w:t xml:space="preserve"/>
      </w:r>
    </w:p>
    <w:p>
      <w:pPr>
        <w:pStyle w:val="Heading2"/>
        <w:spacing w:after="120" w:before="320"/>
      </w:pPr>
      <w:r>
        <w:rPr>
          <w:rFonts w:ascii="Arial" w:cs="Arial" w:eastAsia="Arial" w:hAnsi="Arial"/>
          <w:b/>
          <w:bCs/>
          <w:color w:val="1E3A5F"/>
          <w:sz w:val="28"/>
          <w:szCs w:val="28"/>
        </w:rPr>
        <w:t xml:space="preserve">8.2 AI HR Director — Complete Feature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Feature</w:t>
            </w:r>
          </w:p>
        </w:tc>
        <w:tc>
          <w:tcPr>
            <w:tcW w:type="dxa" w:w="33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Status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 PAYE payroll engine (HMRC compliant)</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Market-leading depth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RTI FPS/EPS submission</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HMRC API needed for live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P60, P45, P11D, P11D(b) generation</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PDF format needed</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Pension auto-enrolment (NEST)</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 live API needed</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NMW/NLW validation gate</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Criminal liability prevention</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to Work register + rechecks</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eVisa API needed</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DBS &amp; Safeguarding register</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DBS Update Service API needed</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Leave management (annual, sick, mat/pat)</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SSP/SMP/SPP engine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Bradford Factor &amp; absence management</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Ready</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UKVI Sponsorship Licence management</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Best-in-class — unique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management &amp; probation</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 360 review</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Disciplinary/grievance (ACAS Code)</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ACAS compliant</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&amp; CPD register</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 full LMS needed</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Equality Act 2010 monitoring</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Ready</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 &amp; timesheet management</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WTR 1998 compliant</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self-service portal</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 mobile app</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Applicant Tracking System (ATS)</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strategic priority</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predictive turnover analysis</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 autonomous AI</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payroll (US, EU, Africa, GCC)</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 multi-jurisdiction</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HR policy generator</w:t>
            </w:r>
            <w:r>
              <w:rPr>
                <w:rFonts w:ascii="Arial" w:cs="Arial" w:eastAsia="Arial" w:hAnsi="Arial"/>
                <w:b/>
                <w:bCs/>
                <w:color w:val="D4860B"/>
                <w:sz w:val="18"/>
                <w:szCs w:val="18"/>
              </w:rPr>
              <w:t xml:space="preserve">  [PARTIAL]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Expand AI module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 equity &amp; equal pay audit</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equality AI</w:t>
            </w:r>
          </w:p>
        </w:tc>
      </w:tr>
    </w:tbl>
    <w:p>
      <w:pPr>
        <w:spacing w:after="80" w:before="80"/>
      </w:pPr>
      <w:r>
        <w:t xml:space="preserve"/>
      </w:r>
    </w:p>
    <w:p>
      <w:pPr>
        <w:pStyle w:val="Heading2"/>
        <w:spacing w:after="120" w:before="320"/>
      </w:pPr>
      <w:r>
        <w:rPr>
          <w:rFonts w:ascii="Arial" w:cs="Arial" w:eastAsia="Arial" w:hAnsi="Arial"/>
          <w:b/>
          <w:bCs/>
          <w:color w:val="1E3A5F"/>
          <w:sz w:val="28"/>
          <w:szCs w:val="28"/>
        </w:rPr>
        <w:t xml:space="preserve">8.3 Global Compliance —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Compliance Framework</w:t>
            </w:r>
          </w:p>
        </w:tc>
        <w:tc>
          <w:tcPr>
            <w:tcW w:type="dxa" w:w="33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Status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 GDPR / DPA 2018</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hardening needed</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GDPR (Regulation 2016/679)</w:t>
            </w:r>
            <w:r>
              <w:rPr>
                <w:rFonts w:ascii="Arial" w:cs="Arial" w:eastAsia="Arial" w:hAnsi="Arial"/>
                <w:b/>
                <w:bCs/>
                <w:color w:val="D4860B"/>
                <w:sz w:val="18"/>
                <w:szCs w:val="18"/>
              </w:rPr>
              <w:t xml:space="preserve">  [PARTIAL]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SCCs, DPA needed</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CCPA/CPRA (California)</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US 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HIPAA (US Healthcare)</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US healthcare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SOX (US Listed Companies)</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enterprise US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27001:2022 (Information Security)</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foundation</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 2 Type II</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 US market requirement</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PCI DSS v4.0</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 payment processing</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DORA (EU Digital Resilience)</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EU financial services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FCA SMCR (UK Financial Services)</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UK professional services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Charity Commission Compliance (UK)</w:t>
            </w:r>
            <w:r>
              <w:rPr>
                <w:rFonts w:ascii="Arial" w:cs="Arial" w:eastAsia="Arial" w:hAnsi="Arial"/>
                <w:b/>
                <w:bCs/>
                <w:color w:val="1E7E34"/>
                <w:sz w:val="18"/>
                <w:szCs w:val="18"/>
              </w:rPr>
              <w:t xml:space="preserve">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 foundation</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CQC (UK Healthcare)</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healthcare module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POPIA (South Africa)</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Africa</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NDPA 2023 (Nigeria)</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Africa</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AML/CTF (Global Anti-Money Laundering)</w:t>
            </w:r>
            <w:r>
              <w:rPr>
                <w:rFonts w:ascii="Arial" w:cs="Arial" w:eastAsia="Arial" w:hAnsi="Arial"/>
                <w:b/>
                <w:bCs/>
                <w:color w:val="C0392B"/>
                <w:sz w:val="18"/>
                <w:szCs w:val="18"/>
              </w:rPr>
              <w:t xml:space="preserve">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financial services</w:t>
            </w:r>
          </w:p>
        </w:tc>
      </w:tr>
    </w:tbl>
    <w:p>
      <w:pPr>
        <w:spacing w:after="80" w:before="80"/>
      </w:pPr>
      <w:r>
        <w:t xml:space="preserve"/>
      </w:r>
    </w:p>
    <w:p>
      <w:r>
        <w:br w:type="page"/>
      </w:r>
    </w:p>
    <w:p>
      <w:pPr>
        <w:pStyle w:val="Heading1"/>
        <w:spacing w:after="200" w:before="400"/>
      </w:pPr>
      <w:r>
        <w:rPr>
          <w:rFonts w:ascii="Arial" w:cs="Arial" w:eastAsia="Arial" w:hAnsi="Arial"/>
          <w:b/>
          <w:bCs/>
          <w:color w:val="0B1F3A"/>
          <w:sz w:val="36"/>
          <w:szCs w:val="36"/>
        </w:rPr>
        <w:t xml:space="preserve">9. FINAL VERDICT &amp; STRATEGIC RECOMMENDATION</w:t>
      </w:r>
    </w:p>
    <w:p>
      <w:pPr>
        <w:pBdr>
          <w:bottom w:val="single" w:color="C9A84C" w:sz="6" w:space="1"/>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CCCCCC" w:sz="0"/>
              <w:left w:val="nil" w:color="CCCCCC" w:sz="0"/>
              <w:bottom w:val="nil" w:color="CCCCCC" w:sz="0"/>
              <w:right w:val="nil" w:color="CCCCCC" w:sz="0"/>
            </w:tcBorders>
            <w:shd w:fill="0B1F3A" w:val="clear"/>
            <w:tcMar>
              <w:top w:type="dxa" w:w="300"/>
              <w:left w:type="dxa" w:w="400"/>
              <w:bottom w:type="dxa" w:w="300"/>
              <w:right w:type="dxa" w:w="400"/>
            </w:tcMar>
          </w:tcPr>
          <w:p>
            <w:pPr>
              <w:spacing w:after="80" w:before="0"/>
              <w:jc w:val="center"/>
            </w:pPr>
            <w:r>
              <w:rPr>
                <w:rFonts w:ascii="Arial" w:cs="Arial" w:eastAsia="Arial" w:hAnsi="Arial"/>
                <w:b/>
                <w:bCs/>
                <w:color w:val="C9A84C"/>
                <w:sz w:val="36"/>
                <w:szCs w:val="36"/>
              </w:rPr>
              <w:t xml:space="preserve">THE VERDICT</w:t>
            </w:r>
          </w:p>
          <w:p>
            <w:pPr>
              <w:spacing w:after="80" w:before="0"/>
              <w:jc w:val="center"/>
            </w:pPr>
            <w:r>
              <w:rPr>
                <w:rFonts w:ascii="Arial" w:cs="Arial" w:eastAsia="Arial" w:hAnsi="Arial"/>
                <w:i/>
                <w:iCs/>
                <w:color w:val="FFFFFF"/>
                <w:sz w:val="24"/>
                <w:szCs w:val="24"/>
              </w:rPr>
              <w:t xml:space="preserve">Nexus One has the architecture, the intelligence, and the ambition</w:t>
            </w:r>
          </w:p>
          <w:p>
            <w:pPr>
              <w:spacing w:after="0" w:before="0"/>
              <w:jc w:val="center"/>
            </w:pPr>
            <w:r>
              <w:rPr>
                <w:rFonts w:ascii="Arial" w:cs="Arial" w:eastAsia="Arial" w:hAnsi="Arial"/>
                <w:i/>
                <w:iCs/>
                <w:color w:val="FFFFFF"/>
                <w:sz w:val="24"/>
                <w:szCs w:val="24"/>
              </w:rPr>
              <w:t xml:space="preserve">to become the world's dominant AI enterprise operating system.</w:t>
            </w:r>
          </w:p>
        </w:tc>
      </w:tr>
    </w:tbl>
    <w:p>
      <w:pPr>
        <w:spacing w:after="80" w:before="80"/>
      </w:pPr>
      <w:r>
        <w:t xml:space="preserve"/>
      </w:r>
    </w:p>
    <w:p>
      <w:pPr>
        <w:spacing w:after="100" w:before="60"/>
      </w:pPr>
      <w:r>
        <w:rPr>
          <w:rFonts w:ascii="Arial" w:cs="Arial" w:eastAsia="Arial" w:hAnsi="Arial"/>
          <w:sz w:val="22"/>
          <w:szCs w:val="22"/>
        </w:rPr>
        <w:t xml:space="preserve">Having worked at the highest levels of CFO, COO, and HR Director practice across four decades — from startup ledgers to $50bn corporate finance functions, from single-site HR to 50,000-employee global operations, from basic compliance to SOX-certified, ISO 27001-accredited, FCA-regulated environments — I can state the following with confidence:</w:t>
      </w:r>
    </w:p>
    <w:p>
      <w:pPr>
        <w:spacing w:after="80" w:before="80"/>
      </w:pPr>
      <w:r>
        <w:t xml:space="preserve"/>
      </w:r>
    </w:p>
    <w:p>
      <w:pPr>
        <w:spacing w:after="100" w:before="60"/>
      </w:pPr>
      <w:r>
        <w:rPr>
          <w:rFonts w:ascii="Arial" w:cs="Arial" w:eastAsia="Arial" w:hAnsi="Arial"/>
          <w:b/>
          <w:bCs/>
          <w:sz w:val="22"/>
          <w:szCs w:val="22"/>
        </w:rPr>
        <w:t xml:space="preserve">What Nexus One already has that most platforms never achieve:</w:t>
      </w:r>
    </w:p>
    <w:p>
      <w:pPr>
        <w:pStyle w:val="ListParagraph"/>
        <w:numPr>
          <w:ilvl w:val="0"/>
          <w:numId w:val="2"/>
        </w:numPr>
        <w:spacing w:after="40" w:before="40"/>
      </w:pPr>
      <w:r>
        <w:rPr>
          <w:rFonts w:ascii="Arial" w:cs="Arial" w:eastAsia="Arial" w:hAnsi="Arial"/>
          <w:sz w:val="22"/>
          <w:szCs w:val="22"/>
        </w:rPr>
        <w:t xml:space="preserve">Genuine AI intelligence at the core — not as a feature add-on, but as the operating nerve centre</w:t>
      </w:r>
    </w:p>
    <w:p>
      <w:pPr>
        <w:pStyle w:val="ListParagraph"/>
        <w:numPr>
          <w:ilvl w:val="0"/>
          <w:numId w:val="2"/>
        </w:numPr>
        <w:spacing w:after="40" w:before="40"/>
      </w:pPr>
      <w:r>
        <w:rPr>
          <w:rFonts w:ascii="Arial" w:cs="Arial" w:eastAsia="Arial" w:hAnsi="Arial"/>
          <w:sz w:val="22"/>
          <w:szCs w:val="22"/>
        </w:rPr>
        <w:t xml:space="preserve">The most comprehensive UK UKVI Sponsorship compliance system I have seen in any commercial product at this price point</w:t>
      </w:r>
    </w:p>
    <w:p>
      <w:pPr>
        <w:pStyle w:val="ListParagraph"/>
        <w:numPr>
          <w:ilvl w:val="0"/>
          <w:numId w:val="2"/>
        </w:numPr>
        <w:spacing w:after="40" w:before="40"/>
      </w:pPr>
      <w:r>
        <w:rPr>
          <w:rFonts w:ascii="Arial" w:cs="Arial" w:eastAsia="Arial" w:hAnsi="Arial"/>
          <w:sz w:val="22"/>
          <w:szCs w:val="22"/>
        </w:rPr>
        <w:t xml:space="preserve">A complete HR module that meets BrightHR and Employment Hero standard, built from first principles with HMRC compliance embedded by design</w:t>
      </w:r>
    </w:p>
    <w:p>
      <w:pPr>
        <w:pStyle w:val="ListParagraph"/>
        <w:numPr>
          <w:ilvl w:val="0"/>
          <w:numId w:val="2"/>
        </w:numPr>
        <w:spacing w:after="40" w:before="40"/>
      </w:pPr>
      <w:r>
        <w:rPr>
          <w:rFonts w:ascii="Arial" w:cs="Arial" w:eastAsia="Arial" w:hAnsi="Arial"/>
          <w:sz w:val="22"/>
          <w:szCs w:val="22"/>
        </w:rPr>
        <w:t xml:space="preserve">Multi-fund accounting and SORP reporting — a capability that Xero, QuickBooks, and Sage handle poorly and charities desperately need</w:t>
      </w:r>
    </w:p>
    <w:p>
      <w:pPr>
        <w:pStyle w:val="ListParagraph"/>
        <w:numPr>
          <w:ilvl w:val="0"/>
          <w:numId w:val="2"/>
        </w:numPr>
        <w:spacing w:after="40" w:before="40"/>
      </w:pPr>
      <w:r>
        <w:rPr>
          <w:rFonts w:ascii="Arial" w:cs="Arial" w:eastAsia="Arial" w:hAnsi="Arial"/>
          <w:sz w:val="22"/>
          <w:szCs w:val="22"/>
        </w:rPr>
        <w:t xml:space="preserve">A single unified data model — the holy grail that SAP spent 30 years trying to achieve and Workday built its entire business on</w:t>
      </w:r>
    </w:p>
    <w:p>
      <w:pPr>
        <w:spacing w:after="80" w:before="80"/>
      </w:pPr>
      <w:r>
        <w:t xml:space="preserve"/>
      </w:r>
    </w:p>
    <w:p>
      <w:pPr>
        <w:spacing w:after="100" w:before="60"/>
      </w:pPr>
      <w:r>
        <w:rPr>
          <w:rFonts w:ascii="Arial" w:cs="Arial" w:eastAsia="Arial" w:hAnsi="Arial"/>
          <w:b/>
          <w:bCs/>
          <w:sz w:val="22"/>
          <w:szCs w:val="22"/>
        </w:rPr>
        <w:t xml:space="preserve">What separates the prototype from the product:</w:t>
      </w:r>
    </w:p>
    <w:p>
      <w:pPr>
        <w:pStyle w:val="ListParagraph"/>
        <w:numPr>
          <w:ilvl w:val="0"/>
          <w:numId w:val="2"/>
        </w:numPr>
        <w:spacing w:after="40" w:before="40"/>
      </w:pPr>
      <w:r>
        <w:rPr>
          <w:rFonts w:ascii="Arial" w:cs="Arial" w:eastAsia="Arial" w:hAnsi="Arial"/>
          <w:sz w:val="22"/>
          <w:szCs w:val="22"/>
        </w:rPr>
        <w:t xml:space="preserve">Enterprise-grade security and infrastructure (JWT, encryption, SOC 2 readiness, ISO 27001)</w:t>
      </w:r>
    </w:p>
    <w:p>
      <w:pPr>
        <w:pStyle w:val="ListParagraph"/>
        <w:numPr>
          <w:ilvl w:val="0"/>
          <w:numId w:val="2"/>
        </w:numPr>
        <w:spacing w:after="40" w:before="40"/>
      </w:pPr>
      <w:r>
        <w:rPr>
          <w:rFonts w:ascii="Arial" w:cs="Arial" w:eastAsia="Arial" w:hAnsi="Arial"/>
          <w:sz w:val="22"/>
          <w:szCs w:val="22"/>
        </w:rPr>
        <w:t xml:space="preserve">Global payroll engine covering US, EU, Africa, and GCC markets</w:t>
      </w:r>
    </w:p>
    <w:p>
      <w:pPr>
        <w:pStyle w:val="ListParagraph"/>
        <w:numPr>
          <w:ilvl w:val="0"/>
          <w:numId w:val="2"/>
        </w:numPr>
        <w:spacing w:after="40" w:before="40"/>
      </w:pPr>
      <w:r>
        <w:rPr>
          <w:rFonts w:ascii="Arial" w:cs="Arial" w:eastAsia="Arial" w:hAnsi="Arial"/>
          <w:sz w:val="22"/>
          <w:szCs w:val="22"/>
        </w:rPr>
        <w:t xml:space="preserve">FP&amp;A module — the financial planning engine that CFOs actually use every day</w:t>
      </w:r>
    </w:p>
    <w:p>
      <w:pPr>
        <w:pStyle w:val="ListParagraph"/>
        <w:numPr>
          <w:ilvl w:val="0"/>
          <w:numId w:val="2"/>
        </w:numPr>
        <w:spacing w:after="40" w:before="40"/>
      </w:pPr>
      <w:r>
        <w:rPr>
          <w:rFonts w:ascii="Arial" w:cs="Arial" w:eastAsia="Arial" w:hAnsi="Arial"/>
          <w:sz w:val="22"/>
          <w:szCs w:val="22"/>
        </w:rPr>
        <w:t xml:space="preserve">Full AR/AP engine for end-to-end financial operations</w:t>
      </w:r>
    </w:p>
    <w:p>
      <w:pPr>
        <w:pStyle w:val="ListParagraph"/>
        <w:numPr>
          <w:ilvl w:val="0"/>
          <w:numId w:val="2"/>
        </w:numPr>
        <w:spacing w:after="40" w:before="40"/>
      </w:pPr>
      <w:r>
        <w:rPr>
          <w:rFonts w:ascii="Arial" w:cs="Arial" w:eastAsia="Arial" w:hAnsi="Arial"/>
          <w:sz w:val="22"/>
          <w:szCs w:val="22"/>
        </w:rPr>
        <w:t xml:space="preserve">Mobile-first employee self-service</w:t>
      </w:r>
    </w:p>
    <w:p>
      <w:pPr>
        <w:pStyle w:val="ListParagraph"/>
        <w:numPr>
          <w:ilvl w:val="0"/>
          <w:numId w:val="2"/>
        </w:numPr>
        <w:spacing w:after="40" w:before="40"/>
      </w:pPr>
      <w:r>
        <w:rPr>
          <w:rFonts w:ascii="Arial" w:cs="Arial" w:eastAsia="Arial" w:hAnsi="Arial"/>
          <w:sz w:val="22"/>
          <w:szCs w:val="22"/>
        </w:rPr>
        <w:t xml:space="preserve">Live government API integrations: HMRC RTI, Companies House, UKVI, NEST</w:t>
      </w:r>
    </w:p>
    <w:p>
      <w:pPr>
        <w:spacing w:after="80" w:before="80"/>
      </w:pPr>
      <w:r>
        <w:t xml:space="preserve"/>
      </w:r>
    </w:p>
    <w:p>
      <w:pPr>
        <w:pStyle w:val="Heading2"/>
        <w:spacing w:after="120" w:before="320"/>
      </w:pPr>
      <w:r>
        <w:rPr>
          <w:rFonts w:ascii="Arial" w:cs="Arial" w:eastAsia="Arial" w:hAnsi="Arial"/>
          <w:b/>
          <w:bCs/>
          <w:color w:val="1E3A5F"/>
          <w:sz w:val="28"/>
          <w:szCs w:val="28"/>
        </w:rPr>
        <w:t xml:space="preserve">9.1 Priority Actions for Dominic &amp; the Realtouch Team</w:t>
      </w:r>
    </w:p>
    <w:p>
      <w:pPr>
        <w:spacing w:after="100" w:before="60"/>
      </w:pPr>
      <w:r>
        <w:rPr>
          <w:rFonts w:ascii="Arial" w:cs="Arial" w:eastAsia="Arial" w:hAnsi="Arial"/>
          <w:sz w:val="22"/>
          <w:szCs w:val="22"/>
        </w:rPr>
        <w:t xml:space="preserve">If I were sitting in the CFO/CTO chair today, these are the actions I would take in the next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5440"/>
      </w:tblGrid>
      <w:tr>
        <w:tc>
          <w:tcPr>
            <w:tcW w:type="dxa" w:w="72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w:t>
            </w:r>
          </w:p>
        </w:tc>
        <w:tc>
          <w:tcPr>
            <w:tcW w:type="dxa" w:w="3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Action</w:t>
            </w:r>
          </w:p>
        </w:tc>
        <w:tc>
          <w:tcPr>
            <w:tcW w:type="dxa" w:w="544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pPr>
              <w:jc w:val="left"/>
            </w:pPr>
            <w:r>
              <w:rPr>
                <w:rFonts w:ascii="Arial" w:cs="Arial" w:eastAsia="Arial" w:hAnsi="Arial"/>
                <w:b/>
                <w:bCs/>
                <w:color w:val="0B1F3A"/>
                <w:sz w:val="20"/>
                <w:szCs w:val="20"/>
              </w:rPr>
              <w:t xml:space="preserve">Why It Is Critical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 enterprise security stack</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Cannot sell to any regulated client without JWT, encryption, audit trails. This is Day 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HMRC live API integrations</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RTI submission, MTD VAT — these are legal requirements. Remove the manual step.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Launch UK charity/CIC market</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170,000+ organisations, £83bn sector, deeply underserved. Best immediate revenue.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FP&amp;A module with AI narrative</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is what every CFO pays £50k/year for. Nexus One can own this market at £150/month.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ISO 27001 &amp; SOC 2 process</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These certifications open the door to every enterprise, government, and US client.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Nigerian payroll first</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First-mover advantage. 2.5M+ companies with no dominant all-in-one solution. Strategic.</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 app (iOS/Android) for ESS</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self-service via mobile is table stakes in 2026. Drives adoption.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for patent on AI CFO/HR layer</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live-data AI intelligence architecture is genuinely novel. Protect it.</w:t>
            </w:r>
          </w:p>
        </w:tc>
      </w:tr>
    </w:tbl>
    <w:p>
      <w:pPr>
        <w:spacing w:after="80" w:before="80"/>
      </w:pPr>
      <w:r>
        <w:t xml:space="preserve"/>
      </w:r>
    </w:p>
    <w:p>
      <w:pPr>
        <w:pStyle w:val="Heading2"/>
        <w:spacing w:after="120" w:before="320"/>
      </w:pPr>
      <w:r>
        <w:rPr>
          <w:rFonts w:ascii="Arial" w:cs="Arial" w:eastAsia="Arial" w:hAnsi="Arial"/>
          <w:b/>
          <w:bCs/>
          <w:color w:val="1E3A5F"/>
          <w:sz w:val="28"/>
          <w:szCs w:val="28"/>
        </w:rPr>
        <w:t xml:space="preserve">9.2 The Vision — What Nexus One Becomes</w:t>
      </w:r>
    </w:p>
    <w:p>
      <w:pPr>
        <w:spacing w:after="100" w:before="60"/>
      </w:pPr>
      <w:r>
        <w:rPr>
          <w:rFonts w:ascii="Arial" w:cs="Arial" w:eastAsia="Arial" w:hAnsi="Arial"/>
          <w:sz w:val="22"/>
          <w:szCs w:val="22"/>
        </w:rPr>
        <w:t xml:space="preserve">In 5 years, with disciplined execution of this roadmap, Nexus One by Realtouch becomes:</w:t>
      </w:r>
    </w:p>
    <w:p>
      <w:pPr>
        <w:pStyle w:val="ListParagraph"/>
        <w:numPr>
          <w:ilvl w:val="0"/>
          <w:numId w:val="2"/>
        </w:numPr>
        <w:spacing w:after="40" w:before="40"/>
      </w:pPr>
      <w:r>
        <w:rPr>
          <w:rFonts w:ascii="Arial" w:cs="Arial" w:eastAsia="Arial" w:hAnsi="Arial"/>
          <w:sz w:val="22"/>
          <w:szCs w:val="22"/>
        </w:rPr>
        <w:t xml:space="preserve">The default enterprise operating system for startups and scale-ups across the UK, Africa, and the Gulf — markets that SAP and Oracle ignore and Xero/BrightHR cannot fully serve</w:t>
      </w:r>
    </w:p>
    <w:p>
      <w:pPr>
        <w:pStyle w:val="ListParagraph"/>
        <w:numPr>
          <w:ilvl w:val="0"/>
          <w:numId w:val="2"/>
        </w:numPr>
        <w:spacing w:after="40" w:before="40"/>
      </w:pPr>
      <w:r>
        <w:rPr>
          <w:rFonts w:ascii="Arial" w:cs="Arial" w:eastAsia="Arial" w:hAnsi="Arial"/>
          <w:sz w:val="22"/>
          <w:szCs w:val="22"/>
        </w:rPr>
        <w:t xml:space="preserve">The first AI platform to provide a genuine C-suite intelligence layer — an AI CFO that closes the books, an AI HR Director that manages people compliance, and an AI COO that monitors operations — all from a single, affordable subscription</w:t>
      </w:r>
    </w:p>
    <w:p>
      <w:pPr>
        <w:pStyle w:val="ListParagraph"/>
        <w:numPr>
          <w:ilvl w:val="0"/>
          <w:numId w:val="2"/>
        </w:numPr>
        <w:spacing w:after="40" w:before="40"/>
      </w:pPr>
      <w:r>
        <w:rPr>
          <w:rFonts w:ascii="Arial" w:cs="Arial" w:eastAsia="Arial" w:hAnsi="Arial"/>
          <w:sz w:val="22"/>
          <w:szCs w:val="22"/>
        </w:rPr>
        <w:t xml:space="preserve">The dominant platform for the 170,000 UK charities, 20,000 CICs, and 100,000+ Nigerian businesses that currently cobble together 4-6 disconnected tools at higher total cost</w:t>
      </w:r>
    </w:p>
    <w:p>
      <w:pPr>
        <w:pStyle w:val="ListParagraph"/>
        <w:numPr>
          <w:ilvl w:val="0"/>
          <w:numId w:val="2"/>
        </w:numPr>
        <w:spacing w:after="40" w:before="40"/>
      </w:pPr>
      <w:r>
        <w:rPr>
          <w:rFonts w:ascii="Arial" w:cs="Arial" w:eastAsia="Arial" w:hAnsi="Arial"/>
          <w:sz w:val="22"/>
          <w:szCs w:val="22"/>
        </w:rPr>
        <w:t xml:space="preserve">The most trusted compliance platform for organisations with sponsored workers — a market that will grow as UK workforce shortages continue</w:t>
      </w:r>
    </w:p>
    <w:p>
      <w:pPr>
        <w:spacing w:after="80" w:before="80"/>
      </w:pPr>
      <w:r>
        <w:t xml:space="preserve"/>
      </w:r>
    </w:p>
    <w:p>
      <w:pPr>
        <w:spacing w:after="100" w:before="60"/>
      </w:pPr>
      <w:r>
        <w:rPr>
          <w:rFonts w:ascii="Arial" w:cs="Arial" w:eastAsia="Arial" w:hAnsi="Arial"/>
          <w:b/>
          <w:bCs/>
          <w:color w:val="0B1F3A"/>
          <w:sz w:val="22"/>
          <w:szCs w:val="22"/>
        </w:rPr>
        <w:t xml:space="preserve">The ambition to build 'the king of all' enterprise platforms is not just achievable — it is the right ambition. The gap in the market is real. The technology is ready. The architecture is sound. What is required now is disciplined, phased execution.</w:t>
      </w:r>
    </w:p>
    <w:p>
      <w:pPr>
        <w:spacing w:after="80" w:before="80"/>
      </w:pPr>
      <w:r>
        <w:t xml:space="preserve"/>
      </w:r>
    </w:p>
    <w:p>
      <w:pPr>
        <w:pBdr>
          <w:bottom w:val="single" w:color="C9A84C" w:sz="6" w:space="1"/>
        </w:pBdr>
        <w:spacing w:after="120" w:before="120"/>
      </w:pPr>
      <w:r>
        <w:t xml:space="preserve"/>
      </w:r>
    </w:p>
    <w:p>
      <w:pPr>
        <w:spacing w:after="40" w:before="200"/>
        <w:jc w:val="right"/>
      </w:pPr>
      <w:r>
        <w:rPr>
          <w:rFonts w:ascii="Arial" w:cs="Arial" w:eastAsia="Arial" w:hAnsi="Arial"/>
          <w:i/>
          <w:iCs/>
          <w:color w:val="555555"/>
          <w:sz w:val="20"/>
          <w:szCs w:val="20"/>
        </w:rPr>
        <w:t xml:space="preserve">Prepared by: Dominic Ogbuagu — CFO, CTO &amp; Co-Founder, Realtouch Global Ventures Ltd</w:t>
      </w:r>
    </w:p>
    <w:p>
      <w:pPr>
        <w:jc w:val="right"/>
      </w:pPr>
      <w:r>
        <w:rPr>
          <w:rFonts w:ascii="Arial" w:cs="Arial" w:eastAsia="Arial" w:hAnsi="Arial"/>
          <w:color w:val="888888"/>
          <w:sz w:val="18"/>
          <w:szCs w:val="18"/>
        </w:rPr>
        <w:t xml:space="preserve">Nexus One Strategic Analysis | April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1080" w:hanging="36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B1F3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B1F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2026-04-21T07:36:42.322Z</dcterms:created>
  <dcterms:modified xsi:type="dcterms:W3CDTF">2026-04-21T07:36:42.323Z</dcterms:modified>
</cp:coreProperties>
</file>

<file path=docProps/custom.xml><?xml version="1.0" encoding="utf-8"?>
<Properties xmlns="http://schemas.openxmlformats.org/officeDocument/2006/custom-properties" xmlns:vt="http://schemas.openxmlformats.org/officeDocument/2006/docPropsVTypes"/>
</file>