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2EF0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资源配置情况</w:t>
      </w:r>
    </w:p>
    <w:p w14:paraId="0DA7690B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输出要求：</w:t>
      </w:r>
    </w:p>
    <w:p w14:paraId="6BF8672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1、分析团队职级分布是否均衡，列出不均衡的占比。</w:t>
      </w:r>
    </w:p>
    <w:p w14:paraId="2B3C6649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2、汇总团队总人数，各职级分布的占比情况，并进行简单的总结。</w:t>
      </w:r>
    </w:p>
    <w:p w14:paraId="6F9197D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3、P11</w:t>
      </w:r>
      <w:r>
        <w:rPr>
          <w:rFonts w:hint="eastAsia"/>
          <w:lang w:val="en-US" w:eastAsia="zh-CN"/>
        </w:rPr>
        <w:t>和P12</w:t>
      </w:r>
      <w:r>
        <w:rPr>
          <w:rFonts w:hint="default"/>
          <w:lang w:val="en-US" w:eastAsia="zh-CN"/>
        </w:rPr>
        <w:t>属于低职级</w:t>
      </w:r>
      <w:r>
        <w:rPr>
          <w:rFonts w:hint="eastAsia"/>
          <w:lang w:val="en-US" w:eastAsia="zh-CN"/>
        </w:rPr>
        <w:t>，分别为初级岗位、中级岗位</w:t>
      </w:r>
      <w:r>
        <w:rPr>
          <w:rFonts w:hint="default"/>
          <w:lang w:val="en-US" w:eastAsia="zh-CN"/>
        </w:rPr>
        <w:t>，P1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、P1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属于中职级，</w:t>
      </w:r>
      <w:r>
        <w:rPr>
          <w:rFonts w:hint="eastAsia"/>
          <w:lang w:val="en-US" w:eastAsia="zh-CN"/>
        </w:rPr>
        <w:t>分别为高级岗位、专家岗位，</w:t>
      </w:r>
      <w:r>
        <w:rPr>
          <w:rFonts w:hint="default"/>
          <w:lang w:val="en-US" w:eastAsia="zh-CN"/>
        </w:rPr>
        <w:t>P1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、P1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属于高职级</w:t>
      </w:r>
      <w:r>
        <w:rPr>
          <w:rFonts w:hint="eastAsia"/>
          <w:lang w:val="en-US" w:eastAsia="zh-CN"/>
        </w:rPr>
        <w:t>，分别为总监、总裁</w:t>
      </w:r>
      <w:r>
        <w:rPr>
          <w:rFonts w:hint="default"/>
          <w:lang w:val="en-US" w:eastAsia="zh-CN"/>
        </w:rPr>
        <w:t>。</w:t>
      </w:r>
    </w:p>
    <w:p w14:paraId="67A05EFF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参考输出如下：</w:t>
      </w:r>
    </w:p>
    <w:p w14:paraId="67313C35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职级分布不均衡，中P占85%偏高，低P占4%偏低。团队总人数46人，职级分布按高、中、低分别占比11%、85%、4%，相对而言中P比例偏高，低P比例偏低。从岗位职级看，除客户端岗人数少之外，其他所有岗基本都中P比例偏高，低P比例偏低。</w:t>
      </w:r>
    </w:p>
    <w:p w14:paraId="35F12B1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员工薪酬情况</w:t>
      </w:r>
    </w:p>
    <w:p w14:paraId="661790BB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输出要求：</w:t>
      </w:r>
    </w:p>
    <w:p w14:paraId="68233993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1、分析</w:t>
      </w:r>
      <w:r>
        <w:rPr>
          <w:rFonts w:hint="eastAsia"/>
          <w:lang w:val="en-US" w:eastAsia="zh-CN"/>
        </w:rPr>
        <w:t>员工月薪</w:t>
      </w:r>
      <w:r>
        <w:rPr>
          <w:rFonts w:hint="default"/>
          <w:lang w:val="en-US" w:eastAsia="zh-CN"/>
        </w:rPr>
        <w:t>分布是否均衡，列出不均衡的占比。</w:t>
      </w:r>
    </w:p>
    <w:p w14:paraId="1949397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</w:t>
      </w:r>
      <w:r>
        <w:rPr>
          <w:rFonts w:hint="eastAsia"/>
          <w:lang w:val="en-US" w:eastAsia="zh-CN"/>
        </w:rPr>
        <w:t>按岗位+地区，岗位+入职年限介绍各</w:t>
      </w:r>
      <w:r>
        <w:rPr>
          <w:rFonts w:hint="default"/>
          <w:lang w:val="en-US" w:eastAsia="zh-CN"/>
        </w:rPr>
        <w:t>职级</w:t>
      </w:r>
      <w:r>
        <w:rPr>
          <w:rFonts w:hint="eastAsia"/>
          <w:lang w:val="en-US" w:eastAsia="zh-CN"/>
        </w:rPr>
        <w:t>月薪</w:t>
      </w:r>
      <w:r>
        <w:rPr>
          <w:rFonts w:hint="default"/>
          <w:lang w:val="en-US" w:eastAsia="zh-CN"/>
        </w:rPr>
        <w:t>分布的占比情况，并进行简单的总结。</w:t>
      </w:r>
    </w:p>
    <w:p w14:paraId="1E75C4D2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3、P11</w:t>
      </w:r>
      <w:r>
        <w:rPr>
          <w:rFonts w:hint="eastAsia"/>
          <w:lang w:val="en-US" w:eastAsia="zh-CN"/>
        </w:rPr>
        <w:t>和P12</w:t>
      </w:r>
      <w:r>
        <w:rPr>
          <w:rFonts w:hint="default"/>
          <w:lang w:val="en-US" w:eastAsia="zh-CN"/>
        </w:rPr>
        <w:t>属于低职级</w:t>
      </w:r>
      <w:r>
        <w:rPr>
          <w:rFonts w:hint="eastAsia"/>
          <w:lang w:val="en-US" w:eastAsia="zh-CN"/>
        </w:rPr>
        <w:t>，分别为初级岗位、中级岗位</w:t>
      </w:r>
      <w:r>
        <w:rPr>
          <w:rFonts w:hint="default"/>
          <w:lang w:val="en-US" w:eastAsia="zh-CN"/>
        </w:rPr>
        <w:t>，P1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、P1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属于中职级，</w:t>
      </w:r>
      <w:r>
        <w:rPr>
          <w:rFonts w:hint="eastAsia"/>
          <w:lang w:val="en-US" w:eastAsia="zh-CN"/>
        </w:rPr>
        <w:t>分别为高级岗位、专家岗位，</w:t>
      </w:r>
      <w:r>
        <w:rPr>
          <w:rFonts w:hint="default"/>
          <w:lang w:val="en-US" w:eastAsia="zh-CN"/>
        </w:rPr>
        <w:t>P1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、P1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属于高职级</w:t>
      </w:r>
      <w:r>
        <w:rPr>
          <w:rFonts w:hint="eastAsia"/>
          <w:lang w:val="en-US" w:eastAsia="zh-CN"/>
        </w:rPr>
        <w:t>，分别为总监、总裁</w:t>
      </w:r>
      <w:r>
        <w:rPr>
          <w:rFonts w:hint="default"/>
          <w:lang w:val="en-US" w:eastAsia="zh-CN"/>
        </w:rPr>
        <w:t>。</w:t>
      </w:r>
    </w:p>
    <w:p w14:paraId="27FB9B4F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参考输出如下：</w:t>
      </w:r>
    </w:p>
    <w:p w14:paraId="58A5767F">
      <w:pPr>
        <w:bidi w:val="0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按“岗位+地区”分析各职级月薪占比</w:t>
      </w:r>
    </w:p>
    <w:p w14:paraId="210169CF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技术类岗位</w:t>
      </w:r>
    </w:p>
    <w:p w14:paraId="7FF4EBF3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北京/上海：高级职级（P5+）月薪≥40K的占比达35%，初级职级（P1-P2）月薪≤15K的占比约20%。</w:t>
      </w:r>
    </w:p>
    <w:p w14:paraId="36F85E43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二线城市（如成都、武汉）：高级职级高薪段（≥30K）占比仅15%，初级职级低薪段（≤10K）占比超过40%。</w:t>
      </w:r>
    </w:p>
    <w:p w14:paraId="29D26A85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非技术类岗位</w:t>
      </w:r>
    </w:p>
    <w:p w14:paraId="06270D6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一线城市：高级职级月薪≥30K的占比约25%，显著低于技术类同级岗位。</w:t>
      </w:r>
    </w:p>
    <w:p w14:paraId="232A6B28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二三线城市：中级职级（P3-P4）月薪集中在10K-20K，占比超60%，薪资分布较为集中。</w:t>
      </w:r>
    </w:p>
    <w:p w14:paraId="0F347DBA">
      <w:pPr>
        <w:bidi w:val="0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按“岗位+入职年限”分析各职级月薪占比</w:t>
      </w:r>
    </w:p>
    <w:p w14:paraId="04E46CB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技术类岗位</w:t>
      </w:r>
    </w:p>
    <w:p w14:paraId="13D1FBD5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内</w:t>
      </w:r>
      <w:r>
        <w:rPr>
          <w:rFonts w:hint="default"/>
          <w:lang w:val="en-US" w:eastAsia="zh-CN"/>
        </w:rPr>
        <w:t>：集中在初级职级，月薪≤20K的占比超70%。</w:t>
      </w:r>
    </w:p>
    <w:p w14:paraId="3C7D59A0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</w:t>
      </w:r>
      <w:r>
        <w:rPr>
          <w:rFonts w:hint="eastAsia"/>
          <w:lang w:val="en-US" w:eastAsia="zh-CN"/>
        </w:rPr>
        <w:t>5-10</w:t>
      </w:r>
      <w:r>
        <w:rPr>
          <w:rFonts w:hint="default"/>
          <w:lang w:val="en-US" w:eastAsia="zh-CN"/>
        </w:rPr>
        <w:t>年：约50%员工晋升至高级职级，月薪≥35K的占比达40%，薪资跨度显著增大。</w:t>
      </w:r>
    </w:p>
    <w:p w14:paraId="2756E52A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非技术类岗位</w:t>
      </w:r>
    </w:p>
    <w:p w14:paraId="57925396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年内：近80%</w:t>
      </w:r>
      <w:bookmarkStart w:id="0" w:name="_GoBack"/>
      <w:bookmarkEnd w:id="0"/>
      <w:r>
        <w:rPr>
          <w:rFonts w:hint="default"/>
          <w:lang w:val="en-US" w:eastAsia="zh-CN"/>
        </w:rPr>
        <w:t>员工处于初级或中级职级，月薪主要分布在8K-25K。</w:t>
      </w:r>
    </w:p>
    <w:p w14:paraId="2DF620F7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</w:t>
      </w:r>
      <w:r>
        <w:rPr>
          <w:rFonts w:hint="eastAsia"/>
          <w:lang w:val="en-US" w:eastAsia="zh-CN"/>
        </w:rPr>
        <w:t>20</w:t>
      </w:r>
      <w:r>
        <w:rPr>
          <w:rFonts w:hint="default"/>
          <w:lang w:val="en-US" w:eastAsia="zh-CN"/>
        </w:rPr>
        <w:t>年以上：仅30%达到高级职级，月薪≥30K的占比不足20%，晋升与薪资增长慢于技术类。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AF8CE8"/>
    <w:multiLevelType w:val="multilevel"/>
    <w:tmpl w:val="EAAF8CE8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黑体" w:hAnsi="黑体" w:eastAsia="黑体" w:cs="黑体"/>
        <w:b/>
        <w:sz w:val="44"/>
        <w:szCs w:val="44"/>
      </w:rPr>
    </w:lvl>
    <w:lvl w:ilvl="1" w:tentative="0">
      <w:start w:val="1"/>
      <w:numFmt w:val="decimal"/>
      <w:pStyle w:val="3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2053" w:hanging="853"/>
      </w:pPr>
      <w:rPr>
        <w:rFonts w:hint="default" w:ascii="黑体" w:hAnsi="黑体" w:eastAsia="黑体" w:cs="黑体"/>
        <w:b/>
        <w:bCs/>
        <w:sz w:val="30"/>
        <w:szCs w:val="30"/>
      </w:rPr>
    </w:lvl>
    <w:lvl w:ilvl="4" w:tentative="0">
      <w:start w:val="1"/>
      <w:numFmt w:val="decimal"/>
      <w:pStyle w:val="6"/>
      <w:lvlText w:val="%1.%2.%3.%4.%5."/>
      <w:lvlJc w:val="left"/>
      <w:pPr>
        <w:ind w:left="2495" w:hanging="895"/>
      </w:pPr>
      <w:rPr>
        <w:rFonts w:hint="default" w:ascii="黑体" w:hAnsi="黑体" w:eastAsia="黑体" w:cs="黑体"/>
        <w:sz w:val="28"/>
        <w:szCs w:val="28"/>
      </w:rPr>
    </w:lvl>
    <w:lvl w:ilvl="5" w:tentative="0">
      <w:start w:val="1"/>
      <w:numFmt w:val="decimal"/>
      <w:pStyle w:val="7"/>
      <w:lvlText w:val="%1.%2.%3.%4.%5.%6."/>
      <w:lvlJc w:val="left"/>
      <w:pPr>
        <w:ind w:left="3136" w:hanging="1136"/>
      </w:pPr>
      <w:rPr>
        <w:rFonts w:hint="default" w:ascii="黑体" w:hAnsi="黑体" w:eastAsia="黑体" w:cs="黑体"/>
        <w:sz w:val="24"/>
        <w:szCs w:val="24"/>
      </w:rPr>
    </w:lvl>
    <w:lvl w:ilvl="6" w:tentative="0">
      <w:start w:val="1"/>
      <w:numFmt w:val="decimal"/>
      <w:pStyle w:val="8"/>
      <w:lvlText w:val="%1.%2.%3.%4.%5.%6.%7."/>
      <w:lvlJc w:val="left"/>
      <w:pPr>
        <w:ind w:left="3673" w:hanging="1273"/>
      </w:pPr>
      <w:rPr>
        <w:rFonts w:hint="default" w:ascii="黑体" w:hAnsi="黑体" w:eastAsia="黑体" w:cs="黑体"/>
        <w:sz w:val="24"/>
        <w:szCs w:val="24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C0981"/>
    <w:rsid w:val="07807B7B"/>
    <w:rsid w:val="09E75073"/>
    <w:rsid w:val="0D8A7F8E"/>
    <w:rsid w:val="1AAF38C0"/>
    <w:rsid w:val="1DB94480"/>
    <w:rsid w:val="1FBD0658"/>
    <w:rsid w:val="2F496193"/>
    <w:rsid w:val="32B34B12"/>
    <w:rsid w:val="3D5A15B1"/>
    <w:rsid w:val="3D727B37"/>
    <w:rsid w:val="3E265302"/>
    <w:rsid w:val="56415557"/>
    <w:rsid w:val="5D945DF5"/>
    <w:rsid w:val="5E956156"/>
    <w:rsid w:val="6218116C"/>
    <w:rsid w:val="62FE307D"/>
    <w:rsid w:val="65AC14BC"/>
    <w:rsid w:val="6BA5516E"/>
    <w:rsid w:val="6BFB2558"/>
    <w:rsid w:val="719B0F82"/>
    <w:rsid w:val="74E618C8"/>
    <w:rsid w:val="7C454193"/>
    <w:rsid w:val="7D543B54"/>
    <w:rsid w:val="7DAF2FE3"/>
    <w:rsid w:val="B1F7EF4D"/>
    <w:rsid w:val="F57D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60" w:lineRule="auto"/>
      <w:ind w:firstLine="883" w:firstLineChars="200"/>
      <w:jc w:val="both"/>
    </w:pPr>
    <w:rPr>
      <w:rFonts w:ascii="Times New Roman" w:hAnsi="Times New Roman" w:eastAsia="Songti SC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adjustRightInd w:val="0"/>
      <w:spacing w:before="340" w:beforeLines="0" w:beforeAutospacing="0" w:after="330" w:afterLines="0" w:afterAutospacing="0" w:line="576" w:lineRule="auto"/>
      <w:ind w:left="883" w:hanging="883" w:hangingChars="200"/>
      <w:outlineLvl w:val="0"/>
    </w:pPr>
    <w:rPr>
      <w:rFonts w:ascii="黑体" w:hAnsi="黑体" w:eastAsia="Songti SC" w:cstheme="minorBidi"/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keepNext/>
      <w:keepLines/>
      <w:numPr>
        <w:ilvl w:val="1"/>
        <w:numId w:val="1"/>
      </w:numPr>
      <w:adjustRightInd w:val="0"/>
      <w:spacing w:before="260" w:beforeLines="0" w:beforeAutospacing="0" w:after="260" w:afterLines="0" w:afterAutospacing="0" w:line="413" w:lineRule="auto"/>
      <w:ind w:left="883" w:hanging="883" w:hangingChars="200"/>
      <w:outlineLvl w:val="1"/>
    </w:pPr>
    <w:rPr>
      <w:rFonts w:ascii="黑体" w:hAnsi="黑体" w:eastAsia="Songti SC" w:cs="黑体"/>
      <w:b/>
      <w:bCs/>
      <w:sz w:val="36"/>
      <w:szCs w:val="36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2"/>
        <w:numId w:val="1"/>
      </w:numPr>
      <w:adjustRightInd w:val="0"/>
      <w:spacing w:before="260" w:beforeLines="0" w:beforeAutospacing="0" w:after="260" w:afterLines="0" w:afterAutospacing="0" w:line="413" w:lineRule="auto"/>
      <w:ind w:left="883" w:hanging="883" w:hangingChars="200"/>
      <w:outlineLvl w:val="2"/>
    </w:pPr>
    <w:rPr>
      <w:rFonts w:ascii="黑体" w:hAnsi="黑体" w:eastAsia="Songti SC" w:cs="黑体"/>
      <w:b/>
      <w:bCs/>
      <w:sz w:val="32"/>
      <w:szCs w:val="32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3"/>
        <w:numId w:val="1"/>
      </w:numPr>
      <w:adjustRightInd w:val="0"/>
      <w:spacing w:before="280" w:beforeLines="0" w:beforeAutospacing="0" w:after="290" w:afterLines="0" w:afterAutospacing="0" w:line="372" w:lineRule="auto"/>
      <w:ind w:left="1767" w:hanging="1767" w:hangingChars="400"/>
      <w:outlineLvl w:val="3"/>
    </w:pPr>
    <w:rPr>
      <w:rFonts w:ascii="黑体" w:hAnsi="黑体" w:eastAsia="Songti SC" w:cs="黑体"/>
      <w:b/>
      <w:bCs/>
      <w:sz w:val="30"/>
      <w:szCs w:val="30"/>
    </w:rPr>
  </w:style>
  <w:style w:type="paragraph" w:styleId="6">
    <w:name w:val="heading 5"/>
    <w:next w:val="1"/>
    <w:unhideWhenUsed/>
    <w:qFormat/>
    <w:uiPriority w:val="0"/>
    <w:pPr>
      <w:keepNext/>
      <w:keepLines/>
      <w:numPr>
        <w:ilvl w:val="4"/>
        <w:numId w:val="1"/>
      </w:numPr>
      <w:adjustRightInd w:val="0"/>
      <w:spacing w:before="280" w:beforeLines="0" w:beforeAutospacing="0" w:after="290" w:afterLines="0" w:afterAutospacing="0" w:line="372" w:lineRule="auto"/>
      <w:ind w:left="1767" w:hanging="1767" w:hangingChars="400"/>
      <w:outlineLvl w:val="4"/>
    </w:pPr>
    <w:rPr>
      <w:rFonts w:ascii="黑体" w:hAnsi="黑体" w:eastAsia="Songti SC" w:cs="黑体"/>
      <w:b/>
      <w:bCs/>
      <w:sz w:val="28"/>
      <w:szCs w:val="28"/>
    </w:rPr>
  </w:style>
  <w:style w:type="paragraph" w:styleId="7">
    <w:name w:val="heading 6"/>
    <w:next w:val="1"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240" w:beforeLines="0" w:beforeAutospacing="0" w:after="64" w:afterLines="0" w:afterAutospacing="0" w:line="317" w:lineRule="auto"/>
      <w:ind w:left="2209" w:hanging="2209" w:hangingChars="500"/>
      <w:outlineLvl w:val="5"/>
    </w:pPr>
    <w:rPr>
      <w:rFonts w:ascii="黑体" w:hAnsi="黑体" w:eastAsia="Songti SC" w:cs="黑体"/>
      <w:b/>
      <w:bCs/>
      <w:sz w:val="24"/>
    </w:rPr>
  </w:style>
  <w:style w:type="paragraph" w:styleId="8">
    <w:name w:val="heading 7"/>
    <w:next w:val="1"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240" w:beforeLines="0" w:beforeAutospacing="0" w:after="64" w:afterLines="0" w:afterAutospacing="0" w:line="317" w:lineRule="auto"/>
      <w:ind w:left="2650" w:hanging="2650" w:hangingChars="600"/>
      <w:outlineLvl w:val="6"/>
    </w:pPr>
    <w:rPr>
      <w:rFonts w:ascii="黑体" w:hAnsi="黑体" w:eastAsia="Songti SC" w:cs="黑体"/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2021-03-02T01:06:00Z</dcterms:created>
  <dc:creator>pfl</dc:creator>
  <cp:lastModifiedBy>熊家伟</cp:lastModifiedBy>
  <dcterms:modified xsi:type="dcterms:W3CDTF">2026-01-08T10:11:55Z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839708D07EF8A6C7C5105F69D5F02DFC_42</vt:lpwstr>
  </property>
</Properties>
</file>