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eastAsia="Noto Sans CJK SC"/>
          <w:b/>
          <w:color w:val="000000"/>
          <w:sz w:val="44"/>
        </w:rPr>
        <w:t>火巡智策 第五部分创新与验证写作大纲</w:t>
      </w:r>
    </w:p>
    <w:p>
      <w:pPr>
        <w:spacing w:after="360"/>
        <w:jc w:val="center"/>
      </w:pPr>
      <w:r>
        <w:rPr>
          <w:rFonts w:ascii="Aptos" w:hAnsi="Aptos" w:eastAsia="Noto Sans CJK SC"/>
          <w:b w:val="0"/>
          <w:color w:val="5F6B7A"/>
          <w:sz w:val="23"/>
        </w:rPr>
        <w:t>用于项目PDF第五部分的独立撰写与证据准备</w:t>
      </w:r>
    </w:p>
    <w:p>
      <w:pPr>
        <w:spacing w:after="120" w:line="288" w:lineRule="auto"/>
      </w:pPr>
      <w:r>
        <w:rPr>
          <w:rFonts w:ascii="Aptos" w:hAnsi="Aptos" w:eastAsia="Noto Sans CJK SC"/>
          <w:b/>
          <w:color w:val="F47A2A"/>
          <w:sz w:val="21"/>
        </w:rPr>
        <w:t>任务结论：</w:t>
      </w:r>
      <w:r>
        <w:rPr>
          <w:rFonts w:ascii="Aptos" w:hAnsi="Aptos" w:eastAsia="Noto Sans CJK SC"/>
          <w:b w:val="0"/>
          <w:color w:val="000000"/>
          <w:sz w:val="21"/>
        </w:rPr>
        <w:t>第五部分负责把前文的技术方案转化为评委可判断的创新结论和验证证据。正式PDF建议设置5.1核心创新、5.2场景验证、5.3工程验证三节，合计约2.5至3页、1200至1600字，配置2张综合图。叙事顺序固定为“新在哪里—能否完成真实任务—运行是否可靠”。</w:t>
      </w:r>
    </w:p>
    <w:p>
      <w:pPr>
        <w:pStyle w:val="Heading1"/>
      </w:pPr>
      <w:r>
        <w:t>一 任务范围与篇幅</w:t>
      </w:r>
    </w:p>
    <w:tbl>
      <w:tblPr>
        <w:tblW w:type="auto" w:w="0"/>
        <w:jc w:val="center"/>
        <w:tblLayout w:type="fixed"/>
        <w:tblLook w:firstColumn="1" w:firstRow="1" w:lastColumn="0" w:lastRow="0" w:noHBand="0" w:noVBand="1" w:val="04A0"/>
      </w:tblPr>
      <w:tblGrid>
        <w:gridCol w:w="2010"/>
        <w:gridCol w:w="2010"/>
        <w:gridCol w:w="2010"/>
        <w:gridCol w:w="2010"/>
        <w:gridCol w:w="2010"/>
      </w:tblGrid>
      <w:tr>
        <w:trPr>
          <w:tblHeader w:val="true"/>
          <w:cantSplit/>
        </w:trPr>
        <w:tc>
          <w:tcPr>
            <w:tcW w:type="dxa" w:w="1656"/>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章节</w:t>
            </w:r>
          </w:p>
        </w:tc>
        <w:tc>
          <w:tcPr>
            <w:tcW w:type="dxa" w:w="396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核心问题</w:t>
            </w:r>
          </w:p>
        </w:tc>
        <w:tc>
          <w:tcPr>
            <w:tcW w:type="dxa" w:w="151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建议文字量</w:t>
            </w:r>
          </w:p>
        </w:tc>
        <w:tc>
          <w:tcPr>
            <w:tcW w:type="dxa" w:w="151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预计篇幅</w:t>
            </w:r>
          </w:p>
        </w:tc>
        <w:tc>
          <w:tcPr>
            <w:tcW w:type="dxa" w:w="108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主图</w:t>
            </w:r>
          </w:p>
        </w:tc>
      </w:tr>
      <w:tr>
        <w:trPr>
          <w:cantSplit/>
        </w:trPr>
        <w:tc>
          <w:tcPr>
            <w:tcW w:type="dxa" w:w="165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5.1 核心创新</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相较于单点识别或固定调度，本系统新增了什么能力</w:t>
            </w:r>
          </w:p>
        </w:tc>
        <w:tc>
          <w:tcPr>
            <w:tcW w:type="dxa" w:w="15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350—450字</w:t>
            </w:r>
          </w:p>
        </w:tc>
        <w:tc>
          <w:tcPr>
            <w:tcW w:type="dxa" w:w="15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约0.8页</w:t>
            </w:r>
          </w:p>
        </w:tc>
        <w:tc>
          <w:tcPr>
            <w:tcW w:type="dxa" w:w="10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图5-1</w:t>
            </w:r>
          </w:p>
        </w:tc>
      </w:tr>
      <w:tr>
        <w:trPr>
          <w:cantSplit/>
        </w:trPr>
        <w:tc>
          <w:tcPr>
            <w:tcW w:type="dxa" w:w="165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5.2 场景验证</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面对典型火情、人员和资源变化，系统能否形成正确闭环</w:t>
            </w:r>
          </w:p>
        </w:tc>
        <w:tc>
          <w:tcPr>
            <w:tcW w:type="dxa" w:w="15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500—650字</w:t>
            </w:r>
          </w:p>
        </w:tc>
        <w:tc>
          <w:tcPr>
            <w:tcW w:type="dxa" w:w="15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约1—1.2页</w:t>
            </w:r>
          </w:p>
        </w:tc>
        <w:tc>
          <w:tcPr>
            <w:tcW w:type="dxa" w:w="10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图5-2主体</w:t>
            </w:r>
          </w:p>
        </w:tc>
      </w:tr>
      <w:tr>
        <w:trPr>
          <w:cantSplit/>
        </w:trPr>
        <w:tc>
          <w:tcPr>
            <w:tcW w:type="dxa" w:w="165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5.3 工程验证</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接口、规则、状态和前端链路是否稳定一致</w:t>
            </w:r>
          </w:p>
        </w:tc>
        <w:tc>
          <w:tcPr>
            <w:tcW w:type="dxa" w:w="15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350—500字</w:t>
            </w:r>
          </w:p>
        </w:tc>
        <w:tc>
          <w:tcPr>
            <w:tcW w:type="dxa" w:w="15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约0.7—1页</w:t>
            </w:r>
          </w:p>
        </w:tc>
        <w:tc>
          <w:tcPr>
            <w:tcW w:type="dxa" w:w="10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图5-2证据栏</w:t>
            </w:r>
          </w:p>
        </w:tc>
      </w:tr>
      <w:tr>
        <w:trPr>
          <w:cantSplit/>
        </w:trPr>
        <w:tc>
          <w:tcPr>
            <w:tcW w:type="dxa" w:w="165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合计</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以创新结论和运行证据建立可信度</w:t>
            </w:r>
          </w:p>
        </w:tc>
        <w:tc>
          <w:tcPr>
            <w:tcW w:type="dxa" w:w="15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1200—1600字</w:t>
            </w:r>
          </w:p>
        </w:tc>
        <w:tc>
          <w:tcPr>
            <w:tcW w:type="dxa" w:w="15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约2.5—3页</w:t>
            </w:r>
          </w:p>
        </w:tc>
        <w:tc>
          <w:tcPr>
            <w:tcW w:type="dxa" w:w="10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2张综合图</w:t>
            </w:r>
          </w:p>
        </w:tc>
      </w:tr>
    </w:tbl>
    <w:p>
      <w:pPr>
        <w:spacing w:after="0"/>
      </w:pPr>
    </w:p>
    <w:p>
      <w:pPr>
        <w:spacing w:after="120" w:line="288" w:lineRule="auto"/>
      </w:pPr>
      <w:r>
        <w:rPr>
          <w:rFonts w:ascii="Aptos" w:hAnsi="Aptos" w:eastAsia="Noto Sans CJK SC"/>
          <w:b/>
          <w:color w:val="F47A2A"/>
          <w:sz w:val="21"/>
        </w:rPr>
        <w:t>最终交付物：</w:t>
      </w:r>
      <w:r>
        <w:rPr>
          <w:rFonts w:ascii="Aptos" w:hAnsi="Aptos" w:eastAsia="Noto Sans CJK SC"/>
          <w:b w:val="0"/>
          <w:color w:val="000000"/>
          <w:sz w:val="21"/>
        </w:rPr>
        <w:t>第五部分正文初稿1份、图5-1创新能力图1张、图5-2验证证据图1张、最终测试结果表1份、截图和日志素材包1份。</w:t>
      </w:r>
    </w:p>
    <w:p>
      <w:pPr>
        <w:spacing w:after="120" w:line="288" w:lineRule="auto"/>
      </w:pPr>
      <w:r>
        <w:rPr>
          <w:rFonts w:ascii="Aptos" w:hAnsi="Aptos" w:eastAsia="Noto Sans CJK SC"/>
          <w:b/>
          <w:color w:val="F47A2A"/>
          <w:sz w:val="21"/>
        </w:rPr>
        <w:t>与评审规则对应：</w:t>
      </w:r>
      <w:r>
        <w:rPr>
          <w:rFonts w:ascii="Aptos" w:hAnsi="Aptos" w:eastAsia="Noto Sans CJK SC"/>
          <w:b w:val="0"/>
          <w:color w:val="000000"/>
          <w:sz w:val="21"/>
        </w:rPr>
        <w:t>5.1直接支撑创新性评分；5.2与5.3共同支撑技术实现、稳定性和应用价值评分；用户体验由第四部分承担，本部分只引用关键交互结果。</w:t>
      </w:r>
    </w:p>
    <w:p>
      <w:pPr>
        <w:pStyle w:val="Heading1"/>
      </w:pPr>
      <w:r>
        <w:t>二 标题层级与叙事结构</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44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层级</w:t>
            </w:r>
          </w:p>
        </w:tc>
        <w:tc>
          <w:tcPr>
            <w:tcW w:type="dxa" w:w="208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固定标题</w:t>
            </w:r>
          </w:p>
        </w:tc>
        <w:tc>
          <w:tcPr>
            <w:tcW w:type="dxa" w:w="360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内部组织</w:t>
            </w:r>
          </w:p>
        </w:tc>
        <w:tc>
          <w:tcPr>
            <w:tcW w:type="dxa" w:w="288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写作重点</w:t>
            </w:r>
          </w:p>
        </w:tc>
      </w:tr>
      <w:tr>
        <w:trPr>
          <w:cantSplit/>
        </w:trPr>
        <w:tc>
          <w:tcPr>
            <w:tcW w:type="dxa" w:w="14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一级标题</w:t>
            </w:r>
          </w:p>
        </w:tc>
        <w:tc>
          <w:tcPr>
            <w:tcW w:type="dxa" w:w="208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五 创新与验证</w:t>
            </w:r>
          </w:p>
        </w:tc>
        <w:tc>
          <w:tcPr>
            <w:tcW w:type="dxa" w:w="360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统领差异化价值和运行证据</w:t>
            </w:r>
          </w:p>
        </w:tc>
        <w:tc>
          <w:tcPr>
            <w:tcW w:type="dxa" w:w="28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先给结论，再给证据</w:t>
            </w:r>
          </w:p>
        </w:tc>
      </w:tr>
      <w:tr>
        <w:trPr>
          <w:cantSplit/>
        </w:trPr>
        <w:tc>
          <w:tcPr>
            <w:tcW w:type="dxa" w:w="144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二级标题</w:t>
            </w:r>
          </w:p>
        </w:tc>
        <w:tc>
          <w:tcPr>
            <w:tcW w:type="dxa" w:w="208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5.1 核心创新</w:t>
            </w:r>
          </w:p>
        </w:tc>
        <w:tc>
          <w:tcPr>
            <w:tcW w:type="dxa" w:w="360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四项创新＋能力演进图</w:t>
            </w:r>
          </w:p>
        </w:tc>
        <w:tc>
          <w:tcPr>
            <w:tcW w:type="dxa" w:w="28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不写成技术模块重复介绍</w:t>
            </w:r>
          </w:p>
        </w:tc>
      </w:tr>
      <w:tr>
        <w:trPr>
          <w:cantSplit/>
        </w:trPr>
        <w:tc>
          <w:tcPr>
            <w:tcW w:type="dxa" w:w="14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二级标题</w:t>
            </w:r>
          </w:p>
        </w:tc>
        <w:tc>
          <w:tcPr>
            <w:tcW w:type="dxa" w:w="208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5.2 场景验证</w:t>
            </w:r>
          </w:p>
        </w:tc>
        <w:tc>
          <w:tcPr>
            <w:tcW w:type="dxa" w:w="360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六类业务场景＋三类代表曲线</w:t>
            </w:r>
          </w:p>
        </w:tc>
        <w:tc>
          <w:tcPr>
            <w:tcW w:type="dxa" w:w="28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说明输入、系统动作和结果</w:t>
            </w:r>
          </w:p>
        </w:tc>
      </w:tr>
      <w:tr>
        <w:trPr>
          <w:cantSplit/>
        </w:trPr>
        <w:tc>
          <w:tcPr>
            <w:tcW w:type="dxa" w:w="144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二级标题</w:t>
            </w:r>
          </w:p>
        </w:tc>
        <w:tc>
          <w:tcPr>
            <w:tcW w:type="dxa" w:w="208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5.3 工程验证</w:t>
            </w:r>
          </w:p>
        </w:tc>
        <w:tc>
          <w:tcPr>
            <w:tcW w:type="dxa" w:w="360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规则回归＋接口契约＋构建门禁</w:t>
            </w:r>
          </w:p>
        </w:tc>
        <w:tc>
          <w:tcPr>
            <w:tcW w:type="dxa" w:w="28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用可复现结果证明稳定性</w:t>
            </w:r>
          </w:p>
        </w:tc>
      </w:tr>
    </w:tbl>
    <w:p>
      <w:pPr>
        <w:spacing w:after="0"/>
      </w:pPr>
    </w:p>
    <w:p>
      <w:pPr>
        <w:pStyle w:val="ListBullet"/>
        <w:spacing w:after="60" w:line="276" w:lineRule="auto"/>
        <w:ind w:left="403" w:hanging="216"/>
      </w:pPr>
      <w:r>
        <w:rPr>
          <w:rFonts w:ascii="Aptos" w:hAnsi="Aptos" w:eastAsia="Noto Sans CJK SC"/>
          <w:b w:val="0"/>
          <w:color w:val="000000"/>
          <w:sz w:val="20"/>
        </w:rPr>
        <w:t>不再设置5.1.1、5.1.2等三级编号。节内使用（一）（二）（三）（四）或短标签组织内容。</w:t>
      </w:r>
    </w:p>
    <w:p>
      <w:pPr>
        <w:pStyle w:val="ListBullet"/>
        <w:spacing w:after="60" w:line="276" w:lineRule="auto"/>
        <w:ind w:left="403" w:hanging="216"/>
      </w:pPr>
      <w:r>
        <w:rPr>
          <w:rFonts w:ascii="Aptos" w:hAnsi="Aptos" w:eastAsia="Noto Sans CJK SC"/>
          <w:b w:val="0"/>
          <w:color w:val="000000"/>
          <w:sz w:val="20"/>
        </w:rPr>
        <w:t>每个创新点都必须对应系统能力和实现机制；每个验证结论都必须对应测试、截图、事件或报告记录。</w:t>
      </w:r>
    </w:p>
    <w:p>
      <w:pPr>
        <w:pStyle w:val="ListBullet"/>
        <w:spacing w:after="60" w:line="276" w:lineRule="auto"/>
        <w:ind w:left="403" w:hanging="216"/>
      </w:pPr>
      <w:r>
        <w:rPr>
          <w:rFonts w:ascii="Aptos" w:hAnsi="Aptos" w:eastAsia="Noto Sans CJK SC"/>
          <w:b w:val="0"/>
          <w:color w:val="000000"/>
          <w:sz w:val="20"/>
        </w:rPr>
        <w:t>不得用没有来源的竞品评分表。能力对照只比较处理链条和功能维度，不评价未核实产品。</w:t>
      </w:r>
    </w:p>
    <w:p>
      <w:pPr>
        <w:pStyle w:val="ListBullet"/>
        <w:spacing w:after="60" w:line="276" w:lineRule="auto"/>
        <w:ind w:left="403" w:hanging="216"/>
      </w:pPr>
      <w:r>
        <w:rPr>
          <w:rFonts w:ascii="Aptos" w:hAnsi="Aptos" w:eastAsia="Noto Sans CJK SC"/>
          <w:b w:val="0"/>
          <w:color w:val="000000"/>
          <w:sz w:val="20"/>
        </w:rPr>
        <w:t>最终测试数量、通过率和耗时在提交前统一运行后填入；本任务书不固定沿用早期数字。</w:t>
      </w:r>
    </w:p>
    <w:p>
      <w:pPr>
        <w:pStyle w:val="Heading1"/>
      </w:pPr>
      <w:r>
        <w:t>三 5.1 核心创新写作说明</w:t>
      </w:r>
    </w:p>
    <w:p>
      <w:pPr>
        <w:spacing w:after="120" w:line="288" w:lineRule="auto"/>
      </w:pPr>
      <w:r>
        <w:rPr>
          <w:rFonts w:ascii="Aptos" w:hAnsi="Aptos" w:eastAsia="Noto Sans CJK SC"/>
          <w:b/>
          <w:color w:val="F47A2A"/>
          <w:sz w:val="21"/>
        </w:rPr>
        <w:t>本节目的：</w:t>
      </w:r>
      <w:r>
        <w:rPr>
          <w:rFonts w:ascii="Aptos" w:hAnsi="Aptos" w:eastAsia="Noto Sans CJK SC"/>
          <w:b w:val="0"/>
          <w:color w:val="000000"/>
          <w:sz w:val="21"/>
        </w:rPr>
        <w:t>回答作品为什么不是普通火情识别网页，也不是一次性无人机调度程序，而是一套具备多源研判、确定性决策和持续重规划能力的森林火灾协同处置系统。</w:t>
      </w:r>
    </w:p>
    <w:p>
      <w:pPr>
        <w:pStyle w:val="Heading2"/>
      </w:pPr>
      <w:r>
        <w:t>5.1.1 四项创新内容</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944"/>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创新点</w:t>
            </w:r>
          </w:p>
        </w:tc>
        <w:tc>
          <w:tcPr>
            <w:tcW w:type="dxa" w:w="288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结论句方向</w:t>
            </w:r>
          </w:p>
        </w:tc>
        <w:tc>
          <w:tcPr>
            <w:tcW w:type="dxa" w:w="4104"/>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必须说明的机制</w:t>
            </w:r>
          </w:p>
        </w:tc>
        <w:tc>
          <w:tcPr>
            <w:tcW w:type="dxa" w:w="115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建议字数</w:t>
            </w:r>
          </w:p>
        </w:tc>
      </w:tr>
      <w:tr>
        <w:trPr>
          <w:cantSplit/>
        </w:trPr>
        <w:tc>
          <w:tcPr>
            <w:tcW w:type="dxa" w:w="194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（一）从识别到闭环处置</w:t>
            </w:r>
          </w:p>
        </w:tc>
        <w:tc>
          <w:tcPr>
            <w:tcW w:type="dxa" w:w="28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将报警、感知、研判、调度、审批、执行和复盘连接成持续任务链</w:t>
            </w:r>
          </w:p>
        </w:tc>
        <w:tc>
          <w:tcPr>
            <w:tcW w:type="dxa" w:w="410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多源输入、方案版本、5分钟反馈、重规划、归档</w:t>
            </w:r>
          </w:p>
        </w:tc>
        <w:tc>
          <w:tcPr>
            <w:tcW w:type="dxa" w:w="115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80—100字</w:t>
            </w:r>
          </w:p>
        </w:tc>
      </w:tr>
      <w:tr>
        <w:trPr>
          <w:cantSplit/>
        </w:trPr>
        <w:tc>
          <w:tcPr>
            <w:tcW w:type="dxa" w:w="194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（二）模型理解与规则决策分离</w:t>
            </w:r>
          </w:p>
        </w:tc>
        <w:tc>
          <w:tcPr>
            <w:tcW w:type="dxa" w:w="28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VLM负责观察和解释，安全关键数字由确定性规则统一计算</w:t>
            </w:r>
          </w:p>
        </w:tc>
        <w:tc>
          <w:tcPr>
            <w:tcW w:type="dxa" w:w="410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VLM契约守卫、FLP/SOC/药剂/时间规则、来源标注</w:t>
            </w:r>
          </w:p>
        </w:tc>
        <w:tc>
          <w:tcPr>
            <w:tcW w:type="dxa" w:w="115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90—110字</w:t>
            </w:r>
          </w:p>
        </w:tc>
      </w:tr>
      <w:tr>
        <w:trPr>
          <w:cantSplit/>
        </w:trPr>
        <w:tc>
          <w:tcPr>
            <w:tcW w:type="dxa" w:w="194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（三）真实环境进入调度</w:t>
            </w:r>
          </w:p>
        </w:tc>
        <w:tc>
          <w:tcPr>
            <w:tcW w:type="dxa" w:w="288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地形、植被、风速、水源和道路不是背景展示，而是参与风险与补给决策</w:t>
            </w:r>
          </w:p>
        </w:tc>
        <w:tc>
          <w:tcPr>
            <w:tcW w:type="dxa" w:w="410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坡度与燃料系数、水源六条件、环境快照与方案版本绑定</w:t>
            </w:r>
          </w:p>
        </w:tc>
        <w:tc>
          <w:tcPr>
            <w:tcW w:type="dxa" w:w="115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90—110字</w:t>
            </w:r>
          </w:p>
        </w:tc>
      </w:tr>
      <w:tr>
        <w:trPr>
          <w:cantSplit/>
        </w:trPr>
        <w:tc>
          <w:tcPr>
            <w:tcW w:type="dxa" w:w="194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（四）三子群动态协同</w:t>
            </w:r>
          </w:p>
        </w:tc>
        <w:tc>
          <w:tcPr>
            <w:tcW w:type="dxa" w:w="288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2侦察＋6灭火＋4支援按任务变化重组，并保留用户审批权</w:t>
            </w:r>
          </w:p>
        </w:tc>
        <w:tc>
          <w:tcPr>
            <w:tcW w:type="dxa" w:w="410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侦察、灭火、补给、疏导、返航、接替和人工门禁</w:t>
            </w:r>
          </w:p>
        </w:tc>
        <w:tc>
          <w:tcPr>
            <w:tcW w:type="dxa" w:w="115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90—110字</w:t>
            </w:r>
          </w:p>
        </w:tc>
      </w:tr>
    </w:tbl>
    <w:p>
      <w:pPr>
        <w:spacing w:after="0"/>
      </w:pPr>
    </w:p>
    <w:p>
      <w:pPr>
        <w:pStyle w:val="Heading2"/>
      </w:pPr>
      <w:r>
        <w:t>5.1.2 写作方式</w:t>
      </w:r>
    </w:p>
    <w:p>
      <w:pPr>
        <w:pStyle w:val="ListBullet"/>
        <w:spacing w:after="60" w:line="276" w:lineRule="auto"/>
        <w:ind w:left="403" w:hanging="216"/>
      </w:pPr>
      <w:r>
        <w:rPr>
          <w:rFonts w:ascii="Aptos" w:hAnsi="Aptos" w:eastAsia="Noto Sans CJK SC"/>
          <w:b w:val="0"/>
          <w:color w:val="000000"/>
          <w:sz w:val="20"/>
        </w:rPr>
        <w:t>开头用60—80字概括：系统创新不在单一模型，而在于把视觉理解、真实环境、机群资源和确定性决策组织为可审批、可执行、可重规划的闭环。</w:t>
      </w:r>
    </w:p>
    <w:p>
      <w:pPr>
        <w:pStyle w:val="ListBullet"/>
        <w:spacing w:after="60" w:line="276" w:lineRule="auto"/>
        <w:ind w:left="403" w:hanging="216"/>
      </w:pPr>
      <w:r>
        <w:rPr>
          <w:rFonts w:ascii="Aptos" w:hAnsi="Aptos" w:eastAsia="Noto Sans CJK SC"/>
          <w:b w:val="0"/>
          <w:color w:val="000000"/>
          <w:sz w:val="20"/>
        </w:rPr>
        <w:t>四项创新采用并列短段，每段固定使用“现有环节的局限—本系统新增能力—实际作用”三句结构。</w:t>
      </w:r>
    </w:p>
    <w:p>
      <w:pPr>
        <w:pStyle w:val="ListBullet"/>
        <w:spacing w:after="60" w:line="276" w:lineRule="auto"/>
        <w:ind w:left="403" w:hanging="216"/>
      </w:pPr>
      <w:r>
        <w:rPr>
          <w:rFonts w:ascii="Aptos" w:hAnsi="Aptos" w:eastAsia="Noto Sans CJK SC"/>
          <w:b w:val="0"/>
          <w:color w:val="000000"/>
          <w:sz w:val="20"/>
        </w:rPr>
        <w:t>结尾用40—60字收束：系统由单点识别扩展为覆盖火情处置全过程的智能决策应用。</w:t>
      </w:r>
    </w:p>
    <w:p>
      <w:pPr>
        <w:spacing w:after="120" w:line="288" w:lineRule="auto"/>
      </w:pPr>
      <w:r>
        <w:rPr>
          <w:rFonts w:ascii="Aptos" w:hAnsi="Aptos" w:eastAsia="Noto Sans CJK SC"/>
          <w:b/>
          <w:color w:val="F47A2A"/>
          <w:sz w:val="21"/>
        </w:rPr>
        <w:t>禁止写法：</w:t>
      </w:r>
      <w:r>
        <w:rPr>
          <w:rFonts w:ascii="Aptos" w:hAnsi="Aptos" w:eastAsia="Noto Sans CJK SC"/>
          <w:b w:val="0"/>
          <w:color w:val="000000"/>
          <w:sz w:val="21"/>
        </w:rPr>
        <w:t>不要把Vue、FastAPI、LangGraph、SRTM等工具名称本身写成创新点；工具是实现手段，创新必须落在业务能力、决策机制和闭环方式上。</w:t>
      </w:r>
    </w:p>
    <w:p>
      <w:pPr>
        <w:pStyle w:val="Heading1"/>
      </w:pPr>
      <w:r>
        <w:t>四 图5-1制作任务书</w:t>
      </w:r>
    </w:p>
    <w:p>
      <w:pPr>
        <w:spacing w:after="120" w:line="288" w:lineRule="auto"/>
      </w:pPr>
      <w:r>
        <w:rPr>
          <w:rFonts w:ascii="Aptos" w:hAnsi="Aptos" w:eastAsia="Noto Sans CJK SC"/>
          <w:b/>
          <w:color w:val="F47A2A"/>
          <w:sz w:val="21"/>
        </w:rPr>
        <w:t>图名：</w:t>
      </w:r>
      <w:r>
        <w:rPr>
          <w:rFonts w:ascii="Aptos" w:hAnsi="Aptos" w:eastAsia="Noto Sans CJK SC"/>
          <w:b w:val="0"/>
          <w:color w:val="000000"/>
          <w:sz w:val="21"/>
        </w:rPr>
        <w:t>图5-1 从单点识别到闭环协同处置的能力扩展</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72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版块</w:t>
            </w:r>
          </w:p>
        </w:tc>
        <w:tc>
          <w:tcPr>
            <w:tcW w:type="dxa" w:w="439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内容</w:t>
            </w:r>
          </w:p>
        </w:tc>
        <w:tc>
          <w:tcPr>
            <w:tcW w:type="dxa" w:w="396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表现方式</w:t>
            </w:r>
          </w:p>
        </w:tc>
      </w:tr>
      <w:tr>
        <w:trPr>
          <w:cantSplit/>
        </w:trPr>
        <w:tc>
          <w:tcPr>
            <w:tcW w:type="dxa" w:w="172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左侧 起点</w:t>
            </w:r>
          </w:p>
        </w:tc>
        <w:tc>
          <w:tcPr>
            <w:tcW w:type="dxa" w:w="439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火焰烟雾识别、单次告警、静态资源展示</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浅灰蓝三项能力</w:t>
            </w:r>
          </w:p>
        </w:tc>
      </w:tr>
      <w:tr>
        <w:trPr>
          <w:cantSplit/>
        </w:trPr>
        <w:tc>
          <w:tcPr>
            <w:tcW w:type="dxa" w:w="172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中部 扩展机制</w:t>
            </w:r>
          </w:p>
        </w:tc>
        <w:tc>
          <w:tcPr>
            <w:tcW w:type="dxa" w:w="439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多源环境融合、确定性规则、三子群协同、人工审批</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四个橙蓝机制卡</w:t>
            </w:r>
          </w:p>
        </w:tc>
      </w:tr>
      <w:tr>
        <w:trPr>
          <w:cantSplit/>
        </w:trPr>
        <w:tc>
          <w:tcPr>
            <w:tcW w:type="dxa" w:w="172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右侧 形成能力</w:t>
            </w:r>
          </w:p>
        </w:tc>
        <w:tc>
          <w:tcPr>
            <w:tcW w:type="dxa" w:w="439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自主研判、方案生成、持续执行、反馈重规划、报告归档</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深蓝闭环能力环</w:t>
            </w:r>
          </w:p>
        </w:tc>
      </w:tr>
      <w:tr>
        <w:trPr>
          <w:cantSplit/>
        </w:trPr>
        <w:tc>
          <w:tcPr>
            <w:tcW w:type="dxa" w:w="172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底部 价值线</w:t>
            </w:r>
          </w:p>
        </w:tc>
        <w:tc>
          <w:tcPr>
            <w:tcW w:type="dxa" w:w="439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更完整的任务链、更可解释的数字、更安全的执行门禁、更持续的处置能力</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四个短结论</w:t>
            </w:r>
          </w:p>
        </w:tc>
      </w:tr>
    </w:tbl>
    <w:p>
      <w:pPr>
        <w:spacing w:after="0"/>
      </w:pPr>
    </w:p>
    <w:p>
      <w:pPr>
        <w:pStyle w:val="ListBullet"/>
        <w:spacing w:after="60" w:line="276" w:lineRule="auto"/>
        <w:ind w:left="403" w:hanging="216"/>
      </w:pPr>
      <w:r>
        <w:rPr>
          <w:rFonts w:ascii="Aptos" w:hAnsi="Aptos" w:eastAsia="Noto Sans CJK SC"/>
          <w:b w:val="0"/>
          <w:color w:val="000000"/>
          <w:sz w:val="20"/>
        </w:rPr>
        <w:t>图中不出现竞品名称和主观评分，只表达本系统从“识别火情”向“闭环处置”扩展的能力链。</w:t>
      </w:r>
    </w:p>
    <w:p>
      <w:pPr>
        <w:pStyle w:val="ListBullet"/>
        <w:spacing w:after="60" w:line="276" w:lineRule="auto"/>
        <w:ind w:left="403" w:hanging="216"/>
      </w:pPr>
      <w:r>
        <w:rPr>
          <w:rFonts w:ascii="Aptos" w:hAnsi="Aptos" w:eastAsia="Noto Sans CJK SC"/>
          <w:b w:val="0"/>
          <w:color w:val="000000"/>
          <w:sz w:val="20"/>
        </w:rPr>
        <w:t>主色使用蓝色，火情和决策节点使用橙色，审批门禁使用金色，反馈回路使用紫色。</w:t>
      </w:r>
    </w:p>
    <w:p>
      <w:pPr>
        <w:pStyle w:val="ListBullet"/>
        <w:spacing w:after="60" w:line="276" w:lineRule="auto"/>
        <w:ind w:left="403" w:hanging="216"/>
      </w:pPr>
      <w:r>
        <w:rPr>
          <w:rFonts w:ascii="Aptos" w:hAnsi="Aptos" w:eastAsia="Noto Sans CJK SC"/>
          <w:b w:val="0"/>
          <w:color w:val="000000"/>
          <w:sz w:val="20"/>
        </w:rPr>
        <w:t>图中文字控制在每个节点4—8字；正文解释创新，图负责展示能力关系，二者不要逐字重复。</w:t>
      </w:r>
    </w:p>
    <w:p>
      <w:pPr>
        <w:pStyle w:val="Heading1"/>
      </w:pPr>
      <w:r>
        <w:t>五 5.2 场景验证写作说明</w:t>
      </w:r>
    </w:p>
    <w:p>
      <w:pPr>
        <w:spacing w:after="120" w:line="288" w:lineRule="auto"/>
      </w:pPr>
      <w:r>
        <w:rPr>
          <w:rFonts w:ascii="Aptos" w:hAnsi="Aptos" w:eastAsia="Noto Sans CJK SC"/>
          <w:b/>
          <w:color w:val="F47A2A"/>
          <w:sz w:val="21"/>
        </w:rPr>
        <w:t>本节目的：</w:t>
      </w:r>
      <w:r>
        <w:rPr>
          <w:rFonts w:ascii="Aptos" w:hAnsi="Aptos" w:eastAsia="Noto Sans CJK SC"/>
          <w:b w:val="0"/>
          <w:color w:val="000000"/>
          <w:sz w:val="21"/>
        </w:rPr>
        <w:t>通过可复现的任务场景证明系统面对火情、人员、风速、SOC、库存和用户约束变化时，能够产生符合规则的不同决策，而不是只播放固定动画。</w:t>
      </w:r>
    </w:p>
    <w:p>
      <w:pPr>
        <w:pStyle w:val="Heading2"/>
      </w:pPr>
      <w:r>
        <w:t>5.2.1 六类业务场景</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72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场景</w:t>
            </w:r>
          </w:p>
        </w:tc>
        <w:tc>
          <w:tcPr>
            <w:tcW w:type="dxa" w:w="2376"/>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关键输入</w:t>
            </w:r>
          </w:p>
        </w:tc>
        <w:tc>
          <w:tcPr>
            <w:tcW w:type="dxa" w:w="4104"/>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系统应表现出的行为</w:t>
            </w:r>
          </w:p>
        </w:tc>
        <w:tc>
          <w:tcPr>
            <w:tcW w:type="dxa" w:w="187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主要证据</w:t>
            </w:r>
          </w:p>
        </w:tc>
      </w:tr>
      <w:tr>
        <w:trPr>
          <w:cantSplit/>
        </w:trPr>
        <w:tc>
          <w:tcPr>
            <w:tcW w:type="dxa" w:w="172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S1 一般林地无人</w:t>
            </w:r>
          </w:p>
        </w:tc>
        <w:tc>
          <w:tcPr>
            <w:tcW w:type="dxa" w:w="23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一般火情、资源充足、无人</w:t>
            </w:r>
          </w:p>
        </w:tc>
        <w:tc>
          <w:tcPr>
            <w:tcW w:type="dxa" w:w="410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R侦察、E灭火、S物流，生成可控制方案</w:t>
            </w:r>
          </w:p>
        </w:tc>
        <w:tc>
          <w:tcPr>
            <w:tcW w:type="dxa" w:w="187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工作台全景＋首轮报告</w:t>
            </w:r>
          </w:p>
        </w:tc>
      </w:tr>
      <w:tr>
        <w:trPr>
          <w:cantSplit/>
        </w:trPr>
        <w:tc>
          <w:tcPr>
            <w:tcW w:type="dxa" w:w="172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S2 发现人员</w:t>
            </w:r>
          </w:p>
        </w:tc>
        <w:tc>
          <w:tcPr>
            <w:tcW w:type="dxa" w:w="237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人员确认、危险区与出口</w:t>
            </w:r>
          </w:p>
        </w:tc>
        <w:tc>
          <w:tcPr>
            <w:tcW w:type="dxa" w:w="410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S执行通信指引，E保护疏散通道</w:t>
            </w:r>
          </w:p>
        </w:tc>
        <w:tc>
          <w:tcPr>
            <w:tcW w:type="dxa" w:w="187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路线图＋任务分配</w:t>
            </w:r>
          </w:p>
        </w:tc>
      </w:tr>
      <w:tr>
        <w:trPr>
          <w:cantSplit/>
        </w:trPr>
        <w:tc>
          <w:tcPr>
            <w:tcW w:type="dxa" w:w="172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S3 用户调整</w:t>
            </w:r>
          </w:p>
        </w:tc>
        <w:tc>
          <w:tcPr>
            <w:tcW w:type="dxa" w:w="23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限制最大出动数量或改变目标时间</w:t>
            </w:r>
          </w:p>
        </w:tc>
        <w:tc>
          <w:tcPr>
            <w:tcW w:type="dxa" w:w="410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生成新方案版本并说明资源与时间变化</w:t>
            </w:r>
          </w:p>
        </w:tc>
        <w:tc>
          <w:tcPr>
            <w:tcW w:type="dxa" w:w="187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v1/v2对比＋manual_adjust事件</w:t>
            </w:r>
          </w:p>
        </w:tc>
      </w:tr>
      <w:tr>
        <w:trPr>
          <w:cantSplit/>
        </w:trPr>
        <w:tc>
          <w:tcPr>
            <w:tcW w:type="dxa" w:w="172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S4 SOC不足</w:t>
            </w:r>
          </w:p>
        </w:tc>
        <w:tc>
          <w:tcPr>
            <w:tcW w:type="dxa" w:w="237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单机航程后返航SOC接近阈值</w:t>
            </w:r>
          </w:p>
        </w:tc>
        <w:tc>
          <w:tcPr>
            <w:tcW w:type="dxa" w:w="410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返航、基地充电或备机接替，返航SOC不低于25%</w:t>
            </w:r>
          </w:p>
        </w:tc>
        <w:tc>
          <w:tcPr>
            <w:tcW w:type="dxa" w:w="187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SOC曲线＋相位事件</w:t>
            </w:r>
          </w:p>
        </w:tc>
      </w:tr>
      <w:tr>
        <w:trPr>
          <w:cantSplit/>
        </w:trPr>
        <w:tc>
          <w:tcPr>
            <w:tcW w:type="dxa" w:w="172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S5 库存不足</w:t>
            </w:r>
          </w:p>
        </w:tc>
        <w:tc>
          <w:tcPr>
            <w:tcW w:type="dxa" w:w="23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W20/C6或电池不足</w:t>
            </w:r>
          </w:p>
        </w:tc>
        <w:tc>
          <w:tcPr>
            <w:tcW w:type="dxa" w:w="410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输出不可控制或资源缺口，不给虚假完成时间</w:t>
            </w:r>
          </w:p>
        </w:tc>
        <w:tc>
          <w:tcPr>
            <w:tcW w:type="dxa" w:w="187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三态结论＋resource gap</w:t>
            </w:r>
          </w:p>
        </w:tc>
      </w:tr>
      <w:tr>
        <w:trPr>
          <w:cantSplit/>
        </w:trPr>
        <w:tc>
          <w:tcPr>
            <w:tcW w:type="dxa" w:w="172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S6 拒绝方案</w:t>
            </w:r>
          </w:p>
        </w:tc>
        <w:tc>
          <w:tcPr>
            <w:tcW w:type="dxa" w:w="237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用户拒绝或终止</w:t>
            </w:r>
          </w:p>
        </w:tc>
        <w:tc>
          <w:tcPr>
            <w:tcW w:type="dxa" w:w="410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释放资源锁并归档任务状态</w:t>
            </w:r>
          </w:p>
        </w:tc>
        <w:tc>
          <w:tcPr>
            <w:tcW w:type="dxa" w:w="187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审批事件＋资源恢复</w:t>
            </w:r>
          </w:p>
        </w:tc>
      </w:tr>
    </w:tbl>
    <w:p>
      <w:pPr>
        <w:spacing w:after="0"/>
      </w:pPr>
    </w:p>
    <w:p>
      <w:pPr>
        <w:pStyle w:val="Heading2"/>
      </w:pPr>
      <w:r>
        <w:t>5.2.2 三组代表结果</w:t>
      </w:r>
    </w:p>
    <w:p>
      <w:pPr>
        <w:pStyle w:val="ListBullet"/>
        <w:spacing w:after="60" w:line="276" w:lineRule="auto"/>
        <w:ind w:left="403" w:hanging="216"/>
      </w:pPr>
      <w:r>
        <w:rPr>
          <w:rFonts w:ascii="Aptos" w:hAnsi="Aptos" w:eastAsia="Noto Sans CJK SC"/>
          <w:b w:val="0"/>
          <w:color w:val="000000"/>
          <w:sz w:val="20"/>
        </w:rPr>
        <w:t>正常小火：展示FLP逐轮下降并达到控制阈值，证明调度规模、药剂消耗和时间输出能够闭合。</w:t>
      </w:r>
    </w:p>
    <w:p>
      <w:pPr>
        <w:pStyle w:val="ListBullet"/>
        <w:spacing w:after="60" w:line="276" w:lineRule="auto"/>
        <w:ind w:left="403" w:hanging="216"/>
      </w:pPr>
      <w:r>
        <w:rPr>
          <w:rFonts w:ascii="Aptos" w:hAnsi="Aptos" w:eastAsia="Noto Sans CJK SC"/>
          <w:b w:val="0"/>
          <w:color w:val="000000"/>
          <w:sz w:val="20"/>
        </w:rPr>
        <w:t>补给间歇：展示灭火机返航补水期间火势短时回升、接替机到位后重新下降，证明系统没有强行让曲线单调下降。</w:t>
      </w:r>
    </w:p>
    <w:p>
      <w:pPr>
        <w:pStyle w:val="ListBullet"/>
        <w:spacing w:after="60" w:line="276" w:lineRule="auto"/>
        <w:ind w:left="403" w:hanging="216"/>
      </w:pPr>
      <w:r>
        <w:rPr>
          <w:rFonts w:ascii="Aptos" w:hAnsi="Aptos" w:eastAsia="Noto Sans CJK SC"/>
          <w:b w:val="0"/>
          <w:color w:val="000000"/>
          <w:sz w:val="20"/>
        </w:rPr>
        <w:t>资源不足：展示可控制、只能维持压制、不可控制三种结论及对应原因，证明系统能够拒绝不满足约束的方案。</w:t>
      </w:r>
    </w:p>
    <w:p>
      <w:pPr>
        <w:spacing w:after="120" w:line="288" w:lineRule="auto"/>
      </w:pPr>
      <w:r>
        <w:rPr>
          <w:rFonts w:ascii="Aptos" w:hAnsi="Aptos" w:eastAsia="Noto Sans CJK SC"/>
          <w:b/>
          <w:color w:val="F47A2A"/>
          <w:sz w:val="21"/>
        </w:rPr>
        <w:t>正文组织：</w:t>
      </w:r>
      <w:r>
        <w:rPr>
          <w:rFonts w:ascii="Aptos" w:hAnsi="Aptos" w:eastAsia="Noto Sans CJK SC"/>
          <w:b w:val="0"/>
          <w:color w:val="000000"/>
          <w:sz w:val="21"/>
        </w:rPr>
        <w:t>先用一段总述说明六类场景覆盖哪些关键变化；随后选三组代表结果作深入解释；其余场景以表格或图中短标签呈现，避免六个场景逐一写成长段。</w:t>
      </w:r>
    </w:p>
    <w:p>
      <w:pPr>
        <w:pStyle w:val="Heading1"/>
      </w:pPr>
      <w:r>
        <w:t>六 5.3 工程验证写作说明</w:t>
      </w:r>
    </w:p>
    <w:p>
      <w:pPr>
        <w:spacing w:after="120" w:line="288" w:lineRule="auto"/>
      </w:pPr>
      <w:r>
        <w:rPr>
          <w:rFonts w:ascii="Aptos" w:hAnsi="Aptos" w:eastAsia="Noto Sans CJK SC"/>
          <w:b/>
          <w:color w:val="F47A2A"/>
          <w:sz w:val="21"/>
        </w:rPr>
        <w:t>本节目的：</w:t>
      </w:r>
      <w:r>
        <w:rPr>
          <w:rFonts w:ascii="Aptos" w:hAnsi="Aptos" w:eastAsia="Noto Sans CJK SC"/>
          <w:b w:val="0"/>
          <w:color w:val="000000"/>
          <w:sz w:val="21"/>
        </w:rPr>
        <w:t>证明同一套规则、接口和状态链能够稳定运行，并且前端显示、后端计算、模型来源和报告记录相互一致。</w:t>
      </w:r>
    </w:p>
    <w:p>
      <w:pPr>
        <w:pStyle w:val="Heading2"/>
      </w:pPr>
      <w:r>
        <w:t>5.3.1 四类工程证据</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证据类别</w:t>
            </w:r>
          </w:p>
        </w:tc>
        <w:tc>
          <w:tcPr>
            <w:tcW w:type="dxa" w:w="496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需要呈现的内容</w:t>
            </w:r>
          </w:p>
        </w:tc>
        <w:tc>
          <w:tcPr>
            <w:tcW w:type="dxa" w:w="331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推荐证据</w:t>
            </w:r>
          </w:p>
        </w:tc>
      </w:tr>
      <w:tr>
        <w:trPr>
          <w:cantSplit/>
        </w:trPr>
        <w:tc>
          <w:tcPr>
            <w:tcW w:type="dxa" w:w="180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数值一致性</w:t>
            </w:r>
          </w:p>
        </w:tc>
        <w:tc>
          <w:tcPr>
            <w:tcW w:type="dxa" w:w="49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10分钟与5＋5分钟结果一致；1分钟和8分钟航程产生不同返航时间；零增长率不被默认值覆盖</w:t>
            </w:r>
          </w:p>
        </w:tc>
        <w:tc>
          <w:tcPr>
            <w:tcW w:type="dxa" w:w="33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统一分钟推进回归结果</w:t>
            </w:r>
          </w:p>
        </w:tc>
      </w:tr>
      <w:tr>
        <w:trPr>
          <w:cantSplit/>
        </w:trPr>
        <w:tc>
          <w:tcPr>
            <w:tcW w:type="dxa" w:w="180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资源守恒</w:t>
            </w:r>
          </w:p>
        </w:tc>
        <w:tc>
          <w:tcPr>
            <w:tcW w:type="dxa" w:w="496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W20、C6、电量和库存按轮次变化，完整航次预计返航SOC不低于25%</w:t>
            </w:r>
          </w:p>
        </w:tc>
        <w:tc>
          <w:tcPr>
            <w:tcW w:type="dxa" w:w="33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轮次账本＋库存前后对比</w:t>
            </w:r>
          </w:p>
        </w:tc>
      </w:tr>
      <w:tr>
        <w:trPr>
          <w:cantSplit/>
        </w:trPr>
        <w:tc>
          <w:tcPr>
            <w:tcW w:type="dxa" w:w="180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数据有效性</w:t>
            </w:r>
          </w:p>
        </w:tc>
        <w:tc>
          <w:tcPr>
            <w:tcW w:type="dxa" w:w="49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坡度、植被和风速改变FLP；不同合格水源改变补给选择；环境快照绑定方案版本</w:t>
            </w:r>
          </w:p>
        </w:tc>
        <w:tc>
          <w:tcPr>
            <w:tcW w:type="dxa" w:w="33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GIS规则测试＋方案记录</w:t>
            </w:r>
          </w:p>
        </w:tc>
      </w:tr>
      <w:tr>
        <w:trPr>
          <w:cantSplit/>
        </w:trPr>
        <w:tc>
          <w:tcPr>
            <w:tcW w:type="dxa" w:w="180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模型与接口</w:t>
            </w:r>
          </w:p>
        </w:tc>
        <w:tc>
          <w:tcPr>
            <w:tcW w:type="dxa" w:w="496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VLM真实调用、回退和失败状态均被正确识别；契约不允许模型覆盖关键数值</w:t>
            </w:r>
          </w:p>
        </w:tc>
        <w:tc>
          <w:tcPr>
            <w:tcW w:type="dxa" w:w="331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状态截图＋契约测试</w:t>
            </w:r>
          </w:p>
        </w:tc>
      </w:tr>
      <w:tr>
        <w:trPr>
          <w:cantSplit/>
        </w:trPr>
        <w:tc>
          <w:tcPr>
            <w:tcW w:type="dxa" w:w="180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系统门禁</w:t>
            </w:r>
          </w:p>
        </w:tc>
        <w:tc>
          <w:tcPr>
            <w:tcW w:type="dxa" w:w="49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后端测试、语法检查、前端构建和浏览器场景均通过</w:t>
            </w:r>
          </w:p>
        </w:tc>
        <w:tc>
          <w:tcPr>
            <w:tcW w:type="dxa" w:w="331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终端结果＋验收记录</w:t>
            </w:r>
          </w:p>
        </w:tc>
      </w:tr>
    </w:tbl>
    <w:p>
      <w:pPr>
        <w:spacing w:after="0"/>
      </w:pPr>
    </w:p>
    <w:p>
      <w:pPr>
        <w:pStyle w:val="Heading2"/>
      </w:pPr>
      <w:r>
        <w:t>5.3.2 数字填报规则</w:t>
      </w:r>
    </w:p>
    <w:p>
      <w:pPr>
        <w:pStyle w:val="ListBullet"/>
        <w:spacing w:after="60" w:line="276" w:lineRule="auto"/>
        <w:ind w:left="403" w:hanging="216"/>
      </w:pPr>
      <w:r>
        <w:rPr>
          <w:rFonts w:ascii="Aptos" w:hAnsi="Aptos" w:eastAsia="Noto Sans CJK SC"/>
          <w:b w:val="0"/>
          <w:color w:val="000000"/>
          <w:sz w:val="20"/>
        </w:rPr>
        <w:t>提交前统一执行pytest、后端语法检查、前端构建和浏览器场景脚本，再填写最终测试数量、通过率与场景数量。</w:t>
      </w:r>
    </w:p>
    <w:p>
      <w:pPr>
        <w:pStyle w:val="ListBullet"/>
        <w:spacing w:after="60" w:line="276" w:lineRule="auto"/>
        <w:ind w:left="403" w:hanging="216"/>
      </w:pPr>
      <w:r>
        <w:rPr>
          <w:rFonts w:ascii="Aptos" w:hAnsi="Aptos" w:eastAsia="Noto Sans CJK SC"/>
          <w:b w:val="0"/>
          <w:color w:val="000000"/>
          <w:sz w:val="20"/>
        </w:rPr>
        <w:t>只填写能够由命令输出、JSON报告、截图或归档文件复核的数字；不要使用开发中途记录作为最终指标。</w:t>
      </w:r>
    </w:p>
    <w:p>
      <w:pPr>
        <w:pStyle w:val="ListBullet"/>
        <w:spacing w:after="60" w:line="276" w:lineRule="auto"/>
        <w:ind w:left="403" w:hanging="216"/>
      </w:pPr>
      <w:r>
        <w:rPr>
          <w:rFonts w:ascii="Aptos" w:hAnsi="Aptos" w:eastAsia="Noto Sans CJK SC"/>
          <w:b w:val="0"/>
          <w:color w:val="000000"/>
          <w:sz w:val="20"/>
        </w:rPr>
        <w:t>识别准确率、推理时间等模型指标单独引用PWM-YOLO训练评测结果；平台规则测试数量不能替代模型性能指标。</w:t>
      </w:r>
    </w:p>
    <w:p>
      <w:pPr>
        <w:pStyle w:val="ListBullet"/>
        <w:spacing w:after="60" w:line="276" w:lineRule="auto"/>
        <w:ind w:left="403" w:hanging="216"/>
      </w:pPr>
      <w:r>
        <w:rPr>
          <w:rFonts w:ascii="Aptos" w:hAnsi="Aptos" w:eastAsia="Noto Sans CJK SC"/>
          <w:b w:val="0"/>
          <w:color w:val="000000"/>
          <w:sz w:val="20"/>
        </w:rPr>
        <w:t>如果一项结果只能说明功能通过，就写“通过某场景验证”，不要包装成准确率或提升百分比。</w:t>
      </w:r>
    </w:p>
    <w:p>
      <w:pPr>
        <w:pStyle w:val="Heading1"/>
      </w:pPr>
      <w:r>
        <w:t>七 图5-2制作任务书</w:t>
      </w:r>
    </w:p>
    <w:p>
      <w:pPr>
        <w:spacing w:after="120" w:line="288" w:lineRule="auto"/>
      </w:pPr>
      <w:r>
        <w:rPr>
          <w:rFonts w:ascii="Aptos" w:hAnsi="Aptos" w:eastAsia="Noto Sans CJK SC"/>
          <w:b/>
          <w:color w:val="F47A2A"/>
          <w:sz w:val="21"/>
        </w:rPr>
        <w:t>图名：</w:t>
      </w:r>
      <w:r>
        <w:rPr>
          <w:rFonts w:ascii="Aptos" w:hAnsi="Aptos" w:eastAsia="Noto Sans CJK SC"/>
          <w:b w:val="0"/>
          <w:color w:val="000000"/>
          <w:sz w:val="21"/>
        </w:rPr>
        <w:t>图5-2 典型场景与系统验证结果</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区域</w:t>
            </w:r>
          </w:p>
        </w:tc>
        <w:tc>
          <w:tcPr>
            <w:tcW w:type="dxa" w:w="144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占比</w:t>
            </w:r>
          </w:p>
        </w:tc>
        <w:tc>
          <w:tcPr>
            <w:tcW w:type="dxa" w:w="684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放什么</w:t>
            </w:r>
          </w:p>
        </w:tc>
      </w:tr>
      <w:tr>
        <w:trPr>
          <w:cantSplit/>
        </w:trPr>
        <w:tc>
          <w:tcPr>
            <w:tcW w:type="dxa" w:w="194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左侧 场景矩阵</w:t>
            </w:r>
          </w:p>
        </w:tc>
        <w:tc>
          <w:tcPr>
            <w:tcW w:type="dxa" w:w="14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约35%</w:t>
            </w:r>
          </w:p>
        </w:tc>
        <w:tc>
          <w:tcPr>
            <w:tcW w:type="dxa" w:w="68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六个场景卡片，每张只写输入变化和系统动作</w:t>
            </w:r>
          </w:p>
        </w:tc>
      </w:tr>
      <w:tr>
        <w:trPr>
          <w:cantSplit/>
        </w:trPr>
        <w:tc>
          <w:tcPr>
            <w:tcW w:type="dxa" w:w="194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中部 代表曲线</w:t>
            </w:r>
          </w:p>
        </w:tc>
        <w:tc>
          <w:tcPr>
            <w:tcW w:type="dxa" w:w="144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约40%</w:t>
            </w:r>
          </w:p>
        </w:tc>
        <w:tc>
          <w:tcPr>
            <w:tcW w:type="dxa" w:w="684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正常小火下降曲线、补给间歇回升曲线、资源不足三态结果</w:t>
            </w:r>
          </w:p>
        </w:tc>
      </w:tr>
      <w:tr>
        <w:trPr>
          <w:cantSplit/>
        </w:trPr>
        <w:tc>
          <w:tcPr>
            <w:tcW w:type="dxa" w:w="194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右侧 工程门禁</w:t>
            </w:r>
          </w:p>
        </w:tc>
        <w:tc>
          <w:tcPr>
            <w:tcW w:type="dxa" w:w="14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约25%</w:t>
            </w:r>
          </w:p>
        </w:tc>
        <w:tc>
          <w:tcPr>
            <w:tcW w:type="dxa" w:w="684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规则测试、契约测试、前端构建、浏览器验收四类结果</w:t>
            </w:r>
          </w:p>
        </w:tc>
      </w:tr>
    </w:tbl>
    <w:p>
      <w:pPr>
        <w:spacing w:after="0"/>
      </w:pPr>
    </w:p>
    <w:p>
      <w:pPr>
        <w:pStyle w:val="ListBullet"/>
        <w:spacing w:after="60" w:line="276" w:lineRule="auto"/>
        <w:ind w:left="403" w:hanging="216"/>
      </w:pPr>
      <w:r>
        <w:rPr>
          <w:rFonts w:ascii="Aptos" w:hAnsi="Aptos" w:eastAsia="Noto Sans CJK SC"/>
          <w:b w:val="0"/>
          <w:color w:val="000000"/>
          <w:sz w:val="20"/>
        </w:rPr>
        <w:t>曲线统一展示before FLP、自然增长、有效压制和net change；补给间歇回升必须标出returning/servicing阶段。</w:t>
      </w:r>
    </w:p>
    <w:p>
      <w:pPr>
        <w:pStyle w:val="ListBullet"/>
        <w:spacing w:after="60" w:line="276" w:lineRule="auto"/>
        <w:ind w:left="403" w:hanging="216"/>
      </w:pPr>
      <w:r>
        <w:rPr>
          <w:rFonts w:ascii="Aptos" w:hAnsi="Aptos" w:eastAsia="Noto Sans CJK SC"/>
          <w:b w:val="0"/>
          <w:color w:val="000000"/>
          <w:sz w:val="20"/>
        </w:rPr>
        <w:t>三态结论使用绿、橙、红三色：可控制、时限内未完成或只能维持压制、不可控制或资源不足。</w:t>
      </w:r>
    </w:p>
    <w:p>
      <w:pPr>
        <w:pStyle w:val="ListBullet"/>
        <w:spacing w:after="60" w:line="276" w:lineRule="auto"/>
        <w:ind w:left="403" w:hanging="216"/>
      </w:pPr>
      <w:r>
        <w:rPr>
          <w:rFonts w:ascii="Aptos" w:hAnsi="Aptos" w:eastAsia="Noto Sans CJK SC"/>
          <w:b w:val="0"/>
          <w:color w:val="000000"/>
          <w:sz w:val="20"/>
        </w:rPr>
        <w:t>测试数字在最终代码冻结后更新；图中保留可编辑数字位，不把旧进度记录直接做成最终结论。</w:t>
      </w:r>
    </w:p>
    <w:p>
      <w:pPr>
        <w:pStyle w:val="ListBullet"/>
        <w:spacing w:after="60" w:line="276" w:lineRule="auto"/>
        <w:ind w:left="403" w:hanging="216"/>
      </w:pPr>
      <w:r>
        <w:rPr>
          <w:rFonts w:ascii="Aptos" w:hAnsi="Aptos" w:eastAsia="Noto Sans CJK SC"/>
          <w:b w:val="0"/>
          <w:color w:val="000000"/>
          <w:sz w:val="20"/>
        </w:rPr>
        <w:t>截图、曲线和门禁结果必须来自同一冻结版本，图注写明场景名称和数据来源。</w:t>
      </w:r>
    </w:p>
    <w:p>
      <w:pPr>
        <w:pStyle w:val="Heading1"/>
      </w:pPr>
      <w:r>
        <w:t>八 取材位置</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44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需要的内容</w:t>
            </w:r>
          </w:p>
        </w:tc>
        <w:tc>
          <w:tcPr>
            <w:tcW w:type="dxa" w:w="4824"/>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优先来源</w:t>
            </w:r>
          </w:p>
        </w:tc>
        <w:tc>
          <w:tcPr>
            <w:tcW w:type="dxa" w:w="295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用于哪一节</w:t>
            </w:r>
          </w:p>
        </w:tc>
      </w:tr>
      <w:tr>
        <w:trPr>
          <w:cantSplit/>
        </w:trPr>
        <w:tc>
          <w:tcPr>
            <w:tcW w:type="dxa" w:w="244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创新机制与总体能力</w:t>
            </w:r>
          </w:p>
        </w:tc>
        <w:tc>
          <w:tcPr>
            <w:tcW w:type="dxa" w:w="482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README.md、docs/architecture.md、docs/agent-architecture.md</w:t>
            </w:r>
          </w:p>
        </w:tc>
        <w:tc>
          <w:tcPr>
            <w:tcW w:type="dxa" w:w="295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5.1</w:t>
            </w:r>
          </w:p>
        </w:tc>
      </w:tr>
      <w:tr>
        <w:trPr>
          <w:cantSplit/>
        </w:trPr>
        <w:tc>
          <w:tcPr>
            <w:tcW w:type="dxa" w:w="244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规则与统一分钟推进</w:t>
            </w:r>
          </w:p>
        </w:tc>
        <w:tc>
          <w:tcPr>
            <w:tcW w:type="dxa" w:w="482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docs/algorithm.md、backend/app/rules/、pipeline.py</w:t>
            </w:r>
          </w:p>
        </w:tc>
        <w:tc>
          <w:tcPr>
            <w:tcW w:type="dxa" w:w="295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5.1、5.3</w:t>
            </w:r>
          </w:p>
        </w:tc>
      </w:tr>
      <w:tr>
        <w:trPr>
          <w:cantSplit/>
        </w:trPr>
        <w:tc>
          <w:tcPr>
            <w:tcW w:type="dxa" w:w="244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六场景验收</w:t>
            </w:r>
          </w:p>
        </w:tc>
        <w:tc>
          <w:tcPr>
            <w:tcW w:type="dxa" w:w="482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tests/test_scenarios.py、e2e/acceptance_six.py、e2e/artifacts/</w:t>
            </w:r>
          </w:p>
        </w:tc>
        <w:tc>
          <w:tcPr>
            <w:tcW w:type="dxa" w:w="295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5.2</w:t>
            </w:r>
          </w:p>
        </w:tc>
      </w:tr>
      <w:tr>
        <w:trPr>
          <w:cantSplit/>
        </w:trPr>
        <w:tc>
          <w:tcPr>
            <w:tcW w:type="dxa" w:w="244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优化回归矩阵</w:t>
            </w:r>
          </w:p>
        </w:tc>
        <w:tc>
          <w:tcPr>
            <w:tcW w:type="dxa" w:w="482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tests/test_doc_optimizations.py、docs/p4-acceptance-record.json</w:t>
            </w:r>
          </w:p>
        </w:tc>
        <w:tc>
          <w:tcPr>
            <w:tcW w:type="dxa" w:w="295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5.2、5.3</w:t>
            </w:r>
          </w:p>
        </w:tc>
      </w:tr>
      <w:tr>
        <w:trPr>
          <w:cantSplit/>
        </w:trPr>
        <w:tc>
          <w:tcPr>
            <w:tcW w:type="dxa" w:w="244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VLM与适配协议</w:t>
            </w:r>
          </w:p>
        </w:tc>
        <w:tc>
          <w:tcPr>
            <w:tcW w:type="dxa" w:w="4824"/>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tests/test_vlm_contract.py、tests/test_adapters.py、api-contract.md</w:t>
            </w:r>
          </w:p>
        </w:tc>
        <w:tc>
          <w:tcPr>
            <w:tcW w:type="dxa" w:w="295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5.3</w:t>
            </w:r>
          </w:p>
        </w:tc>
      </w:tr>
      <w:tr>
        <w:trPr>
          <w:cantSplit/>
        </w:trPr>
        <w:tc>
          <w:tcPr>
            <w:tcW w:type="dxa" w:w="244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当前完成记录</w:t>
            </w:r>
          </w:p>
        </w:tc>
        <w:tc>
          <w:tcPr>
            <w:tcW w:type="dxa" w:w="4824"/>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docs/task-progress.md</w:t>
            </w:r>
          </w:p>
        </w:tc>
        <w:tc>
          <w:tcPr>
            <w:tcW w:type="dxa" w:w="295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核对日期、版本和最终数字</w:t>
            </w:r>
          </w:p>
        </w:tc>
      </w:tr>
    </w:tbl>
    <w:p>
      <w:pPr>
        <w:spacing w:after="0"/>
      </w:pPr>
    </w:p>
    <w:p>
      <w:pPr>
        <w:pStyle w:val="Heading1"/>
      </w:pPr>
      <w:r>
        <w:t>九 与其他章节的边界</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23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内容</w:t>
            </w:r>
          </w:p>
        </w:tc>
        <w:tc>
          <w:tcPr>
            <w:tcW w:type="dxa" w:w="4032"/>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第五部分只写什么</w:t>
            </w:r>
          </w:p>
        </w:tc>
        <w:tc>
          <w:tcPr>
            <w:tcW w:type="dxa" w:w="3960"/>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由其他部分展开</w:t>
            </w:r>
          </w:p>
        </w:tc>
      </w:tr>
      <w:tr>
        <w:trPr>
          <w:cantSplit/>
        </w:trPr>
        <w:tc>
          <w:tcPr>
            <w:tcW w:type="dxa" w:w="22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六层技术架构</w:t>
            </w:r>
          </w:p>
        </w:tc>
        <w:tc>
          <w:tcPr>
            <w:tcW w:type="dxa" w:w="40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提炼为创新机制，不重讲模块流程</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第三部分</w:t>
            </w:r>
          </w:p>
        </w:tc>
      </w:tr>
      <w:tr>
        <w:trPr>
          <w:cantSplit/>
        </w:trPr>
        <w:tc>
          <w:tcPr>
            <w:tcW w:type="dxa" w:w="223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平台界面与用户操作</w:t>
            </w:r>
          </w:p>
        </w:tc>
        <w:tc>
          <w:tcPr>
            <w:tcW w:type="dxa" w:w="403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只引用关键截图作为验证证据</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第四部分</w:t>
            </w:r>
          </w:p>
        </w:tc>
      </w:tr>
      <w:tr>
        <w:trPr>
          <w:cantSplit/>
        </w:trPr>
        <w:tc>
          <w:tcPr>
            <w:tcW w:type="dxa" w:w="22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创新性</w:t>
            </w:r>
          </w:p>
        </w:tc>
        <w:tc>
          <w:tcPr>
            <w:tcW w:type="dxa" w:w="40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集中说明差异化能力和业务价值</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第五部分5.1</w:t>
            </w:r>
          </w:p>
        </w:tc>
      </w:tr>
      <w:tr>
        <w:trPr>
          <w:cantSplit/>
        </w:trPr>
        <w:tc>
          <w:tcPr>
            <w:tcW w:type="dxa" w:w="223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测试与场景</w:t>
            </w:r>
          </w:p>
        </w:tc>
        <w:tc>
          <w:tcPr>
            <w:tcW w:type="dxa" w:w="4032"/>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集中给出条件、过程和结果</w:t>
            </w:r>
          </w:p>
        </w:tc>
        <w:tc>
          <w:tcPr>
            <w:tcW w:type="dxa" w:w="3960"/>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第五部分5.2、5.3</w:t>
            </w:r>
          </w:p>
        </w:tc>
      </w:tr>
      <w:tr>
        <w:trPr>
          <w:cantSplit/>
        </w:trPr>
        <w:tc>
          <w:tcPr>
            <w:tcW w:type="dxa" w:w="22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区域部署与商业模式</w:t>
            </w:r>
          </w:p>
        </w:tc>
        <w:tc>
          <w:tcPr>
            <w:tcW w:type="dxa" w:w="4032"/>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本部分不展开</w:t>
            </w:r>
          </w:p>
        </w:tc>
        <w:tc>
          <w:tcPr>
            <w:tcW w:type="dxa" w:w="3960"/>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第六部分</w:t>
            </w:r>
          </w:p>
        </w:tc>
      </w:tr>
    </w:tbl>
    <w:p>
      <w:pPr>
        <w:spacing w:after="0"/>
      </w:pPr>
    </w:p>
    <w:p>
      <w:pPr>
        <w:pStyle w:val="Heading1"/>
      </w:pPr>
      <w:r>
        <w:t>十 交付清单与检查表</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936"/>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序号</w:t>
            </w:r>
          </w:p>
        </w:tc>
        <w:tc>
          <w:tcPr>
            <w:tcW w:type="dxa" w:w="3168"/>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队员交付物</w:t>
            </w:r>
          </w:p>
        </w:tc>
        <w:tc>
          <w:tcPr>
            <w:tcW w:type="dxa" w:w="5976"/>
            <w:shd w:fill="17365D"/>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jc w:val="center"/>
            </w:pPr>
            <w:r>
              <w:rPr>
                <w:rFonts w:ascii="Aptos" w:hAnsi="Aptos" w:eastAsia="Noto Sans CJK SC"/>
                <w:b/>
                <w:color w:val="FFFFFF"/>
                <w:sz w:val="18"/>
              </w:rPr>
              <w:t>具体要求</w:t>
            </w:r>
          </w:p>
        </w:tc>
      </w:tr>
      <w:tr>
        <w:trPr>
          <w:cantSplit/>
        </w:trPr>
        <w:tc>
          <w:tcPr>
            <w:tcW w:type="dxa" w:w="93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1</w:t>
            </w:r>
          </w:p>
        </w:tc>
        <w:tc>
          <w:tcPr>
            <w:tcW w:type="dxa" w:w="31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第五部分正文初稿</w:t>
            </w:r>
          </w:p>
        </w:tc>
        <w:tc>
          <w:tcPr>
            <w:tcW w:type="dxa" w:w="59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按5.1—5.3组织，1200—1600字</w:t>
            </w:r>
          </w:p>
        </w:tc>
      </w:tr>
      <w:tr>
        <w:trPr>
          <w:cantSplit/>
        </w:trPr>
        <w:tc>
          <w:tcPr>
            <w:tcW w:type="dxa" w:w="93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2</w:t>
            </w:r>
          </w:p>
        </w:tc>
        <w:tc>
          <w:tcPr>
            <w:tcW w:type="dxa" w:w="316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图5-1可编辑源文件</w:t>
            </w:r>
          </w:p>
        </w:tc>
        <w:tc>
          <w:tcPr>
            <w:tcW w:type="dxa" w:w="597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能力扩展图，PPT/SVG/Figma均可</w:t>
            </w:r>
          </w:p>
        </w:tc>
      </w:tr>
      <w:tr>
        <w:trPr>
          <w:cantSplit/>
        </w:trPr>
        <w:tc>
          <w:tcPr>
            <w:tcW w:type="dxa" w:w="93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3</w:t>
            </w:r>
          </w:p>
        </w:tc>
        <w:tc>
          <w:tcPr>
            <w:tcW w:type="dxa" w:w="31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图5-2可编辑源文件</w:t>
            </w:r>
          </w:p>
        </w:tc>
        <w:tc>
          <w:tcPr>
            <w:tcW w:type="dxa" w:w="59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六场景＋三类代表结果＋工程门禁</w:t>
            </w:r>
          </w:p>
        </w:tc>
      </w:tr>
      <w:tr>
        <w:trPr>
          <w:cantSplit/>
        </w:trPr>
        <w:tc>
          <w:tcPr>
            <w:tcW w:type="dxa" w:w="93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4</w:t>
            </w:r>
          </w:p>
        </w:tc>
        <w:tc>
          <w:tcPr>
            <w:tcW w:type="dxa" w:w="3168"/>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最终测试结果表</w:t>
            </w:r>
          </w:p>
        </w:tc>
        <w:tc>
          <w:tcPr>
            <w:tcW w:type="dxa" w:w="5976"/>
            <w:shd w:fill="F6F8FB"/>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命令、日期、版本、通过数量和输出截图</w:t>
            </w:r>
          </w:p>
        </w:tc>
      </w:tr>
      <w:tr>
        <w:trPr>
          <w:cantSplit/>
        </w:trPr>
        <w:tc>
          <w:tcPr>
            <w:tcW w:type="dxa" w:w="93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center"/>
            </w:pPr>
            <w:r>
              <w:rPr>
                <w:rFonts w:ascii="Aptos" w:hAnsi="Aptos" w:eastAsia="Noto Sans CJK SC"/>
                <w:b w:val="0"/>
                <w:color w:val="000000"/>
                <w:sz w:val="18"/>
              </w:rPr>
              <w:t>5</w:t>
            </w:r>
          </w:p>
        </w:tc>
        <w:tc>
          <w:tcPr>
            <w:tcW w:type="dxa" w:w="3168"/>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证据素材包</w:t>
            </w:r>
          </w:p>
        </w:tc>
        <w:tc>
          <w:tcPr>
            <w:tcW w:type="dxa" w:w="5976"/>
            <w:shd w:fill="FFFFFF"/>
            <w:tcMar>
              <w:top w:w="100" w:type="dxa"/>
              <w:bottom w:w="100" w:type="dxa"/>
              <w:start w:w="120" w:type="dxa"/>
              <w:end w:w="120" w:type="dxa"/>
            </w:tcMar>
            <w:tcBorders>
              <w:top w:val="single" w:sz="4" w:color="D9E1EA"/>
              <w:left w:val="single" w:sz="4" w:color="D9E1EA"/>
              <w:bottom w:val="single" w:sz="4" w:color="D9E1EA"/>
              <w:right w:val="single" w:sz="4" w:color="D9E1EA"/>
              <w:insideH w:val="single" w:sz="4" w:color="D9E1EA"/>
              <w:insideV w:val="single" w:sz="4" w:color="D9E1EA"/>
            </w:tcBorders>
            <w:vAlign w:val="center"/>
          </w:tcPr>
          <w:p>
            <w:pPr>
              <w:spacing w:after="0" w:line="264" w:lineRule="auto"/>
              <w:jc w:val="left"/>
            </w:pPr>
            <w:r>
              <w:rPr>
                <w:rFonts w:ascii="Aptos" w:hAnsi="Aptos" w:eastAsia="Noto Sans CJK SC"/>
                <w:b w:val="0"/>
                <w:color w:val="000000"/>
                <w:sz w:val="18"/>
              </w:rPr>
              <w:t>场景截图、曲线数据、JSON报告、事件与终端结果</w:t>
            </w:r>
          </w:p>
        </w:tc>
      </w:tr>
    </w:tbl>
    <w:p>
      <w:pPr>
        <w:spacing w:after="0"/>
      </w:pPr>
    </w:p>
    <w:p>
      <w:pPr>
        <w:pStyle w:val="ListBullet"/>
        <w:spacing w:after="60" w:line="276" w:lineRule="auto"/>
        <w:ind w:left="403" w:hanging="216"/>
      </w:pPr>
      <w:r>
        <w:rPr>
          <w:rFonts w:ascii="Aptos" w:hAnsi="Aptos" w:eastAsia="Noto Sans CJK SC"/>
          <w:b w:val="0"/>
          <w:color w:val="000000"/>
          <w:sz w:val="20"/>
        </w:rPr>
        <w:t>□ 标题固定为“五 创新与验证”，二级标题仅5.1、5.2、5.3。</w:t>
      </w:r>
    </w:p>
    <w:p>
      <w:pPr>
        <w:pStyle w:val="ListBullet"/>
        <w:spacing w:after="60" w:line="276" w:lineRule="auto"/>
        <w:ind w:left="403" w:hanging="216"/>
      </w:pPr>
      <w:r>
        <w:rPr>
          <w:rFonts w:ascii="Aptos" w:hAnsi="Aptos" w:eastAsia="Noto Sans CJK SC"/>
          <w:b w:val="0"/>
          <w:color w:val="000000"/>
          <w:sz w:val="20"/>
        </w:rPr>
        <w:t>□ 每个创新点都说明新能力、实现机制和业务作用。</w:t>
      </w:r>
    </w:p>
    <w:p>
      <w:pPr>
        <w:pStyle w:val="ListBullet"/>
        <w:spacing w:after="60" w:line="276" w:lineRule="auto"/>
        <w:ind w:left="403" w:hanging="216"/>
      </w:pPr>
      <w:r>
        <w:rPr>
          <w:rFonts w:ascii="Aptos" w:hAnsi="Aptos" w:eastAsia="Noto Sans CJK SC"/>
          <w:b w:val="0"/>
          <w:color w:val="000000"/>
          <w:sz w:val="20"/>
        </w:rPr>
        <w:t>□ 每个验证结论都能追溯到测试、截图、事件或归档记录。</w:t>
      </w:r>
    </w:p>
    <w:p>
      <w:pPr>
        <w:pStyle w:val="ListBullet"/>
        <w:spacing w:after="60" w:line="276" w:lineRule="auto"/>
        <w:ind w:left="403" w:hanging="216"/>
      </w:pPr>
      <w:r>
        <w:rPr>
          <w:rFonts w:ascii="Aptos" w:hAnsi="Aptos" w:eastAsia="Noto Sans CJK SC"/>
          <w:b w:val="0"/>
          <w:color w:val="000000"/>
          <w:sz w:val="20"/>
        </w:rPr>
        <w:t>□ 六场景不逐个写成长段，正文重点解释三组代表结果。</w:t>
      </w:r>
    </w:p>
    <w:p>
      <w:pPr>
        <w:pStyle w:val="ListBullet"/>
        <w:spacing w:after="60" w:line="276" w:lineRule="auto"/>
        <w:ind w:left="403" w:hanging="216"/>
      </w:pPr>
      <w:r>
        <w:rPr>
          <w:rFonts w:ascii="Aptos" w:hAnsi="Aptos" w:eastAsia="Noto Sans CJK SC"/>
          <w:b w:val="0"/>
          <w:color w:val="000000"/>
          <w:sz w:val="20"/>
        </w:rPr>
        <w:t>□ 不将规则测试数量写成模型准确率，不使用无法复核的提升百分比。</w:t>
      </w:r>
    </w:p>
    <w:p>
      <w:pPr>
        <w:pStyle w:val="ListBullet"/>
        <w:spacing w:after="60" w:line="276" w:lineRule="auto"/>
        <w:ind w:left="403" w:hanging="216"/>
      </w:pPr>
      <w:r>
        <w:rPr>
          <w:rFonts w:ascii="Aptos" w:hAnsi="Aptos" w:eastAsia="Noto Sans CJK SC"/>
          <w:b w:val="0"/>
          <w:color w:val="000000"/>
          <w:sz w:val="20"/>
        </w:rPr>
        <w:t>□ 图5-1不做无依据竞品打分，图5-2的所有数据来自同一冻结版本。</w:t>
      </w:r>
    </w:p>
    <w:p>
      <w:pPr>
        <w:pStyle w:val="ListBullet"/>
        <w:spacing w:after="60" w:line="276" w:lineRule="auto"/>
        <w:ind w:left="403" w:hanging="216"/>
      </w:pPr>
      <w:r>
        <w:rPr>
          <w:rFonts w:ascii="Aptos" w:hAnsi="Aptos" w:eastAsia="Noto Sans CJK SC"/>
          <w:b w:val="0"/>
          <w:color w:val="000000"/>
          <w:sz w:val="20"/>
        </w:rPr>
        <w:t>□ 不重复第三部分公式和第四部分操作说明，不提前展开第六部分规划。</w:t>
      </w:r>
    </w:p>
    <w:p>
      <w:pPr>
        <w:pStyle w:val="ListBullet"/>
        <w:spacing w:after="60" w:line="276" w:lineRule="auto"/>
        <w:ind w:left="403" w:hanging="216"/>
      </w:pPr>
      <w:r>
        <w:rPr>
          <w:rFonts w:ascii="Aptos" w:hAnsi="Aptos" w:eastAsia="Noto Sans CJK SC"/>
          <w:b w:val="0"/>
          <w:color w:val="000000"/>
          <w:sz w:val="20"/>
        </w:rPr>
        <w:t>□ 最终测试数字在代码冻结后统一重跑、统一填写、统一截图。</w:t>
      </w:r>
    </w:p>
    <w:sectPr w:rsidR="00FC693F" w:rsidRPr="0006063C" w:rsidSect="00034616">
      <w:footerReference w:type="default" r:id="rId9"/>
      <w:pgSz w:w="12240" w:h="15840"/>
      <w:pgMar w:top="979" w:right="1094" w:bottom="922"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b w:val="0"/>
        <w:color w:val="5F6B7A"/>
        <w:sz w:val="16"/>
      </w:rPr>
      <w:t xml:space="preserve">火巡智策  第五部分写作任务书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Aptos" w:hAnsi="Aptos"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eastAsia="Noto Sans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