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01DE8" w14:textId="77777777" w:rsidR="006D3527" w:rsidRPr="006D3527" w:rsidRDefault="006D3527" w:rsidP="006D3527">
      <w:r w:rsidRPr="006D3527">
        <w:rPr>
          <w:b/>
          <w:bCs/>
        </w:rPr>
        <w:t>My assessment: major revision.</w:t>
      </w:r>
      <w:r w:rsidRPr="006D3527">
        <w:t xml:space="preserve"> The paper presents a promising compact ECG classifier, but its current evidence does </w:t>
      </w:r>
      <w:r w:rsidRPr="006D3527">
        <w:rPr>
          <w:b/>
          <w:bCs/>
        </w:rPr>
        <w:t>not establish state-of-the-art performance or clinically validated explanations</w:t>
      </w:r>
      <w:r w:rsidRPr="006D3527">
        <w:t>. The strongest contribution is the combination of anatomical grouping, territory dropout, and an organized attribution display.</w:t>
      </w:r>
    </w:p>
    <w:p w14:paraId="67E81D01" w14:textId="77777777" w:rsidR="006D3527" w:rsidRPr="006D3527" w:rsidRDefault="006D3527" w:rsidP="006D3527">
      <w:r w:rsidRPr="006D3527">
        <w:t>I reviewed the manuscript and checked relevant original research and benchmark sources. This assessment evaluates the reported evidence; it does not independently reproduce the experiments.</w:t>
      </w:r>
    </w:p>
    <w:p w14:paraId="4EAD9364" w14:textId="77777777" w:rsidR="006D3527" w:rsidRPr="006D3527" w:rsidRDefault="006D3527" w:rsidP="006D3527">
      <w:pPr>
        <w:numPr>
          <w:ilvl w:val="0"/>
          <w:numId w:val="1"/>
        </w:numPr>
      </w:pPr>
      <w:r w:rsidRPr="006D3527">
        <w:rPr>
          <w:b/>
          <w:bCs/>
        </w:rPr>
        <w:t>The main SOTA comparison contains a task mismatch.</w:t>
      </w:r>
    </w:p>
    <w:p w14:paraId="73FC4FF9" w14:textId="77777777" w:rsidR="006D3527" w:rsidRPr="006D3527" w:rsidRDefault="006D3527" w:rsidP="006D3527">
      <w:r w:rsidRPr="006D3527">
        <w:t xml:space="preserve">Table 7 reports </w:t>
      </w:r>
      <w:r w:rsidRPr="006D3527">
        <w:rPr>
          <w:b/>
          <w:bCs/>
        </w:rPr>
        <w:t>0.925 AUC</w:t>
      </w:r>
      <w:r w:rsidRPr="006D3527">
        <w:t xml:space="preserve"> for both the published ResNet and Inception baselines. However, the original authors’ repository assigns those values to the </w:t>
      </w:r>
      <w:r w:rsidRPr="006D3527">
        <w:rPr>
          <w:b/>
          <w:bCs/>
        </w:rPr>
        <w:t>all-statements task</w:t>
      </w:r>
      <w:r w:rsidRPr="006D3527">
        <w:t xml:space="preserve">, whereas this manuscript predicts </w:t>
      </w:r>
      <w:r w:rsidRPr="006D3527">
        <w:rPr>
          <w:b/>
          <w:bCs/>
        </w:rPr>
        <w:t>five diagnostic superclasses</w:t>
      </w:r>
      <w:r w:rsidRPr="006D3527">
        <w:t>.</w:t>
      </w:r>
    </w:p>
    <w:p w14:paraId="3194EBD5" w14:textId="77777777" w:rsidR="006D3527" w:rsidRPr="006D3527" w:rsidRDefault="006D3527" w:rsidP="006D3527">
      <w:r w:rsidRPr="006D3527">
        <w:t>The relevant published superclass results are: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062"/>
        <w:gridCol w:w="3432"/>
      </w:tblGrid>
      <w:tr w:rsidR="006D3527" w:rsidRPr="006D3527" w14:paraId="789613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82545" w14:textId="77777777" w:rsidR="006D3527" w:rsidRPr="006D3527" w:rsidRDefault="006D3527" w:rsidP="006D3527">
            <w:pPr>
              <w:rPr>
                <w:b/>
                <w:bCs/>
              </w:rPr>
            </w:pPr>
            <w:r w:rsidRPr="006D352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42A8834" w14:textId="77777777" w:rsidR="006D3527" w:rsidRPr="006D3527" w:rsidRDefault="006D3527" w:rsidP="006D3527">
            <w:pPr>
              <w:rPr>
                <w:b/>
                <w:bCs/>
              </w:rPr>
            </w:pPr>
            <w:r w:rsidRPr="006D3527">
              <w:rPr>
                <w:b/>
                <w:bCs/>
              </w:rPr>
              <w:t>Five-superclass macro AUC</w:t>
            </w:r>
          </w:p>
        </w:tc>
        <w:tc>
          <w:tcPr>
            <w:tcW w:w="0" w:type="auto"/>
            <w:vAlign w:val="center"/>
            <w:hideMark/>
          </w:tcPr>
          <w:p w14:paraId="7EB81F4F" w14:textId="77777777" w:rsidR="006D3527" w:rsidRPr="006D3527" w:rsidRDefault="006D3527" w:rsidP="006D3527">
            <w:pPr>
              <w:rPr>
                <w:b/>
                <w:bCs/>
              </w:rPr>
            </w:pPr>
            <w:r w:rsidRPr="006D3527">
              <w:rPr>
                <w:b/>
                <w:bCs/>
              </w:rPr>
              <w:t>Evaluation</w:t>
            </w:r>
          </w:p>
        </w:tc>
      </w:tr>
      <w:tr w:rsidR="006D3527" w:rsidRPr="006D3527" w14:paraId="1122E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2FBC" w14:textId="77777777" w:rsidR="006D3527" w:rsidRPr="006D3527" w:rsidRDefault="006D3527" w:rsidP="006D3527">
            <w:r w:rsidRPr="006D3527">
              <w:t>ResNet1D-Wang</w:t>
            </w:r>
          </w:p>
        </w:tc>
        <w:tc>
          <w:tcPr>
            <w:tcW w:w="0" w:type="auto"/>
            <w:vAlign w:val="center"/>
            <w:hideMark/>
          </w:tcPr>
          <w:p w14:paraId="0DCC055C" w14:textId="77777777" w:rsidR="006D3527" w:rsidRPr="006D3527" w:rsidRDefault="006D3527" w:rsidP="006D3527">
            <w:r w:rsidRPr="006D3527">
              <w:t>0.930</w:t>
            </w:r>
          </w:p>
        </w:tc>
        <w:tc>
          <w:tcPr>
            <w:tcW w:w="0" w:type="auto"/>
            <w:vAlign w:val="center"/>
            <w:hideMark/>
          </w:tcPr>
          <w:p w14:paraId="66F64787" w14:textId="77777777" w:rsidR="006D3527" w:rsidRPr="006D3527" w:rsidRDefault="006D3527" w:rsidP="006D3527">
            <w:r w:rsidRPr="006D3527">
              <w:t>Standard held-out Fold 10</w:t>
            </w:r>
          </w:p>
        </w:tc>
      </w:tr>
      <w:tr w:rsidR="006D3527" w:rsidRPr="006D3527" w14:paraId="5EF6C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5BC2" w14:textId="77777777" w:rsidR="006D3527" w:rsidRPr="006D3527" w:rsidRDefault="006D3527" w:rsidP="006D3527">
            <w:r w:rsidRPr="006D3527">
              <w:t>XResNet1D101</w:t>
            </w:r>
          </w:p>
        </w:tc>
        <w:tc>
          <w:tcPr>
            <w:tcW w:w="0" w:type="auto"/>
            <w:vAlign w:val="center"/>
            <w:hideMark/>
          </w:tcPr>
          <w:p w14:paraId="2A13CFDC" w14:textId="77777777" w:rsidR="006D3527" w:rsidRPr="006D3527" w:rsidRDefault="006D3527" w:rsidP="006D3527">
            <w:r w:rsidRPr="006D3527">
              <w:t>0.928</w:t>
            </w:r>
          </w:p>
        </w:tc>
        <w:tc>
          <w:tcPr>
            <w:tcW w:w="0" w:type="auto"/>
            <w:vAlign w:val="center"/>
            <w:hideMark/>
          </w:tcPr>
          <w:p w14:paraId="5519EF1B" w14:textId="77777777" w:rsidR="006D3527" w:rsidRPr="006D3527" w:rsidRDefault="006D3527" w:rsidP="006D3527">
            <w:r w:rsidRPr="006D3527">
              <w:t>Standard held-out Fold 10</w:t>
            </w:r>
          </w:p>
        </w:tc>
      </w:tr>
      <w:tr w:rsidR="006D3527" w:rsidRPr="006D3527" w14:paraId="460A0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B694" w14:textId="77777777" w:rsidR="006D3527" w:rsidRPr="006D3527" w:rsidRDefault="006D3527" w:rsidP="006D3527">
            <w:r w:rsidRPr="006D3527">
              <w:t>Inception1D</w:t>
            </w:r>
          </w:p>
        </w:tc>
        <w:tc>
          <w:tcPr>
            <w:tcW w:w="0" w:type="auto"/>
            <w:vAlign w:val="center"/>
            <w:hideMark/>
          </w:tcPr>
          <w:p w14:paraId="2AFA20D0" w14:textId="77777777" w:rsidR="006D3527" w:rsidRPr="006D3527" w:rsidRDefault="006D3527" w:rsidP="006D3527">
            <w:r w:rsidRPr="006D3527">
              <w:t>0.921</w:t>
            </w:r>
          </w:p>
        </w:tc>
        <w:tc>
          <w:tcPr>
            <w:tcW w:w="0" w:type="auto"/>
            <w:vAlign w:val="center"/>
            <w:hideMark/>
          </w:tcPr>
          <w:p w14:paraId="58C98542" w14:textId="77777777" w:rsidR="006D3527" w:rsidRPr="006D3527" w:rsidRDefault="006D3527" w:rsidP="006D3527">
            <w:r w:rsidRPr="006D3527">
              <w:t>Standard held-out Fold 10</w:t>
            </w:r>
          </w:p>
        </w:tc>
      </w:tr>
      <w:tr w:rsidR="006D3527" w:rsidRPr="006D3527" w14:paraId="65259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02A7" w14:textId="77777777" w:rsidR="006D3527" w:rsidRPr="006D3527" w:rsidRDefault="006D3527" w:rsidP="006D3527">
            <w:r w:rsidRPr="006D3527">
              <w:t>Proposed model</w:t>
            </w:r>
          </w:p>
        </w:tc>
        <w:tc>
          <w:tcPr>
            <w:tcW w:w="0" w:type="auto"/>
            <w:vAlign w:val="center"/>
            <w:hideMark/>
          </w:tcPr>
          <w:p w14:paraId="3C5887A0" w14:textId="77777777" w:rsidR="006D3527" w:rsidRPr="006D3527" w:rsidRDefault="006D3527" w:rsidP="006D3527">
            <w:r w:rsidRPr="006D3527">
              <w:t>0.9329</w:t>
            </w:r>
          </w:p>
        </w:tc>
        <w:tc>
          <w:tcPr>
            <w:tcW w:w="0" w:type="auto"/>
            <w:vAlign w:val="center"/>
            <w:hideMark/>
          </w:tcPr>
          <w:p w14:paraId="2B57DF7D" w14:textId="77777777" w:rsidR="006D3527" w:rsidRPr="006D3527" w:rsidRDefault="006D3527" w:rsidP="006D3527">
            <w:r w:rsidRPr="006D3527">
              <w:t>Mean across ten cyclic test folds</w:t>
            </w:r>
          </w:p>
        </w:tc>
      </w:tr>
    </w:tbl>
    <w:p w14:paraId="6EA4DD0A" w14:textId="77777777" w:rsidR="006D3527" w:rsidRPr="006D3527" w:rsidRDefault="006D3527" w:rsidP="006D3527">
      <w:r w:rsidRPr="006D3527">
        <w:t xml:space="preserve">These benchmark values and the standard split are documented in the original repository. </w:t>
      </w:r>
      <w:hyperlink r:id="rId5" w:history="1">
        <w:r w:rsidRPr="006D3527">
          <w:rPr>
            <w:rStyle w:val="Hyperlink"/>
          </w:rPr>
          <w:t>GitHub</w:t>
        </w:r>
      </w:hyperlink>
    </w:p>
    <w:p w14:paraId="45C0BFD8" w14:textId="77777777" w:rsidR="006D3527" w:rsidRPr="006D3527" w:rsidRDefault="006D3527" w:rsidP="006D3527">
      <w:r w:rsidRPr="006D3527">
        <w:rPr>
          <w:b/>
          <w:bCs/>
        </w:rPr>
        <w:t>The apparent advantage over the strongest baseline listed above is only 0.0029 AUC, and even that difference cannot establish superiority because the evaluation protocols differ.</w:t>
      </w:r>
      <w:r w:rsidRPr="006D3527">
        <w:t xml:space="preserve"> Table 7 needs rebuilding with matching tasks, dataset versions, splits, and F1 definitions. Its cautionary footnote does not resolve this mismatch.</w:t>
      </w:r>
    </w:p>
    <w:p w14:paraId="0E8C9B03" w14:textId="77777777" w:rsidR="006D3527" w:rsidRPr="006D3527" w:rsidRDefault="006D3527" w:rsidP="006D3527">
      <w:pPr>
        <w:numPr>
          <w:ilvl w:val="0"/>
          <w:numId w:val="1"/>
        </w:numPr>
      </w:pPr>
      <w:r w:rsidRPr="006D3527">
        <w:rPr>
          <w:b/>
          <w:bCs/>
        </w:rPr>
        <w:t>The closest recent methods are missing from the novelty discussion.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6021"/>
      </w:tblGrid>
      <w:tr w:rsidR="006D3527" w:rsidRPr="006D3527" w14:paraId="212DB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377E3" w14:textId="77777777" w:rsidR="006D3527" w:rsidRPr="006D3527" w:rsidRDefault="006D3527" w:rsidP="006D3527">
            <w:pPr>
              <w:rPr>
                <w:b/>
                <w:bCs/>
              </w:rPr>
            </w:pPr>
            <w:r w:rsidRPr="006D3527">
              <w:rPr>
                <w:b/>
                <w:bCs/>
              </w:rPr>
              <w:t>Relevant technique</w:t>
            </w:r>
          </w:p>
        </w:tc>
        <w:tc>
          <w:tcPr>
            <w:tcW w:w="0" w:type="auto"/>
            <w:vAlign w:val="center"/>
            <w:hideMark/>
          </w:tcPr>
          <w:p w14:paraId="42BB2957" w14:textId="77777777" w:rsidR="006D3527" w:rsidRPr="006D3527" w:rsidRDefault="006D3527" w:rsidP="006D3527">
            <w:pPr>
              <w:rPr>
                <w:b/>
                <w:bCs/>
              </w:rPr>
            </w:pPr>
            <w:r w:rsidRPr="006D3527">
              <w:rPr>
                <w:b/>
                <w:bCs/>
              </w:rPr>
              <w:t>Why it matters to this paper</w:t>
            </w:r>
          </w:p>
        </w:tc>
      </w:tr>
      <w:tr w:rsidR="006D3527" w:rsidRPr="006D3527" w14:paraId="0D766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85B7" w14:textId="77777777" w:rsidR="006D3527" w:rsidRPr="006D3527" w:rsidRDefault="006D3527" w:rsidP="006D3527">
            <w:r w:rsidRPr="006D3527">
              <w:rPr>
                <w:b/>
                <w:bCs/>
              </w:rPr>
              <w:t>Leadwise clustering multi-branch network, 2024</w:t>
            </w:r>
          </w:p>
        </w:tc>
        <w:tc>
          <w:tcPr>
            <w:tcW w:w="0" w:type="auto"/>
            <w:vAlign w:val="center"/>
            <w:hideMark/>
          </w:tcPr>
          <w:p w14:paraId="14AEB585" w14:textId="77777777" w:rsidR="006D3527" w:rsidRPr="006D3527" w:rsidRDefault="006D3527" w:rsidP="006D3527">
            <w:r w:rsidRPr="006D3527">
              <w:t>Already combines medical knowledge, lead grouping, and multiple branches. Anatomical decomposition cannot be presented as broadly new without comparison.</w:t>
            </w:r>
          </w:p>
        </w:tc>
      </w:tr>
      <w:tr w:rsidR="006D3527" w:rsidRPr="006D3527" w14:paraId="7ACB8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57F0" w14:textId="77777777" w:rsidR="006D3527" w:rsidRPr="006D3527" w:rsidRDefault="006D3527" w:rsidP="006D3527">
            <w:r w:rsidRPr="006D3527">
              <w:rPr>
                <w:b/>
                <w:bCs/>
              </w:rPr>
              <w:lastRenderedPageBreak/>
              <w:t>TolerantECG, 2025</w:t>
            </w:r>
          </w:p>
        </w:tc>
        <w:tc>
          <w:tcPr>
            <w:tcW w:w="0" w:type="auto"/>
            <w:vAlign w:val="center"/>
            <w:hideMark/>
          </w:tcPr>
          <w:p w14:paraId="421355B3" w14:textId="77777777" w:rsidR="006D3527" w:rsidRPr="006D3527" w:rsidRDefault="006D3527" w:rsidP="006D3527">
            <w:r w:rsidRPr="006D3527">
              <w:t>Explicitly evaluates missing leads, noise, and their combination—directly relevant to the proposed robustness claim.</w:t>
            </w:r>
          </w:p>
        </w:tc>
      </w:tr>
      <w:tr w:rsidR="006D3527" w:rsidRPr="006D3527" w14:paraId="57CE7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745F3" w14:textId="77777777" w:rsidR="006D3527" w:rsidRPr="006D3527" w:rsidRDefault="006D3527" w:rsidP="006D3527">
            <w:r w:rsidRPr="006D3527">
              <w:rPr>
                <w:b/>
                <w:bCs/>
              </w:rPr>
              <w:t>ACL-ECG, 2026</w:t>
            </w:r>
          </w:p>
        </w:tc>
        <w:tc>
          <w:tcPr>
            <w:tcW w:w="0" w:type="auto"/>
            <w:vAlign w:val="center"/>
            <w:hideMark/>
          </w:tcPr>
          <w:p w14:paraId="53E37363" w14:textId="77777777" w:rsidR="006D3527" w:rsidRPr="006D3527" w:rsidRDefault="006D3527" w:rsidP="006D3527">
            <w:r w:rsidRPr="006D3527">
              <w:t>Incorporates anatomical relationships and physiology-aware augmentation into contrastive learning, directly overlapping the paper’s motivation.</w:t>
            </w:r>
          </w:p>
        </w:tc>
      </w:tr>
      <w:tr w:rsidR="006D3527" w:rsidRPr="006D3527" w14:paraId="100C0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8321" w14:textId="77777777" w:rsidR="006D3527" w:rsidRPr="006D3527" w:rsidRDefault="006D3527" w:rsidP="006D3527">
            <w:r w:rsidRPr="006D3527">
              <w:rPr>
                <w:b/>
                <w:bCs/>
              </w:rPr>
              <w:t>ECGFounder-PT, 2025 preprint</w:t>
            </w:r>
          </w:p>
        </w:tc>
        <w:tc>
          <w:tcPr>
            <w:tcW w:w="0" w:type="auto"/>
            <w:vAlign w:val="center"/>
            <w:hideMark/>
          </w:tcPr>
          <w:p w14:paraId="468C50FF" w14:textId="77777777" w:rsidR="006D3527" w:rsidRPr="006D3527" w:rsidRDefault="006D3527" w:rsidP="006D3527">
            <w:r w:rsidRPr="006D3527">
              <w:t>Investigates modern pretraining and stochastic-depth regularization, relevant to the claim that structured dropout provides a distinctive advance.</w:t>
            </w:r>
          </w:p>
        </w:tc>
      </w:tr>
    </w:tbl>
    <w:p w14:paraId="39BA375A" w14:textId="77777777" w:rsidR="006D3527" w:rsidRPr="006D3527" w:rsidRDefault="006D3527" w:rsidP="006D3527">
      <w:pPr>
        <w:numPr>
          <w:ilvl w:val="0"/>
          <w:numId w:val="1"/>
        </w:numPr>
      </w:pPr>
      <w:r w:rsidRPr="006D3527">
        <w:t xml:space="preserve">These approaches are documented in their original publications. </w:t>
      </w:r>
      <w:hyperlink r:id="rId6" w:history="1">
        <w:r w:rsidRPr="006D3527">
          <w:rPr>
            <w:rStyle w:val="Hyperlink"/>
          </w:rPr>
          <w:t>ScienceDirect</w:t>
        </w:r>
      </w:hyperlink>
    </w:p>
    <w:p w14:paraId="37EA397C" w14:textId="77777777" w:rsidR="006D3527" w:rsidRPr="006D3527" w:rsidRDefault="006D3527" w:rsidP="006D3527">
      <w:pPr>
        <w:numPr>
          <w:ilvl w:val="0"/>
          <w:numId w:val="1"/>
        </w:numPr>
      </w:pPr>
      <w:r w:rsidRPr="006D3527">
        <w:t xml:space="preserve">They are </w:t>
      </w:r>
      <w:r w:rsidRPr="006D3527">
        <w:rPr>
          <w:b/>
          <w:bCs/>
        </w:rPr>
        <w:t>necessary comparators, not automatically superior models</w:t>
      </w:r>
      <w:r w:rsidRPr="006D3527">
        <w:t xml:space="preserve">. For example, TolerantECG reports 0.926 superclass AUC on its original-signal evaluation, but its training and robustness protocol differs. ECGFounder-PT reports other label granularities, so its headline AUCs should not be compared directly with this paper’s five-class result. </w:t>
      </w:r>
      <w:hyperlink r:id="rId7" w:history="1">
        <w:r w:rsidRPr="006D3527">
          <w:rPr>
            <w:rStyle w:val="Hyperlink"/>
          </w:rPr>
          <w:t>arxiv.org</w:t>
        </w:r>
      </w:hyperlink>
    </w:p>
    <w:p w14:paraId="2FAC0FF5" w14:textId="77777777" w:rsidR="006D3527" w:rsidRPr="006D3527" w:rsidRDefault="006D3527" w:rsidP="006D3527">
      <w:pPr>
        <w:numPr>
          <w:ilvl w:val="0"/>
          <w:numId w:val="1"/>
        </w:numPr>
      </w:pPr>
      <w:r w:rsidRPr="006D3527">
        <w:rPr>
          <w:b/>
          <w:bCs/>
        </w:rPr>
        <w:t>The experiments do not isolate whether anatomy causes the improvement.</w:t>
      </w:r>
    </w:p>
    <w:p w14:paraId="76ECEF89" w14:textId="77777777" w:rsidR="006D3527" w:rsidRPr="006D3527" w:rsidRDefault="006D3527" w:rsidP="006D3527">
      <w:r w:rsidRPr="006D3527">
        <w:t xml:space="preserve">Model 3 improves over Model 2 by </w:t>
      </w:r>
      <w:r w:rsidRPr="006D3527">
        <w:rPr>
          <w:b/>
          <w:bCs/>
        </w:rPr>
        <w:t>0.0034 AUC</w:t>
      </w:r>
      <w:r w:rsidRPr="006D3527">
        <w:t>, supporting a possible benefit from territory dropout. However, both already use anatomical grouping.</w:t>
      </w:r>
    </w:p>
    <w:p w14:paraId="7AAE4A2F" w14:textId="77777777" w:rsidR="006D3527" w:rsidRPr="006D3527" w:rsidRDefault="006D3527" w:rsidP="006D3527">
      <w:r w:rsidRPr="006D3527">
        <w:t xml:space="preserve">The essential missing comparison is </w:t>
      </w:r>
      <w:r w:rsidRPr="006D3527">
        <w:rPr>
          <w:b/>
          <w:bCs/>
        </w:rPr>
        <w:t>random lead groups of the same sizes, with identical branches and dropout</w:t>
      </w:r>
      <w:r w:rsidRPr="006D3527">
        <w:t>. Also needed are ordinary lead dropout, generic branch dropout, and a flat model matched for parameter count.</w:t>
      </w:r>
    </w:p>
    <w:p w14:paraId="0B60F12D" w14:textId="77777777" w:rsidR="006D3527" w:rsidRPr="006D3527" w:rsidRDefault="006D3527" w:rsidP="006D3527">
      <w:r w:rsidRPr="006D3527">
        <w:t>Without these controls, the gain could reflect regularization or architectural changes rather than the proposed anatomical organization. Having fewer parameters than Model 1 does not prove that anatomy explains the improvement.</w:t>
      </w:r>
    </w:p>
    <w:p w14:paraId="211107D1" w14:textId="77777777" w:rsidR="006D3527" w:rsidRPr="006D3527" w:rsidRDefault="006D3527" w:rsidP="006D3527">
      <w:pPr>
        <w:numPr>
          <w:ilvl w:val="0"/>
          <w:numId w:val="1"/>
        </w:numPr>
      </w:pPr>
      <w:r w:rsidRPr="006D3527">
        <w:rPr>
          <w:b/>
          <w:bCs/>
        </w:rPr>
        <w:t>The statistical evidence is too limited for a superiority claim.</w:t>
      </w:r>
    </w:p>
    <w:p w14:paraId="2565A6CF" w14:textId="77777777" w:rsidR="006D3527" w:rsidRPr="006D3527" w:rsidRDefault="006D3527" w:rsidP="006D3527">
      <w:r w:rsidRPr="006D3527">
        <w:t>Section 4.1 calls the ten test folds independent, but their fitted models share substantial training data. A Wilcoxon test across these results therefore needs a dependence caveat.</w:t>
      </w:r>
    </w:p>
    <w:p w14:paraId="47BD0A6C" w14:textId="77777777" w:rsidR="006D3527" w:rsidRPr="006D3527" w:rsidRDefault="006D3527" w:rsidP="006D3527">
      <w:r w:rsidRPr="006D3527">
        <w:t xml:space="preserve">Report the ten paired results, exact p-value, confidence interval for the </w:t>
      </w:r>
      <w:r w:rsidRPr="006D3527">
        <w:rPr>
          <w:b/>
          <w:bCs/>
        </w:rPr>
        <w:t>performance difference</w:t>
      </w:r>
      <w:r w:rsidRPr="006D3527">
        <w:t xml:space="preserve">, and repeated training seeds. Seed 42 alone cannot establish training stability. </w:t>
      </w:r>
      <w:r w:rsidRPr="006D3527">
        <w:lastRenderedPageBreak/>
        <w:t>Add a standard Fold 10 comparison with patient-level paired bootstrap intervals, keeping all tuning within training/validation data.</w:t>
      </w:r>
    </w:p>
    <w:p w14:paraId="3A45A60E" w14:textId="77777777" w:rsidR="006D3527" w:rsidRPr="006D3527" w:rsidRDefault="006D3527" w:rsidP="006D3527">
      <w:pPr>
        <w:numPr>
          <w:ilvl w:val="0"/>
          <w:numId w:val="1"/>
        </w:numPr>
      </w:pPr>
      <w:r w:rsidRPr="006D3527">
        <w:rPr>
          <w:b/>
          <w:bCs/>
        </w:rPr>
        <w:t>External generalization is uneven, and the label mapping needs verification.</w:t>
      </w:r>
    </w:p>
    <w:p w14:paraId="1D00323E" w14:textId="77777777" w:rsidR="006D3527" w:rsidRPr="006D3527" w:rsidRDefault="006D3527" w:rsidP="006D3527">
      <w:r w:rsidRPr="006D3527">
        <w:t>Table 6 reports: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773"/>
        <w:gridCol w:w="788"/>
      </w:tblGrid>
      <w:tr w:rsidR="006D3527" w:rsidRPr="006D3527" w14:paraId="20A3C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42F1E" w14:textId="77777777" w:rsidR="006D3527" w:rsidRPr="006D3527" w:rsidRDefault="006D3527" w:rsidP="006D3527">
            <w:pPr>
              <w:rPr>
                <w:b/>
                <w:bCs/>
              </w:rPr>
            </w:pPr>
            <w:r w:rsidRPr="006D3527">
              <w:rPr>
                <w:b/>
                <w:bCs/>
              </w:rPr>
              <w:t>External class</w:t>
            </w:r>
          </w:p>
        </w:tc>
        <w:tc>
          <w:tcPr>
            <w:tcW w:w="0" w:type="auto"/>
            <w:vAlign w:val="center"/>
            <w:hideMark/>
          </w:tcPr>
          <w:p w14:paraId="6EE06D62" w14:textId="77777777" w:rsidR="006D3527" w:rsidRPr="006D3527" w:rsidRDefault="006D3527" w:rsidP="006D3527">
            <w:pPr>
              <w:rPr>
                <w:b/>
                <w:bCs/>
              </w:rPr>
            </w:pPr>
            <w:r w:rsidRPr="006D3527">
              <w:rPr>
                <w:b/>
                <w:bCs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32D1407D" w14:textId="77777777" w:rsidR="006D3527" w:rsidRPr="006D3527" w:rsidRDefault="006D3527" w:rsidP="006D3527">
            <w:pPr>
              <w:rPr>
                <w:b/>
                <w:bCs/>
              </w:rPr>
            </w:pPr>
            <w:r w:rsidRPr="006D3527">
              <w:rPr>
                <w:b/>
                <w:bCs/>
              </w:rPr>
              <w:t>F1</w:t>
            </w:r>
          </w:p>
        </w:tc>
      </w:tr>
      <w:tr w:rsidR="006D3527" w:rsidRPr="006D3527" w14:paraId="0040A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E2C1" w14:textId="77777777" w:rsidR="006D3527" w:rsidRPr="006D3527" w:rsidRDefault="006D3527" w:rsidP="006D3527">
            <w:r w:rsidRPr="006D3527">
              <w:t>NORM</w:t>
            </w:r>
          </w:p>
        </w:tc>
        <w:tc>
          <w:tcPr>
            <w:tcW w:w="0" w:type="auto"/>
            <w:vAlign w:val="center"/>
            <w:hideMark/>
          </w:tcPr>
          <w:p w14:paraId="10D7D11F" w14:textId="77777777" w:rsidR="006D3527" w:rsidRPr="006D3527" w:rsidRDefault="006D3527" w:rsidP="006D3527">
            <w:r w:rsidRPr="006D3527">
              <w:t>0.9049</w:t>
            </w:r>
          </w:p>
        </w:tc>
        <w:tc>
          <w:tcPr>
            <w:tcW w:w="0" w:type="auto"/>
            <w:vAlign w:val="center"/>
            <w:hideMark/>
          </w:tcPr>
          <w:p w14:paraId="427E3EEB" w14:textId="77777777" w:rsidR="006D3527" w:rsidRPr="006D3527" w:rsidRDefault="006D3527" w:rsidP="006D3527">
            <w:r w:rsidRPr="006D3527">
              <w:t>0.5816</w:t>
            </w:r>
          </w:p>
        </w:tc>
      </w:tr>
      <w:tr w:rsidR="006D3527" w:rsidRPr="006D3527" w14:paraId="50BD6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3338" w14:textId="77777777" w:rsidR="006D3527" w:rsidRPr="006D3527" w:rsidRDefault="006D3527" w:rsidP="006D3527">
            <w:r w:rsidRPr="006D3527">
              <w:t>CD</w:t>
            </w:r>
          </w:p>
        </w:tc>
        <w:tc>
          <w:tcPr>
            <w:tcW w:w="0" w:type="auto"/>
            <w:vAlign w:val="center"/>
            <w:hideMark/>
          </w:tcPr>
          <w:p w14:paraId="73C6BDD7" w14:textId="77777777" w:rsidR="006D3527" w:rsidRPr="006D3527" w:rsidRDefault="006D3527" w:rsidP="006D3527">
            <w:r w:rsidRPr="006D3527">
              <w:t>0.8462</w:t>
            </w:r>
          </w:p>
        </w:tc>
        <w:tc>
          <w:tcPr>
            <w:tcW w:w="0" w:type="auto"/>
            <w:vAlign w:val="center"/>
            <w:hideMark/>
          </w:tcPr>
          <w:p w14:paraId="2A6DC8CF" w14:textId="77777777" w:rsidR="006D3527" w:rsidRPr="006D3527" w:rsidRDefault="006D3527" w:rsidP="006D3527">
            <w:r w:rsidRPr="006D3527">
              <w:t>0.8306</w:t>
            </w:r>
          </w:p>
        </w:tc>
      </w:tr>
      <w:tr w:rsidR="006D3527" w:rsidRPr="006D3527" w14:paraId="0E9E1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84A8" w14:textId="77777777" w:rsidR="006D3527" w:rsidRPr="006D3527" w:rsidRDefault="006D3527" w:rsidP="006D3527">
            <w:r w:rsidRPr="006D3527">
              <w:t>STTC</w:t>
            </w:r>
          </w:p>
        </w:tc>
        <w:tc>
          <w:tcPr>
            <w:tcW w:w="0" w:type="auto"/>
            <w:vAlign w:val="center"/>
            <w:hideMark/>
          </w:tcPr>
          <w:p w14:paraId="33FAE7D7" w14:textId="77777777" w:rsidR="006D3527" w:rsidRPr="006D3527" w:rsidRDefault="006D3527" w:rsidP="006D3527">
            <w:r w:rsidRPr="006D3527">
              <w:rPr>
                <w:b/>
                <w:bCs/>
              </w:rPr>
              <w:t>0.6036</w:t>
            </w:r>
          </w:p>
        </w:tc>
        <w:tc>
          <w:tcPr>
            <w:tcW w:w="0" w:type="auto"/>
            <w:vAlign w:val="center"/>
            <w:hideMark/>
          </w:tcPr>
          <w:p w14:paraId="3B9CEF88" w14:textId="77777777" w:rsidR="006D3527" w:rsidRPr="006D3527" w:rsidRDefault="006D3527" w:rsidP="006D3527">
            <w:r w:rsidRPr="006D3527">
              <w:rPr>
                <w:b/>
                <w:bCs/>
              </w:rPr>
              <w:t>0.3229</w:t>
            </w:r>
          </w:p>
        </w:tc>
      </w:tr>
    </w:tbl>
    <w:p w14:paraId="6227C674" w14:textId="77777777" w:rsidR="006D3527" w:rsidRPr="006D3527" w:rsidRDefault="006D3527" w:rsidP="006D3527">
      <w:r w:rsidRPr="006D3527">
        <w:t xml:space="preserve">The weak STTC result materially limits the claim of robust external transfer. Moreover, this evaluation covers </w:t>
      </w:r>
      <w:r w:rsidRPr="006D3527">
        <w:rPr>
          <w:b/>
          <w:bCs/>
        </w:rPr>
        <w:t>three classes</w:t>
      </w:r>
      <w:r w:rsidRPr="006D3527">
        <w:t>, leaving MI and HYP externally unvalidated.</w:t>
      </w:r>
    </w:p>
    <w:p w14:paraId="2AF52808" w14:textId="77777777" w:rsidR="006D3527" w:rsidRPr="006D3527" w:rsidRDefault="006D3527" w:rsidP="006D3527">
      <w:r w:rsidRPr="006D3527">
        <w:t xml:space="preserve">Publish the complete SNOMED-to-superclass mapping, particularly how </w:t>
      </w:r>
      <w:r w:rsidRPr="006D3527">
        <w:rPr>
          <w:b/>
          <w:bCs/>
        </w:rPr>
        <w:t>4,988 records become CD-positive</w:t>
      </w:r>
      <w:r w:rsidRPr="006D3527">
        <w:t>. The manuscript does not provide enough information to verify that target-label meanings match PTB-XL.</w:t>
      </w:r>
    </w:p>
    <w:p w14:paraId="1A0D9738" w14:textId="77777777" w:rsidR="006D3527" w:rsidRPr="006D3527" w:rsidRDefault="006D3527" w:rsidP="006D3527">
      <w:r w:rsidRPr="006D3527">
        <w:t>Explain “Tuned F1”: if thresholds were selected using CPSC labels, that F1 is not a fully untouched zero-shot evaluation. This is an ambiguity requiring clarification, not evidence that leakage occurred.</w:t>
      </w:r>
    </w:p>
    <w:p w14:paraId="166F10CB" w14:textId="77777777" w:rsidR="006D3527" w:rsidRPr="006D3527" w:rsidRDefault="006D3527" w:rsidP="006D3527">
      <w:pPr>
        <w:numPr>
          <w:ilvl w:val="0"/>
          <w:numId w:val="1"/>
        </w:numPr>
      </w:pPr>
      <w:r w:rsidRPr="006D3527">
        <w:rPr>
          <w:b/>
          <w:bCs/>
        </w:rPr>
        <w:t>The anatomical interpretation exceeds the available ground truth.</w:t>
      </w:r>
    </w:p>
    <w:p w14:paraId="3DE4003B" w14:textId="77777777" w:rsidR="006D3527" w:rsidRPr="006D3527" w:rsidRDefault="006D3527" w:rsidP="006D3527">
      <w:r w:rsidRPr="006D3527">
        <w:t>The description of four “mutually orthogonal coronary vascular beds” is inaccurate. These are useful lead groups, but not independent coronary compartments; aVR is not a separate coronary vascular bed.</w:t>
      </w:r>
    </w:p>
    <w:p w14:paraId="6EE9B205" w14:textId="77777777" w:rsidR="006D3527" w:rsidRPr="006D3527" w:rsidRDefault="006D3527" w:rsidP="006D3527">
      <w:r w:rsidRPr="006D3527">
        <w:t xml:space="preserve">More seriously, SCP infarct-location labels do not establish angiographically verified culprit arteries. Inferior infarction can involve RCA or LCx depending on coronary anatomy. </w:t>
      </w:r>
      <w:hyperlink r:id="rId8" w:history="1">
        <w:r w:rsidRPr="006D3527">
          <w:rPr>
            <w:rStyle w:val="Hyperlink"/>
          </w:rPr>
          <w:t>ahajournals.org</w:t>
        </w:r>
      </w:hyperlink>
    </w:p>
    <w:p w14:paraId="165F5AD0" w14:textId="77777777" w:rsidR="006D3527" w:rsidRPr="006D3527" w:rsidRDefault="006D3527" w:rsidP="006D3527">
      <w:r w:rsidRPr="006D3527">
        <w:t xml:space="preserve">Replace “coronary culprit ground-truth validation” with </w:t>
      </w:r>
      <w:r w:rsidRPr="006D3527">
        <w:rPr>
          <w:b/>
          <w:bCs/>
        </w:rPr>
        <w:t>agreement with ECG-derived infarct-location annotations</w:t>
      </w:r>
      <w:r w:rsidRPr="006D3527">
        <w:t>. Claims about acute infarction, arterial occlusion, and catheterization decisions require additional clinical evidence.</w:t>
      </w:r>
    </w:p>
    <w:p w14:paraId="632B8DBD" w14:textId="77777777" w:rsidR="006D3527" w:rsidRPr="006D3527" w:rsidRDefault="006D3527" w:rsidP="006D3527">
      <w:r w:rsidRPr="006D3527">
        <w:t xml:space="preserve">The lateral subgroup also needs honest treatment: </w:t>
      </w:r>
      <w:r w:rsidRPr="006D3527">
        <w:rPr>
          <w:b/>
          <w:bCs/>
        </w:rPr>
        <w:t>21.31% lateral versus 62.13% antero-septal attribution</w:t>
      </w:r>
      <w:r w:rsidRPr="006D3527">
        <w:t xml:space="preserve"> is not straightforward evidence of successful lateral localization. Separate LMI from ALMI and report predefined patient-level localization accuracy.</w:t>
      </w:r>
    </w:p>
    <w:p w14:paraId="18E983FF" w14:textId="77777777" w:rsidR="006D3527" w:rsidRPr="006D3527" w:rsidRDefault="006D3527" w:rsidP="006D3527">
      <w:pPr>
        <w:numPr>
          <w:ilvl w:val="0"/>
          <w:numId w:val="1"/>
        </w:numPr>
      </w:pPr>
      <w:r w:rsidRPr="006D3527">
        <w:rPr>
          <w:b/>
          <w:bCs/>
        </w:rPr>
        <w:t>The XAI checks are useful, but do not establish clinical faithfulness.</w:t>
      </w:r>
    </w:p>
    <w:p w14:paraId="51799C89" w14:textId="77777777" w:rsidR="006D3527" w:rsidRPr="006D3527" w:rsidRDefault="006D3527" w:rsidP="006D3527">
      <w:r w:rsidRPr="006D3527">
        <w:lastRenderedPageBreak/>
        <w:t>The manuscript deserves credit for including parameter-randomization checks and baseline sensitivity analysis. However:</w:t>
      </w:r>
    </w:p>
    <w:p w14:paraId="417717E0" w14:textId="77777777" w:rsidR="006D3527" w:rsidRPr="006D3527" w:rsidRDefault="006D3527" w:rsidP="006D3527">
      <w:pPr>
        <w:numPr>
          <w:ilvl w:val="1"/>
          <w:numId w:val="1"/>
        </w:numPr>
      </w:pPr>
      <w:r w:rsidRPr="006D3527">
        <w:t xml:space="preserve">Integrated Gradients completeness checks whether attributions account for a model-score difference; it does not establish correct clinical reasoning. </w:t>
      </w:r>
      <w:hyperlink r:id="rId9" w:history="1">
        <w:r w:rsidRPr="006D3527">
          <w:rPr>
            <w:rStyle w:val="Hyperlink"/>
          </w:rPr>
          <w:t>proceedings.mlr.press</w:t>
        </w:r>
      </w:hyperlink>
    </w:p>
    <w:p w14:paraId="10DBB9A1" w14:textId="77777777" w:rsidR="006D3527" w:rsidRPr="006D3527" w:rsidRDefault="006D3527" w:rsidP="006D3527">
      <w:pPr>
        <w:numPr>
          <w:ilvl w:val="1"/>
          <w:numId w:val="1"/>
        </w:numPr>
      </w:pPr>
      <w:r w:rsidRPr="006D3527">
        <w:t>A single shared territory-attention vector is not automatically a class-specific explanation.</w:t>
      </w:r>
    </w:p>
    <w:p w14:paraId="586D1361" w14:textId="77777777" w:rsidR="006D3527" w:rsidRPr="006D3527" w:rsidRDefault="006D3527" w:rsidP="006D3527">
      <w:pPr>
        <w:numPr>
          <w:ilvl w:val="1"/>
          <w:numId w:val="1"/>
        </w:numPr>
      </w:pPr>
      <w:r w:rsidRPr="006D3527">
        <w:t>Zeroing input leads during explanation differs from dropping branch features during training.</w:t>
      </w:r>
    </w:p>
    <w:p w14:paraId="6B8D4B6C" w14:textId="77777777" w:rsidR="006D3527" w:rsidRPr="006D3527" w:rsidRDefault="006D3527" w:rsidP="006D3527">
      <w:pPr>
        <w:numPr>
          <w:ilvl w:val="1"/>
          <w:numId w:val="1"/>
        </w:numPr>
      </w:pPr>
      <w:r w:rsidRPr="006D3527">
        <w:t>Territory-average attribution cannot demonstrate precise ST-segment, J-point, or QRS localization.</w:t>
      </w:r>
    </w:p>
    <w:p w14:paraId="2693709D" w14:textId="77777777" w:rsidR="006D3527" w:rsidRPr="006D3527" w:rsidRDefault="006D3527" w:rsidP="006D3527">
      <w:pPr>
        <w:numPr>
          <w:ilvl w:val="1"/>
          <w:numId w:val="1"/>
        </w:numPr>
      </w:pPr>
      <w:r w:rsidRPr="006D3527">
        <w:t>Grouped explanations can also be produced by aggregating attributions from a flat model.</w:t>
      </w:r>
    </w:p>
    <w:p w14:paraId="0153EC9D" w14:textId="77777777" w:rsidR="006D3527" w:rsidRPr="006D3527" w:rsidRDefault="006D3527" w:rsidP="006D3527">
      <w:r w:rsidRPr="006D3527">
        <w:t>Compare the same XAI methods across flat and anatomical models, using clinician-marked waveform regions, perturbation faithfulness, and failure cases. The current comparison with generative counterfactuals is largely conceptual; it does not demonstrate empirical superiority over them.</w:t>
      </w:r>
    </w:p>
    <w:p w14:paraId="0BA8F1A5" w14:textId="77777777" w:rsidR="006D3527" w:rsidRPr="006D3527" w:rsidRDefault="006D3527" w:rsidP="006D3527">
      <w:pPr>
        <w:numPr>
          <w:ilvl w:val="0"/>
          <w:numId w:val="1"/>
        </w:numPr>
      </w:pPr>
      <w:r w:rsidRPr="006D3527">
        <w:rPr>
          <w:b/>
          <w:bCs/>
        </w:rPr>
        <w:t>There are concrete figure and implementation inconsistencies.</w:t>
      </w:r>
    </w:p>
    <w:p w14:paraId="6B4AF9AB" w14:textId="77777777" w:rsidR="006D3527" w:rsidRPr="006D3527" w:rsidRDefault="006D3527" w:rsidP="006D3527">
      <w:r w:rsidRPr="006D3527">
        <w:rPr>
          <w:b/>
          <w:bCs/>
        </w:rPr>
        <w:t>Figure 3, page 9:</w:t>
      </w:r>
      <w:r w:rsidRPr="006D3527">
        <w:t xml:space="preserve"> the caption claims three models on Fold 10, but the figure contains only two model rows, and the upper row is labelled </w:t>
      </w:r>
      <w:r w:rsidRPr="006D3527">
        <w:rPr>
          <w:b/>
          <w:bCs/>
        </w:rPr>
        <w:t>Fold 8</w:t>
      </w:r>
      <w:r w:rsidRPr="006D3527">
        <w:t xml:space="preserve">. The displayed totals also differ: the upper NORM matrix sums to </w:t>
      </w:r>
      <w:r w:rsidRPr="006D3527">
        <w:rPr>
          <w:b/>
          <w:bCs/>
        </w:rPr>
        <w:t>2,176</w:t>
      </w:r>
      <w:r w:rsidRPr="006D3527">
        <w:t xml:space="preserve">, while the lower sums to </w:t>
      </w:r>
      <w:r w:rsidRPr="006D3527">
        <w:rPr>
          <w:b/>
          <w:bCs/>
        </w:rPr>
        <w:t>2,198</w:t>
      </w:r>
      <w:r w:rsidRPr="006D3527">
        <w:t>. This must be corrected before the comparison is interpretable.</w:t>
      </w:r>
    </w:p>
    <w:p w14:paraId="3658F957" w14:textId="77777777" w:rsidR="006D3527" w:rsidRPr="006D3527" w:rsidRDefault="006D3527" w:rsidP="006D3527">
      <w:r w:rsidRPr="006D3527">
        <w:rPr>
          <w:b/>
          <w:bCs/>
        </w:rPr>
        <w:t>Figure 5, page 16:</w:t>
      </w:r>
      <w:r w:rsidRPr="006D3527">
        <w:t xml:space="preserve"> anterior territory occlusion is larger, but the attention bars favor inferior leads—</w:t>
      </w:r>
      <w:r w:rsidRPr="006D3527">
        <w:rPr>
          <w:b/>
          <w:bCs/>
        </w:rPr>
        <w:t>52.3% inferior versus 40.0% antero-septal</w:t>
      </w:r>
      <w:r w:rsidRPr="006D3527">
        <w:t>. Section 5.1 nevertheless describes attention as anterior-dominant. Report this disagreement rather than claiming concordance.</w:t>
      </w:r>
    </w:p>
    <w:p w14:paraId="0E62432B" w14:textId="77777777" w:rsidR="006D3527" w:rsidRPr="006D3527" w:rsidRDefault="006D3527" w:rsidP="006D3527">
      <w:r w:rsidRPr="006D3527">
        <w:t>Table 2 includes attention fusion, while Algorithm 1 omits it; Figure 2 also depicts a different pooling/SE sequence. Provide one definitive architecture and executable configuration.</w:t>
      </w:r>
    </w:p>
    <w:p w14:paraId="6AB783D0" w14:textId="77777777" w:rsidR="006D3527" w:rsidRPr="006D3527" w:rsidRDefault="006D3527" w:rsidP="006D3527">
      <w:pPr>
        <w:numPr>
          <w:ilvl w:val="0"/>
          <w:numId w:val="1"/>
        </w:numPr>
      </w:pPr>
      <w:r w:rsidRPr="006D3527">
        <w:rPr>
          <w:b/>
          <w:bCs/>
        </w:rPr>
        <w:t>The robustness and deployment claims need direct tests.</w:t>
      </w:r>
    </w:p>
    <w:p w14:paraId="1D48AF70" w14:textId="77777777" w:rsidR="006D3527" w:rsidRPr="006D3527" w:rsidRDefault="006D3527" w:rsidP="006D3527">
      <w:r w:rsidRPr="006D3527">
        <w:lastRenderedPageBreak/>
        <w:t>Cross-dataset transfer alone does not prove elimination of shortcuts or vendor-noise dependence. Test missing territories, individual missing leads, baseline wander, electrode-motion noise, and lead swaps across controlled severity levels.</w:t>
      </w:r>
    </w:p>
    <w:p w14:paraId="087F0C3F" w14:textId="77777777" w:rsidR="006D3527" w:rsidRPr="006D3527" w:rsidRDefault="006D3527" w:rsidP="006D3527">
      <w:r w:rsidRPr="006D3527">
        <w:t>Report calibration and explanation latency as well. Near-100% sigmoid outputs should not be presented as reliable clinical confidence without calibration evidence.</w:t>
      </w:r>
    </w:p>
    <w:p w14:paraId="0D0574FA" w14:textId="77777777" w:rsidR="006D3527" w:rsidRPr="006D3527" w:rsidRDefault="006D3527" w:rsidP="006D3527">
      <w:r w:rsidRPr="006D3527">
        <w:rPr>
          <w:b/>
          <w:bCs/>
        </w:rPr>
        <w:t>The most defensible revision is to position this as a compact, anatomically grouped classifier with preliminary explanation validation.</w:t>
      </w:r>
      <w:r w:rsidRPr="006D3527">
        <w:t xml:space="preserve"> Before resubmission, prioritize correcting Table 7 and Figure 3, adding matched anatomical-versus-random grouping controls, auditing external labels and thresholds, and replacing clinical certainty claims with conclusions supported by the actual tests.</w:t>
      </w:r>
    </w:p>
    <w:p w14:paraId="1BDAA0B0" w14:textId="77777777" w:rsidR="00EB7A11" w:rsidRDefault="00EB7A11"/>
    <w:sectPr w:rsidR="00EB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26559"/>
    <w:multiLevelType w:val="multilevel"/>
    <w:tmpl w:val="AD0C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948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27"/>
    <w:rsid w:val="004B1072"/>
    <w:rsid w:val="006D3527"/>
    <w:rsid w:val="00903496"/>
    <w:rsid w:val="00EB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01F1F"/>
  <w15:chartTrackingRefBased/>
  <w15:docId w15:val="{F5F41F80-7FAE-4DD9-8C5C-0A80CB9F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5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35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hajournals.org/doi/pdf/10.1161/circulationaha.108.191098?fulltext=Recommendations+for+the+Standardization+and+Interpretation+of+the+Electrocardioi&amp;hits=10&amp;resourcetype=HWCIT&amp;searchid=1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html/2507.09887v1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iencedirect.com/science/article/pii/S1350453324000973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helme/ecg_ptbxl_benchmarking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roceedings.mlr.press/v70/sundararajan17a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1335</Words>
  <Characters>7615</Characters>
  <Application>Microsoft Office Word</Application>
  <DocSecurity>0</DocSecurity>
  <Lines>63</Lines>
  <Paragraphs>17</Paragraphs>
  <ScaleCrop>false</ScaleCrop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Ghulam Mustafa BULC</dc:creator>
  <cp:keywords/>
  <dc:description/>
  <cp:lastModifiedBy>Dr Ghulam Mustafa BULC</cp:lastModifiedBy>
  <cp:revision>1</cp:revision>
  <dcterms:created xsi:type="dcterms:W3CDTF">2026-09-30T09:26:00Z</dcterms:created>
  <dcterms:modified xsi:type="dcterms:W3CDTF">2026-09-30T09:26:00Z</dcterms:modified>
</cp:coreProperties>
</file>