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Review of "Anatomically-Guided 1D Conditional Diffusion Models for Causal Counterfactual ECG Generation and Zero-Shot Pathology Reversal"</w:t>
      </w:r>
    </w:p>
    <w:p>
      <w:pPr>
        <w:spacing w:after="300"/>
      </w:pPr>
      <w:r>
        <w:rPr>
          <w:i/>
          <w:iCs/>
          <w:color w:val="555555"/>
        </w:rPr>
        <w:t xml:space="preserve">Assessment for tier-1 CS / AI / medicine venue submission</w:t>
      </w:r>
    </w:p>
    <w:p>
      <w:pPr>
        <w:spacing w:after="200"/>
      </w:pPr>
      <w:r>
        <w:t xml:space="preserve">This is a solid, well-structured piece of applied ML-for-medicine work with a genuinely interesting angle (counterfactual explanation instead of saliency), but if this is aimed at a true tier-1 venue </w:t>
      </w:r>
      <w:r>
        <w:rPr>
          <w:i/>
          <w:iCs/>
        </w:rPr>
        <w:t xml:space="preserve">— Nature Machine Intelligence, npj Digital Medicine, Medical Image Analysis, IEEE TMI/JBHI-flagship level — </w:t>
      </w:r>
      <w:r>
        <w:t xml:space="preserve">it has several issues that reviewers will almost certainly flag. My honest read: </w:t>
      </w:r>
      <w:r>
        <w:rPr>
          <w:b/>
          <w:bCs/>
        </w:rPr>
        <w:t xml:space="preserve">strong "major revision" candidate, not an accept-as-is</w:t>
      </w:r>
      <w:r>
        <w:t xml:space="preserve">, and there's a real risk of rejection at the very top venues unless the validation is deepened.</w:t>
      </w:r>
    </w:p>
    <w:p>
      <w:pPr>
        <w:pStyle w:val="Heading1"/>
        <w:spacing w:after="150" w:before="300"/>
      </w:pPr>
      <w:r>
        <w:t xml:space="preserve">Strengths</w:t>
      </w:r>
    </w:p>
    <w:p>
      <w:pPr>
        <w:pStyle w:val="ListParagraph"/>
        <w:numPr>
          <w:ilvl w:val="0"/>
          <w:numId w:val="2"/>
        </w:numPr>
        <w:spacing w:after="150"/>
      </w:pPr>
      <w:r>
        <w:rPr>
          <w:b/>
          <w:bCs/>
        </w:rPr>
        <w:t xml:space="preserve">Clear, clinically motivated problem framing. </w:t>
      </w:r>
      <w:r>
        <w:t xml:space="preserve">The critique of saliency/Grad-CAM as non-actionable is well-argued and well-cited (Jain &amp; Wallace, Wachter et al.).</w:t>
      </w:r>
    </w:p>
    <w:p>
      <w:pPr>
        <w:pStyle w:val="ListParagraph"/>
        <w:numPr>
          <w:ilvl w:val="0"/>
          <w:numId w:val="2"/>
        </w:numPr>
        <w:spacing w:after="150"/>
      </w:pPr>
      <w:r>
        <w:rPr>
          <w:b/>
          <w:bCs/>
        </w:rPr>
        <w:t xml:space="preserve">Sensible architectural ablation. </w:t>
      </w:r>
      <w:r>
        <w:t xml:space="preserve">Going from flat ResNet → anatomical multi-branch → territory-dropout is a clean, interpretable progression, and each step is independently justified rather than just bundled together.</w:t>
      </w:r>
    </w:p>
    <w:p>
      <w:pPr>
        <w:pStyle w:val="ListParagraph"/>
        <w:numPr>
          <w:ilvl w:val="0"/>
          <w:numId w:val="2"/>
        </w:numPr>
        <w:spacing w:after="150"/>
      </w:pPr>
      <w:r>
        <w:rPr>
          <w:b/>
          <w:bCs/>
        </w:rPr>
        <w:t xml:space="preserve">Reasonable technical core. </w:t>
      </w:r>
      <w:r>
        <w:t xml:space="preserve">Classifier-guided DDIM for counterfactual editing is a legitimate, current approach; the derivation (Eqs. 6–10) is coherent.</w:t>
      </w:r>
    </w:p>
    <w:p>
      <w:pPr>
        <w:pStyle w:val="ListParagraph"/>
        <w:numPr>
          <w:ilvl w:val="0"/>
          <w:numId w:val="2"/>
        </w:numPr>
        <w:spacing w:after="150"/>
      </w:pPr>
      <w:r>
        <w:rPr>
          <w:b/>
          <w:bCs/>
        </w:rPr>
        <w:t xml:space="preserve">External generalization test included. </w:t>
      </w:r>
      <w:r>
        <w:t xml:space="preserve">Zero-shot evaluation on CPSC2018 is good practice and often skipped by weaker papers.</w:t>
      </w:r>
    </w:p>
    <w:p>
      <w:pPr>
        <w:pStyle w:val="ListParagraph"/>
        <w:numPr>
          <w:ilvl w:val="0"/>
          <w:numId w:val="2"/>
        </w:numPr>
        <w:spacing w:after="150"/>
      </w:pPr>
      <w:r>
        <w:rPr>
          <w:b/>
          <w:bCs/>
        </w:rPr>
        <w:t xml:space="preserve">Concrete counterfactual metrics. </w:t>
      </w:r>
      <w:r>
        <w:t xml:space="preserve">Flip rate, cosine similarity, ΔHR, L1 norm — this is the right category of metric even if the execution needs work (see below).</w:t>
      </w:r>
    </w:p>
    <w:p>
      <w:pPr>
        <w:pStyle w:val="Heading1"/>
        <w:spacing w:after="150" w:before="300"/>
      </w:pPr>
      <w:r>
        <w:t xml:space="preserve">Weaknesses that will draw reviewer scrutiny</w:t>
      </w:r>
    </w:p>
    <w:p>
      <w:pPr>
        <w:spacing w:after="100" w:before="200"/>
      </w:pPr>
      <w:r>
        <w:rPr>
          <w:b/>
          <w:bCs/>
        </w:rPr>
        <w:t xml:space="preserve">1. The identity-preservation claim is internally contradicted by your own control.</w:t>
      </w:r>
    </w:p>
    <w:p>
      <w:pPr>
        <w:spacing w:after="200"/>
      </w:pPr>
      <w:r>
        <w:t xml:space="preserve">This is the biggest issue. Your NORM→NORM control (Fig. 7, Table 3) yields cosine similarity 0.8488 — essentially the same as the pathology→NORM cases (0.81–0.85). If passing an already-normal ECG through the "minimal edit" pipeline produces ~15% dissimilarity with itself, then 0.83 cosine similarity for a genuine pathology edit tells you nothing about whether the edit was "minimal" — the metric floor is already ~0.85 regardless of how much you change. This undermines the headline claim (0.8296 identity preservation) rather than supporting it. You need either a metric that behaves correctly under the null case (near 1.0 for NORM→NORM) or an explanation for why cosine similarity saturates below 1.0 even at zero edit.</w:t>
      </w:r>
    </w:p>
    <w:p>
      <w:pPr>
        <w:spacing w:after="100" w:before="200"/>
      </w:pPr>
      <w:r>
        <w:rPr>
          <w:b/>
          <w:bCs/>
        </w:rPr>
        <w:t xml:space="preserve">2. Circular validation of "diagnostic flip."</w:t>
      </w:r>
    </w:p>
    <w:p>
      <w:pPr>
        <w:spacing w:after="200"/>
      </w:pPr>
      <w:r>
        <w:t xml:space="preserve">The flip rate is computed using the same classifier that guides the diffusion sampling (pφ appears in both Eq. 10 and the flip-rate evaluation). This is structurally similar to adversarial-example generation — you're optimizing directly against the judge that later grades you. A 95% flip rate under this setup could reflect biophysically meaningful reversal, or it could reflect the diffusion model finding classifier-specific shortcuts (the same "spatial shortcut learning" problem you diagnose in Model 1). An independent classifier (different architecture/training run, or ideally the untouched CPSC2018-trained model) should confirm the flips.</w:t>
      </w:r>
    </w:p>
    <w:p>
      <w:pPr>
        <w:spacing w:after="100" w:before="200"/>
      </w:pPr>
      <w:r>
        <w:rPr>
          <w:b/>
          <w:bCs/>
        </w:rPr>
        <w:t xml:space="preserve">3. No statistical testing anywhere the numbers are small.</w:t>
      </w:r>
    </w:p>
    <w:p>
      <w:pPr>
        <w:pStyle w:val="ListParagraph"/>
        <w:numPr>
          <w:ilvl w:val="0"/>
          <w:numId w:val="3"/>
        </w:numPr>
        <w:spacing w:after="120"/>
      </w:pPr>
      <w:r>
        <w:t xml:space="preserve">AUC gains of 0.9248 → 0.9295 → 0.9329 with reported stds of 0.003–0.005 need a DeLong test or paired bootstrap to claim "state-of-the-art" — as reported, Model 2 and Model 3 may not be distinguishable.</w:t>
      </w:r>
    </w:p>
    <w:p>
      <w:pPr>
        <w:pStyle w:val="ListParagraph"/>
        <w:numPr>
          <w:ilvl w:val="0"/>
          <w:numId w:val="3"/>
        </w:numPr>
        <w:spacing w:after="120"/>
      </w:pPr>
      <w:r>
        <w:t xml:space="preserve">The 95% flip rate on n=100 has no confidence interval (binomial CI would be roughly ±4–5 points).</w:t>
      </w:r>
    </w:p>
    <w:p>
      <w:pPr>
        <w:pStyle w:val="ListParagraph"/>
        <w:numPr>
          <w:ilvl w:val="0"/>
          <w:numId w:val="3"/>
        </w:numPr>
        <w:spacing w:after="120"/>
      </w:pPr>
      <w:r>
        <w:t xml:space="preserve">Table 5's cross-paper comparisons (your 95.0% vs. Korkmaz's 78.2%, Neifar's 84.5%) are pulled from different studies with possibly different flip-rate definitions, datasets, and target classes — reviewers will ask you to either reimplement these baselines on your data or heavily caveat the comparison.</w:t>
      </w:r>
    </w:p>
    <w:p>
      <w:pPr>
        <w:spacing w:after="100" w:before="200"/>
      </w:pPr>
      <w:r>
        <w:rPr>
          <w:b/>
          <w:bCs/>
        </w:rPr>
        <w:t xml:space="preserve">4. Physiological plausibility is asserted, not measured.</w:t>
      </w:r>
    </w:p>
    <w:p>
      <w:pPr>
        <w:spacing w:after="200"/>
      </w:pPr>
      <w:r>
        <w:t xml:space="preserve">You set β=0 (dropping the Einthoven's Law / Goldberger's equations penalty) and simply assert the U-Net "inherently" preserves these relations. That's a hand-wave at a point you raised yourself as a key differentiator from GANs. A quantitative check — e.g., residual error of Lead II − (Lead I + Lead III) on generated signals — would take an afternoon and close a real gap.</w:t>
      </w:r>
    </w:p>
    <w:p>
      <w:pPr>
        <w:spacing w:after="100" w:before="200"/>
      </w:pPr>
      <w:r>
        <w:rPr>
          <w:b/>
          <w:bCs/>
        </w:rPr>
        <w:t xml:space="preserve">5. Clinical validation is anecdotal.</w:t>
      </w:r>
    </w:p>
    <w:p>
      <w:pPr>
        <w:spacing w:after="200"/>
      </w:pPr>
      <w:r>
        <w:t xml:space="preserve">Sections 5.1–5.3 describe single example patients (ECG ID 63, 299, 65, 116) with qualitative narrative ("restores R-wave progression," "adheres to Sokolow-Lyon criteria") but no aggregate quantitative measurement of the relevant clinical features (ST elevation in mV, QRS duration in ms, Sokolow-Lyon voltage sum) across the full 100-patient cohort, and no independent clinician review/blinded assessment. For a paper positioned for clinical decision support, a cardiologist rating study (even a small blinded panel of 2–3 readers judging "does this look like a plausible normalized ECG") would substantially strengthen the paper and is often what separates "AI methods paper" from "clinically credible" tier-1 acceptance.</w:t>
      </w:r>
    </w:p>
    <w:p>
      <w:pPr>
        <w:spacing w:after="100" w:before="200"/>
      </w:pPr>
      <w:r>
        <w:rPr>
          <w:b/>
          <w:bCs/>
        </w:rPr>
        <w:t xml:space="preserve">6. Unaddressed generalization failure.</w:t>
      </w:r>
    </w:p>
    <w:p>
      <w:pPr>
        <w:spacing w:after="200"/>
      </w:pPr>
      <w:r>
        <w:t xml:space="preserve">CPSC2018 ST/T Changes ROC-AUC is 0.6036 — near chance. This is glossed over in the Discussion, which only highlights the good numbers (NORM 0.90, CD 0.85). A rigorous reviewer will ask you to explain this failure mode rather than omit it from the narrative.</w:t>
      </w:r>
    </w:p>
    <w:p>
      <w:pPr>
        <w:spacing w:after="100" w:before="200"/>
      </w:pPr>
      <w:r>
        <w:rPr>
          <w:b/>
          <w:bCs/>
        </w:rPr>
        <w:t xml:space="preserve">7. Minor but visible: manuscript hygiene.</w:t>
      </w:r>
    </w:p>
    <w:p>
      <w:pPr>
        <w:spacing w:after="200"/>
      </w:pPr>
      <w:r>
        <w:t xml:space="preserve">Ligature dropouts throughout ("classier" for "classifier," "diusion" for "diffusion," "signicantly," "ecacy," etc.) suggest a LaTeX font/encoding issue (missing fi/fl ligature handling, common with certain PDF/font pipelines). This needs a full proofread pass before submission — reviewers do notice, and it reads as an unpolished draft.</w:t>
      </w:r>
    </w:p>
    <w:p>
      <w:pPr>
        <w:pStyle w:val="Heading1"/>
        <w:spacing w:after="150" w:before="300"/>
      </w:pPr>
      <w:r>
        <w:t xml:space="preserve">Chances of acceptance as-is</w:t>
      </w:r>
    </w:p>
    <w:p>
      <w:pPr>
        <w:spacing w:after="200"/>
      </w:pPr>
      <w:r>
        <w:t xml:space="preserve">At IEEE JBHI, </w:t>
      </w:r>
      <w:r>
        <w:rPr>
          <w:i/>
          <w:iCs/>
        </w:rPr>
        <w:t xml:space="preserve">Computers in Biology and Medicine</w:t>
      </w:r>
      <w:r>
        <w:t xml:space="preserve">, or similar solid specialist venues: </w:t>
      </w:r>
      <w:r>
        <w:rPr>
          <w:b/>
          <w:bCs/>
        </w:rPr>
        <w:t xml:space="preserve">plausible with moderate revisions.</w:t>
      </w:r>
      <w:r>
        <w:t xml:space="preserve"> At Nature Machine Intelligence / npj Digital Medicine / Medical Image Analysis tier: </w:t>
      </w:r>
      <w:r>
        <w:rPr>
          <w:b/>
          <w:bCs/>
        </w:rPr>
        <w:t xml:space="preserve">unlikely without addressing items 1–3 and 5</w:t>
      </w:r>
      <w:r>
        <w:t xml:space="preserve"> — those are the kind of issues that get a "reject and resubmit" or "major revision" verdict rather than acceptance, because they go to the core validity of the paper's central claims (identity preservation, causal flip, clinical actionability), not just presentation.</w:t>
      </w:r>
    </w:p>
    <w:p>
      <w:pPr>
        <w:pStyle w:val="Heading1"/>
        <w:spacing w:after="150" w:before="300"/>
      </w:pPr>
      <w:r>
        <w:t xml:space="preserve">Concrete fixes, roughly in priority order</w:t>
      </w:r>
    </w:p>
    <w:p>
      <w:pPr>
        <w:pStyle w:val="ListParagraph"/>
        <w:numPr>
          <w:ilvl w:val="0"/>
          <w:numId w:val="2"/>
        </w:numPr>
        <w:spacing w:after="150"/>
      </w:pPr>
      <w:r>
        <w:rPr>
          <w:b/>
          <w:bCs/>
        </w:rPr>
        <w:t xml:space="preserve">Redesign the identity metric or explain the NORM→NORM control result. </w:t>
      </w:r>
      <w:r>
        <w:t xml:space="preserve">Consider per-lead Pearson correlation, dynamic time warping distance, or a metric normalized against the NORM→NORM baseline (report Δsimilarity relative to null, not raw cosine similarity).</w:t>
      </w:r>
    </w:p>
    <w:p>
      <w:pPr>
        <w:pStyle w:val="ListParagraph"/>
        <w:numPr>
          <w:ilvl w:val="0"/>
          <w:numId w:val="2"/>
        </w:numPr>
        <w:spacing w:after="150"/>
      </w:pPr>
      <w:r>
        <w:rPr>
          <w:b/>
          <w:bCs/>
        </w:rPr>
        <w:t xml:space="preserve">Independent flip validation </w:t>
      </w:r>
      <w:r>
        <w:t xml:space="preserve">— use a held-out classifier (different seed/architecture, or the CPSC2018-only model) to re-score counterfactuals; report both guidance-classifier and independent flip rates.</w:t>
      </w:r>
    </w:p>
    <w:p>
      <w:pPr>
        <w:pStyle w:val="ListParagraph"/>
        <w:numPr>
          <w:ilvl w:val="0"/>
          <w:numId w:val="2"/>
        </w:numPr>
        <w:spacing w:after="150"/>
      </w:pPr>
      <w:r>
        <w:rPr>
          <w:b/>
          <w:bCs/>
        </w:rPr>
        <w:t xml:space="preserve">Add confidence intervals and significance tests </w:t>
      </w:r>
      <w:r>
        <w:t xml:space="preserve">for all headline numbers (AUC deltas via DeLong, flip rate via binomial CI, cosine similarity/ΔHR via bootstrap).</w:t>
      </w:r>
    </w:p>
    <w:p>
      <w:pPr>
        <w:pStyle w:val="ListParagraph"/>
        <w:numPr>
          <w:ilvl w:val="0"/>
          <w:numId w:val="2"/>
        </w:numPr>
        <w:spacing w:after="150"/>
      </w:pPr>
      <w:r>
        <w:rPr>
          <w:b/>
          <w:bCs/>
        </w:rPr>
        <w:t xml:space="preserve">Quantify physiological-constraint adherence </w:t>
      </w:r>
      <w:r>
        <w:t xml:space="preserve">directly (Einthoven/Goldberger residuals on generated signals) rather than asserting it's implicitly learned.</w:t>
      </w:r>
    </w:p>
    <w:p>
      <w:pPr>
        <w:pStyle w:val="ListParagraph"/>
        <w:numPr>
          <w:ilvl w:val="0"/>
          <w:numId w:val="2"/>
        </w:numPr>
        <w:spacing w:after="150"/>
      </w:pPr>
      <w:r>
        <w:rPr>
          <w:b/>
          <w:bCs/>
        </w:rPr>
        <w:t xml:space="preserve">Scale up clinical feature verification </w:t>
      </w:r>
      <w:r>
        <w:t xml:space="preserve">— automatically measure ST-elevation, QRS duration, Sokolow-Lyon voltage across the full 100-patient audit and report distributions pre/post edit, not just 4 illustrative cases.</w:t>
      </w:r>
    </w:p>
    <w:p>
      <w:pPr>
        <w:pStyle w:val="ListParagraph"/>
        <w:numPr>
          <w:ilvl w:val="0"/>
          <w:numId w:val="2"/>
        </w:numPr>
        <w:spacing w:after="150"/>
      </w:pPr>
      <w:r>
        <w:rPr>
          <w:b/>
          <w:bCs/>
        </w:rPr>
        <w:t xml:space="preserve">Get even a small blinded clinician review </w:t>
      </w:r>
      <w:r>
        <w:t xml:space="preserve">of a sample of counterfactuals for plausibility — this single addition would do more for tier-1 credibility than most other changes.</w:t>
      </w:r>
    </w:p>
    <w:p>
      <w:pPr>
        <w:pStyle w:val="ListParagraph"/>
        <w:numPr>
          <w:ilvl w:val="0"/>
          <w:numId w:val="2"/>
        </w:numPr>
        <w:spacing w:after="150"/>
      </w:pPr>
      <w:r>
        <w:rPr>
          <w:b/>
          <w:bCs/>
        </w:rPr>
        <w:t xml:space="preserve">Explain or fix the CPSC2018 ST/T failure </w:t>
      </w:r>
      <w:r>
        <w:t xml:space="preserve">— error analysis, class imbalance discussion, or a limitations paragraph.</w:t>
      </w:r>
    </w:p>
    <w:p>
      <w:pPr>
        <w:pStyle w:val="ListParagraph"/>
        <w:numPr>
          <w:ilvl w:val="0"/>
          <w:numId w:val="2"/>
        </w:numPr>
        <w:spacing w:after="150"/>
      </w:pPr>
      <w:r>
        <w:rPr>
          <w:b/>
          <w:bCs/>
        </w:rPr>
        <w:t xml:space="preserve">Reimplement or clearly caveat cross-paper baselines </w:t>
      </w:r>
      <w:r>
        <w:t xml:space="preserve">in Table 5; note differing evaluation protocols explicitly if reimplementation isn't feasible.</w:t>
      </w:r>
    </w:p>
    <w:p>
      <w:pPr>
        <w:pStyle w:val="ListParagraph"/>
        <w:numPr>
          <w:ilvl w:val="0"/>
          <w:numId w:val="2"/>
        </w:numPr>
        <w:spacing w:after="150"/>
      </w:pPr>
      <w:r>
        <w:rPr>
          <w:b/>
          <w:bCs/>
        </w:rPr>
        <w:t xml:space="preserve">Report hyperparameter sensitivity </w:t>
      </w:r>
      <w:r>
        <w:t xml:space="preserve">(γ, T_start, p_drop) — even a small ablation table.</w:t>
      </w:r>
    </w:p>
    <w:p>
      <w:pPr>
        <w:pStyle w:val="ListParagraph"/>
        <w:numPr>
          <w:ilvl w:val="0"/>
          <w:numId w:val="2"/>
        </w:numPr>
        <w:spacing w:after="150"/>
      </w:pPr>
      <w:r>
        <w:rPr>
          <w:b/>
          <w:bCs/>
        </w:rPr>
        <w:t xml:space="preserve">Add an explicit Limitations section </w:t>
      </w:r>
      <w:r>
        <w:t xml:space="preserve">(currently absent) — tier-1 reviewers increasingly expect this, and its absence itself is sometimes flagged.</w:t>
      </w:r>
    </w:p>
    <w:p>
      <w:pPr>
        <w:pStyle w:val="ListParagraph"/>
        <w:numPr>
          <w:ilvl w:val="0"/>
          <w:numId w:val="2"/>
        </w:numPr>
        <w:spacing w:after="150"/>
      </w:pPr>
      <w:r>
        <w:rPr>
          <w:b/>
          <w:bCs/>
        </w:rPr>
        <w:t xml:space="preserve">Proofread for ligature/typography errors </w:t>
      </w:r>
      <w:r>
        <w:t xml:space="preserve">and consider a code/model release statement for reproducibility.</w:t>
      </w:r>
    </w:p>
    <w:p>
      <w:pPr>
        <w:spacing w:after="100" w:before="300"/>
      </w:pPr>
      <w:r>
        <w:t xml:space="preserve">If you address items 1, 2, 3, and 5, this becomes a genuinely competitive tier-1 submission — the core idea and architecture are sound, it's really the validation depth that needs to catch up to the ambition of the claims.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2026-09-16T12:22:41.493Z</dcterms:created>
  <dcterms:modified xsi:type="dcterms:W3CDTF">2026-09-16T12:22:41.500Z</dcterms:modified>
</cp:coreProperties>
</file>

<file path=docProps/custom.xml><?xml version="1.0" encoding="utf-8"?>
<Properties xmlns="http://schemas.openxmlformats.org/officeDocument/2006/custom-properties" xmlns:vt="http://schemas.openxmlformats.org/officeDocument/2006/docPropsVTypes"/>
</file>