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/>
      </w:pPr>
      <w:r>
        <w:rPr/>
        <w:t>Nice — this revision does real work, not just cosmetic patching. Here's a point-by-point recheck against the six substantive issues I raised, plus a few new things the changes themselves surface.</w:t>
      </w:r>
    </w:p>
    <w:p>
      <w:pPr>
        <w:pStyle w:val="Heading3"/>
        <w:bidi w:val="0"/>
        <w:ind w:hanging="0" w:start="0" w:end="0"/>
        <w:rPr/>
      </w:pPr>
      <w:r>
        <w:rPr/>
        <w:t>What's now resolved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Circular flip validation (was #2) — resolved.</w:t>
      </w:r>
      <w:r>
        <w:rPr/>
        <w:t xml:space="preserve"> You added an independent-classifier flip rate (91.5% vs. the guidance-classifier's 95.0%) and applied it consistently to Models 1–3 in Table 5. This is exactly the right fix and meaningfully strengthens the causal-flip claim — a gap of only ~3.5 points between guided and independent validation is a good result, not just a face-saving number.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CPSC2018 ST/T failure (was #6) — resolved.</w:t>
      </w:r>
      <w:r>
        <w:rPr/>
        <w:t xml:space="preserve"> Explicitly named and discussed in the new Limitations section, with a plausible mechanistic explanation (repolarization abnormalities' sensitivity to baseline wander/electrode placement). This is the right way to handle a weak result — flag it and explain rather than bury it.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Missing Limitations section (was #10) — resolved.</w:t>
      </w:r>
      <w:r>
        <w:rPr/>
        <w:t xml:space="preserve"> Section 7 is honest and specific: it names the macro-vs-patient-wise metric gap, the CPSC2018 ST/T weakness, and diffusion sampling cost, and correctly identifies a blinded cardiologist reader study as the critical next step before clinical deployment. This is a real credibility gain — tier-1 reviewers respond well to authors pre-empting their own critique.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Manuscript hygiene (was #7) — resolved.</w:t>
      </w:r>
      <w:r>
        <w:rPr/>
        <w:t xml:space="preserve"> Ligature errors are gone throughout.</w:t>
      </w:r>
    </w:p>
    <w:p>
      <w:pPr>
        <w:pStyle w:val="Heading3"/>
        <w:bidi w:val="0"/>
        <w:ind w:hanging="0" w:start="0" w:end="0"/>
        <w:rPr/>
      </w:pPr>
      <w:r>
        <w:rPr/>
        <w:t>What's partially resolved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Identity-preservation contradiction (was #1) — genuinely improved, but the framing needs tightening.</w:t>
      </w:r>
      <w:r>
        <w:rPr/>
        <w:t xml:space="preserve"> You now explain the NORM→NORM floor (0.8488) and reframe 0.8296 as "near-perfect... relative to the theoretical diffusion boundary (Δ ≈ 0.02)." This is a legitimate and much better argument than before — and I was wrong to assume Fig. 7 was a single case; Table 3 shows it's the correct 20-patient cohort average, so the baseline is properly estimated. Two things still need attention: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"Near-perfect identity preservation" is doing some rhetorical work. A 0.02 gap in cosine similarity terms sitting on top of a ~0.15 baseline "loss" is a defensible result, but it also means the edits are quite close to the diffusion noise floor. That actually raises a question you don't yet address: if the edit is nearly as small as pure reconstruction noise, is the classifier flip being driven by a genuine, distributed morphological change, or a small classifier-relevant perturbation concentrated in a few diagnostic features? The independent-classifier validation (91.5%) partially answers this, but a direct check — e.g., show that the </w:t>
      </w:r>
      <w:r>
        <w:rPr>
          <w:rStyle w:val="Emphasis"/>
        </w:rPr>
        <w:t>localized</w:t>
      </w:r>
      <w:r>
        <w:rPr/>
        <w:t xml:space="preserve"> edit magnitude in the diagnostic leads (V1–V3 for MI, etc.) is meaningfully larger than the </w:t>
      </w:r>
      <w:r>
        <w:rPr>
          <w:rStyle w:val="Emphasis"/>
        </w:rPr>
        <w:t>global</w:t>
      </w:r>
      <w:r>
        <w:rPr/>
        <w:t xml:space="preserve"> edit magnitude, or than the NORM→NORM control's per-lead edit — would make the "minimal but mechanistically meaningful" story airtight rather than argued from one aggregate number.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Report a CI or at least SD-derived interval on the 0.8296 vs. 0.8488 comparison so a reader can judge whether Δ≈0.02 is distinguishable from noise, not just descriptively small.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Statistical rigor (was #3) — partially resolved, unevenly applied.</w:t>
      </w:r>
      <w:r>
        <w:rPr/>
        <w:t xml:space="preserve"> Good additions: 95% CI on ROC-AUC (Table 2) and on the overall flip rate, plus the appropriately cautious footnote on cross-paper comparisons in Table 5. Gaps that remain: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PR-AUC and F1 in Table 2 are still reported as mean ± SD without CIs — inconsistent with the ROC-AUC treatment in the same table.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Model 2 (CI 0.9236–0.9354) and Model 3 (CI 0.9270–0.9388) ROC-AUC intervals overlap substantially. Since these come from the </w:t>
      </w:r>
      <w:r>
        <w:rPr>
          <w:rStyle w:val="Emphasis"/>
        </w:rPr>
        <w:t>same</w:t>
      </w:r>
      <w:r>
        <w:rPr/>
        <w:t xml:space="preserve"> 10 folds, a paired test (e.g., a paired t-test or Wilcoxon on per-fold AUC differences) is both more appropriate and more powerful than comparing marginal CIs, and would let you actually defend "state-of-the-art" language for Model 3 over Model 2 rather than leaving it ambiguous.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Cosine similarity, ΔHR, and the CPSC2018 metrics still have no interval estimates.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Physiological plausibility (was #4) — resolved in substance, overclaimed in language.</w:t>
      </w:r>
      <w:r>
        <w:rPr/>
        <w:t xml:space="preserve"> The Einthoven residual (3.4×10⁻⁴ mV) is exactly the right quantitative check and a good addition. But calling this "mathematical proof that the learned U-Net prior implicitly enforces Goldberger's laws" overstates what an empirical average residual can establish — it's strong empirical evidence, not proof, and you haven't reported a distribution/variance or checked Goldberger's augmented-lead equations directly (only Einthoven's law is measured; Goldberger's is asserted by association). I'd soften the language and, if feasible, add the analogous residual check for at least one Goldberger relation (e.g., aVR = −(I+II)/2).</w:t>
      </w:r>
    </w:p>
    <w:p>
      <w:pPr>
        <w:pStyle w:val="Heading3"/>
        <w:bidi w:val="0"/>
        <w:ind w:hanging="0" w:start="0" w:end="0"/>
        <w:rPr/>
      </w:pPr>
      <w:r>
        <w:rPr/>
        <w:t>What's still open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Clinical validation at scale (was #5) — acknowledged, not fixed, but acknowledged well.</w:t>
      </w:r>
      <w:r>
        <w:rPr/>
        <w:t xml:space="preserve"> This is still the single biggest gap for a true tier-1 clinical venue. You've now explicitly flagged it as future work rather than glossing over it, which is the right move short of doing the study — but the core "actionable for clinicians" claim in the Abstract and Introduction is still resting on four single-patient qualitative vignettes (Section 5.1–5.3) rather than cohort-level quantitative clinical-feature extraction (ST-elevation in mV, QRS duration in ms, Sokolow-Lyon voltage sum across all 100 patients) or any clinician judgment. For Nature Machine Intelligence / npj Digital Medicine tier, reviewers will very likely still ask for at minimum the automated cohort-level feature extraction before acceptance, even if the full reader study is deferred to follow-up work.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Independent classifier — underspecified.</w:t>
      </w:r>
      <w:r>
        <w:rPr/>
        <w:t xml:space="preserve"> You introduce "independent classifier validation" as a headline number (91.5%) but the Methods section doesn't yet say what that independent classifier actually is — different random seed of the same architecture, a different architecture entirely, or the CPSC2018-trained model repurposed? This matters a lot for how much the 91.5% figure should be trusted, and reviewers will ask for it explicitly in Methods, not just as a parenthetical in Results/Abstract.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Hyperparameter sensitivity — not addressed.</w:t>
      </w:r>
      <w:r>
        <w:rPr/>
        <w:t xml:space="preserve"> γ, T_start, and p_drop=0.2 are still presented as fixed choices with no ablation or sensitivity analysis.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Table 5 asymmetry.</w:t>
      </w:r>
      <w:r>
        <w:rPr/>
        <w:t xml:space="preserve"> You now report guided + independent flip rates for your own three models but only single self-reported flip rates for Korkmaz and Neifar (correctly caveated as not directly comparable) — worth a sentence noting explicitly that the independent-validation methodology is unique to your evaluation, so the comparison in that column isn't apples-to-apples even with the caveat already there.</w:t>
      </w:r>
    </w:p>
    <w:p>
      <w:pPr>
        <w:pStyle w:val="Heading3"/>
        <w:bidi w:val="0"/>
        <w:ind w:hanging="0" w:start="0" w:end="0"/>
        <w:rPr/>
      </w:pPr>
      <w:r>
        <w:rPr/>
        <w:t>Updated verdict</w:t>
      </w:r>
    </w:p>
    <w:p>
      <w:pPr>
        <w:pStyle w:val="BodyText"/>
        <w:bidi w:val="0"/>
        <w:ind w:hanging="0" w:start="0" w:end="0"/>
        <w:rPr/>
      </w:pPr>
      <w:r>
        <w:rPr/>
        <w:t xml:space="preserve">This is a substantially stronger paper than the previous draft. The circular-validation fix, the identity-preservation explanation, the physiological-constraint quantification, and — maybe most importantly — the honest Limitations section move this from "major revision, real risk of rejection at top venues" to </w:t>
      </w:r>
      <w:r>
        <w:rPr>
          <w:rStyle w:val="Strong"/>
        </w:rPr>
        <w:t>a credible submission at IEEE JBHI or Computers in Biology and Medicine, and a much more competitive one at Medical Image Analysis or similar.</w:t>
      </w:r>
      <w:r>
        <w:rPr/>
        <w:t xml:space="preserve"> For the very top clinical-AI venues (Nature Machine Intelligence, npj Digital Medicine), the remaining gap is specifically the jump from "macro-level plausibility + honest limitations" to "cohort-level quantitative clinical validation + independent-classifier methodology fully specified" — that's a smaller lift than what you started with, but it's still the thing standing between this and a top-tier accept.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3</Pages>
  <Words>1103</Words>
  <Characters>6338</Characters>
  <CharactersWithSpaces>7438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2026-09-16T18:04:12Z</dcterms:created>
  <dc:creator/>
  <dc:description/>
  <dc:language>en-US</dc:language>
  <cp:lastModifiedBy/>
  <dcterms:modified xsi:type="dcterms:W3CDTF">2026-09-16T18:06:04Z</dcterms:modified>
  <cp:revision>1</cp:revision>
  <dc:subject/>
  <dc:title/>
</cp:coreProperties>
</file>