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A1A2E"/>
          <w:sz w:val="48"/>
        </w:rPr>
        <w:t>OpenClaw HR 智能助手</w:t>
        <w:br/>
        <w:t>系统设计说明书</w:t>
      </w:r>
    </w:p>
    <w:p>
      <w:pPr>
        <w:jc w:val="center"/>
      </w:pPr>
      <w:r>
        <w:rPr>
          <w:i/>
          <w:color w:val="6B6B8D"/>
          <w:sz w:val="22"/>
        </w:rPr>
        <w:t>专业整理版 · 基于原始方案内容重构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5</w:t>
            </w:r>
          </w:p>
        </w:tc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6 月</w:t>
            </w:r>
          </w:p>
        </w:tc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 层</w:t>
            </w:r>
          </w:p>
        </w:tc>
      </w:tr>
      <w:tr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5F0EA"/>
          </w:tcPr>
          <w:p>
            <w:pPr>
              <w:jc w:val="center"/>
            </w:pPr>
            <w:r>
              <w:rPr>
                <w:color w:val="3A3A5E"/>
                <w:sz w:val="19"/>
              </w:rPr>
              <w:t>核心 Agent 模块</w:t>
            </w:r>
          </w:p>
        </w:tc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5F0EA"/>
          </w:tcPr>
          <w:p>
            <w:pPr>
              <w:jc w:val="center"/>
            </w:pPr>
            <w:r>
              <w:rPr>
                <w:color w:val="3A3A5E"/>
                <w:sz w:val="19"/>
              </w:rPr>
              <w:t>建议落地周期</w:t>
            </w:r>
          </w:p>
        </w:tc>
        <w:tc>
          <w:tcPr>
            <w:tcW w:type="dxa" w:w="2592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5F0EA"/>
          </w:tcPr>
          <w:p>
            <w:pPr>
              <w:jc w:val="center"/>
            </w:pPr>
            <w:r>
              <w:rPr>
                <w:color w:val="3A3A5E"/>
                <w:sz w:val="19"/>
              </w:rPr>
              <w:t>安全隔离架构</w:t>
            </w:r>
          </w:p>
        </w:tc>
      </w:tr>
    </w:tbl>
    <w:p>
      <w:r>
        <w:t>本方案目标是减少 HR 在招聘、入离职、政策解答和数据分析中的重复性事务工作，借助多 Agent 协作与标准化工具层，让 HR 聚焦更高价值的人才决策、组织协同与员工服务。</w:t>
      </w:r>
    </w:p>
    <w:p>
      <w:pPr>
        <w:pStyle w:val="Heading1"/>
        <w:spacing w:before="200" w:after="120"/>
      </w:pPr>
      <w:r>
        <w:t>1. 方案概览</w:t>
      </w:r>
    </w:p>
    <w:p>
      <w:r>
        <w:t>整体架构采用三层解耦：前端交互层负责多端入口；OpenClaw 核心层负责路由、编排、会话记忆与权限控制；数据与集成层负责连接企业 HRIS、招聘平台、知识库、日历和数据仓库。这样可以降低耦合度，便于独立演进、按域扩容和后续替换底层组件。</w:t>
      </w:r>
    </w:p>
    <w:p>
      <w:pPr>
        <w:pStyle w:val="Heading1"/>
        <w:spacing w:before="200" w:after="120"/>
      </w:pPr>
      <w:r>
        <w:t>2. 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3888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核心组件</w:t>
            </w:r>
          </w:p>
        </w:tc>
        <w:tc>
          <w:tcPr>
            <w:tcW w:type="dxa" w:w="3888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前端交互层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Web Portal、企业微信、钉钉、飞书、Slack Bot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承接用户输入、返回结构化结果、适配组织协同平台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OpenClaw 核心层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路由 Agent、多 Agent 编排、MCP 工具调用、会话记忆、权限网关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做意图识别、任务分发、调用工具、保存上下文并统一执行鉴权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数据与集成层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HRIS、招聘平台、企业日历、知识库（RAG）、数据仓库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提供业务数据、文档知识、统计能力和企业系统集成接口</w:t>
            </w:r>
          </w:p>
        </w:tc>
      </w:tr>
    </w:tbl>
    <w:p>
      <w:pPr>
        <w:pStyle w:val="Heading2"/>
        <w:spacing w:before="200" w:after="120"/>
      </w:pPr>
      <w:r>
        <w:t>架构说明</w:t>
      </w:r>
    </w:p>
    <w:p>
      <w:r>
        <w:t>原始版本最大的增强点是引入“权限网关”与“审批引擎”思想，使系统不再只是问答助手，而是具备企业级执行治理能力的 HR 智能平台。</w:t>
      </w:r>
    </w:p>
    <w:p>
      <w:pPr>
        <w:pStyle w:val="Heading1"/>
        <w:spacing w:before="200" w:after="120"/>
      </w:pPr>
      <w:r>
        <w:t>3. 核心 Agent 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EDE6E0"/>
          </w:tcPr>
          <w:p>
            <w:pPr>
              <w:jc w:val="center"/>
            </w:pPr>
            <w:r>
              <w:rPr>
                <w:b/>
              </w:rPr>
              <w:t>Agent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shd w:fill="EDE6E0"/>
          </w:tcPr>
          <w:p>
            <w:pPr>
              <w:jc w:val="center"/>
            </w:pPr>
            <w:r>
              <w:rPr>
                <w:b/>
              </w:rPr>
              <w:t>主要场景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shd w:fill="EDE6E0"/>
          </w:tcPr>
          <w:p>
            <w:pPr>
              <w:jc w:val="center"/>
            </w:pPr>
            <w:r>
              <w:rPr>
                <w:b/>
              </w:rPr>
              <w:t>关键能力</w:t>
            </w:r>
          </w:p>
        </w:tc>
        <w:tc>
          <w:tcPr>
            <w:tcW w:type="dxa" w:w="2015"/>
            <w:tcMar>
              <w:top w:w="80" w:type="dxa"/>
              <w:start w:w="100" w:type="dxa"/>
              <w:bottom w:w="80" w:type="dxa"/>
              <w:end w:w="100" w:type="dxa"/>
            </w:tcMar>
            <w:shd w:fill="EDE6E0"/>
          </w:tcPr>
          <w:p>
            <w:pPr>
              <w:jc w:val="center"/>
            </w:pPr>
            <w:r>
              <w:rPr>
                <w:b/>
              </w:rPr>
              <w:t>治理要求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招聘助手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JD 到 Offer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筛选简历、生成面试题、安排面试、汇总反馈、给出录用建议</w:t>
            </w:r>
          </w:p>
        </w:tc>
        <w:tc>
          <w:tcPr>
            <w:tcW w:type="dxa" w:w="20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发 Offer、薪资谈判必须人工审批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入离职流程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跨部门流程协同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Onboarding checklist、IT/财务/行政并行任务、离职权限撤销、试用期提醒</w:t>
            </w:r>
          </w:p>
        </w:tc>
        <w:tc>
          <w:tcPr>
            <w:tcW w:type="dxa" w:w="20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流程状态全程可审计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政策问答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员工自助服务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RAG 检索规章制度、福利、假期、社保等文档，回答附来源</w:t>
            </w:r>
          </w:p>
        </w:tc>
        <w:tc>
          <w:tcPr>
            <w:tcW w:type="dxa" w:w="20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未命中时必须转人工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数据分析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HR 数据洞察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流失率分析、招聘漏斗、人效对比、图表与解读</w:t>
            </w:r>
          </w:p>
        </w:tc>
        <w:tc>
          <w:tcPr>
            <w:tcW w:type="dxa" w:w="20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查询权限按角色分级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排班考勤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排班与合规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智能排班、考勤异常识别、加班预警、实时同步考勤数据</w:t>
            </w:r>
          </w:p>
        </w:tc>
        <w:tc>
          <w:tcPr>
            <w:tcW w:type="dxa" w:w="20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异常预警需保留人工复核</w:t>
            </w:r>
          </w:p>
        </w:tc>
      </w:tr>
    </w:tbl>
    <w:p>
      <w:pPr>
        <w:pStyle w:val="Heading1"/>
        <w:spacing w:before="200" w:after="120"/>
      </w:pPr>
      <w:r>
        <w:t>4. Agent 编排与回退机制</w:t>
      </w:r>
    </w:p>
    <w:p>
      <w:r>
        <w:t>用户请求统一进入路由 Agent。系统先识别意图并输出置信度，低于阈值时触发澄清。高置信度情况下转给专业 Agent 执行。执行中如涉及敏感操作、权限不足、工具失败或知识库未命中，则触发审批、人工介入、重试或降级通知。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07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304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节点</w:t>
            </w:r>
          </w:p>
        </w:tc>
        <w:tc>
          <w:tcPr>
            <w:tcW w:type="dxa" w:w="5760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用户输入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来自 Web Portal、企业微信、钉钉、飞书等渠道的自然语言请求。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路由 Agent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做意图识别与分类；当置信度低于 0.7 时，先做澄清追问。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专业 Agent 执行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调用工具完成任务；敏感操作进入人工确认或审批。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回退与升级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知识库未命中、工具失败、权限不足时触发重试、转人工或升级。</w:t>
            </w:r>
          </w:p>
        </w:tc>
      </w:tr>
    </w:tbl>
    <w:p>
      <w:pPr>
        <w:pStyle w:val="Heading1"/>
        <w:spacing w:before="200" w:after="120"/>
      </w:pPr>
      <w:r>
        <w:t>5. 工具层与权限模型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工具</w:t>
            </w:r>
          </w:p>
        </w:tc>
        <w:tc>
          <w:tcPr>
            <w:tcW w:type="dxa" w:w="5328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type="dxa" w:w="1584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权限要求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hris_api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员工档案、组织架构、岗位信息读取与更新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HR 管理员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recruit_platform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拉取简历、同步候选人状态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招聘专员+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calendar_mail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邮件、会议、日历、会议室预定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基础权限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knowledge_rag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政策文档与 FAQ 检索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全员可用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data_warehouse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聚合统计、SQL 分析、图表生成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分析师+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approval_engine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Offer、调薪、离职等审批流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按流程角色</w:t>
            </w:r>
          </w:p>
        </w:tc>
      </w:tr>
    </w:tbl>
    <w:p>
      <w:r>
        <w:t>建议在工具层之外增加统一的“权限矩阵”与“字段级脱敏规则”，把“谁能调用什么工具、看到哪些字段、执行哪些动作”制度化。</w:t>
      </w:r>
    </w:p>
    <w:p>
      <w:pPr>
        <w:pStyle w:val="Heading1"/>
        <w:spacing w:before="200" w:after="120"/>
      </w:pPr>
      <w:r>
        <w:t>6. Prompt 与安全设计</w:t>
      </w:r>
    </w:p>
    <w:p>
      <w:r>
        <w:t>Prompt 设计强调三个原则：角色边界隔离、人机协作节点、分级数据访问。安全设计强调四层防御：基础设施隔离、PII 脱敏、操作审计、双重确认。对于薪资、绩效、员工档案删除等高风险动作，AI 只能建议，不应直接自动执行。</w:t>
      </w:r>
    </w:p>
    <w:p>
      <w:pPr>
        <w:pStyle w:val="Heading1"/>
        <w:spacing w:before="200" w:after="120"/>
      </w:pPr>
      <w:r>
        <w:t>7. 落地路径建议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592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4176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1584"/>
            <w:shd w:fill="EDE6E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关键产出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第一阶段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1–2 个月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上线政策问答 RAG，验证准确率、体验与组织接受度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知识库、问答闭环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第二阶段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2–4 个月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接入招聘与入离职流程，形成审批驱动的人机协作闭环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简历筛选、面试安排、Onboarding 自动化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AF4EF"/>
          </w:tcPr>
          <w:p>
            <w:r>
              <w:t>第三阶段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4–6 个月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上线数据分析与预测性洞察，扩展到排班和考勤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流失风险预测、人效仪表盘、招聘漏斗看板</w:t>
            </w:r>
          </w:p>
        </w:tc>
      </w:tr>
    </w:tbl>
    <w:p>
      <w:pPr>
        <w:pStyle w:val="Heading1"/>
        <w:spacing w:before="200" w:after="120"/>
      </w:pPr>
      <w:r>
        <w:t>8. 推荐补充内容</w:t>
      </w:r>
    </w:p>
    <w:p>
      <w:pPr>
        <w:ind w:left="288"/>
      </w:pPr>
      <w:r>
        <w:t>• 补充权限矩阵：按员工、HR、管理者、分析师、系统管理员定义字段与动作权限。</w:t>
      </w:r>
    </w:p>
    <w:p>
      <w:pPr>
        <w:ind w:left="288"/>
      </w:pPr>
      <w:r>
        <w:t>• 补充失败处理策略：工具超时、重复调用、人工接管、幂等保障、消息补偿。</w:t>
      </w:r>
    </w:p>
    <w:p>
      <w:pPr>
        <w:ind w:left="288"/>
      </w:pPr>
      <w:r>
        <w:t>• 补充 RAG 评测框架：准确率、召回率、来源命中率、越权拦截率、转人工率。</w:t>
      </w:r>
    </w:p>
    <w:p>
      <w:pPr>
        <w:ind w:left="288"/>
      </w:pPr>
      <w:r>
        <w:t>• 补充实体模型与主数据治理：员工、岗位、候选人、审批单、组织单元、考勤记录。</w:t>
      </w:r>
    </w:p>
    <w:p>
      <w:pPr>
        <w:ind w:left="288"/>
      </w:pPr>
      <w:r>
        <w:t>• 补充集成边界：哪些系统只读、哪些可写、哪些必须通过审批引擎落地。</w:t>
      </w:r>
    </w:p>
    <w:p>
      <w:pPr>
        <w:pStyle w:val="Heading1"/>
        <w:spacing w:before="200" w:after="120"/>
      </w:pPr>
      <w:r>
        <w:t>9. 总结</w:t>
      </w:r>
    </w:p>
    <w:p>
      <w:r>
        <w:t>这份方案已经具备较强的企业级雏形：它不是单点问答机器人，而是在向“路由 + 工具 + 权限 + 审批 + 审计”的执行型智能平台演进。最适合的落地策略是先从低风险、高感知的政策问答切入，再逐步把招聘与流程自动化纳入统一治理框架。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C45D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A7A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