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tabs>
          <w:tab w:val="left" w:pos="0"/>
        </w:tabs>
        <w:jc w:val="left"/>
        <w:rPr>
          <w:rFonts w:ascii="黑体" w:hAnsi="黑体" w:eastAsia="黑体"/>
          <w:sz w:val="24"/>
          <w:szCs w:val="24"/>
        </w:rPr>
      </w:pPr>
      <w:r>
        <w:rPr>
          <w:rFonts w:hint="eastAsia" w:ascii="黑体" w:hAnsi="黑体" w:eastAsia="黑体"/>
          <w:sz w:val="24"/>
          <w:szCs w:val="24"/>
        </w:rPr>
        <w:t>本资产评估报告依据中国资产评估准则编制</w:t>
      </w:r>
    </w:p>
    <w:p>
      <w:pPr>
        <w:tabs>
          <w:tab w:val="left" w:pos="0"/>
        </w:tabs>
      </w:pPr>
    </w:p>
    <w:p>
      <w:pPr>
        <w:tabs>
          <w:tab w:val="left" w:pos="0"/>
        </w:tabs>
      </w:pPr>
    </w:p>
    <w:p>
      <w:pPr>
        <w:tabs>
          <w:tab w:val="left" w:pos="0"/>
        </w:tabs>
      </w:pPr>
    </w:p>
    <w:p>
      <w:pPr>
        <w:tabs>
          <w:tab w:val="left" w:pos="0"/>
        </w:tabs>
      </w:pPr>
    </w:p>
    <w:p>
      <w:pPr>
        <w:tabs>
          <w:tab w:val="left" w:pos="0"/>
        </w:tabs>
      </w:pPr>
    </w:p>
    <w:p>
      <w:pPr>
        <w:tabs>
          <w:tab w:val="left" w:pos="0"/>
        </w:tabs>
      </w:pPr>
    </w:p>
    <w:p>
      <w:pPr>
        <w:tabs>
          <w:tab w:val="left" w:pos="0"/>
        </w:tabs>
      </w:pPr>
    </w:p>
    <w:p>
      <w:pPr>
        <w:tabs>
          <w:tab w:val="left" w:pos="0"/>
        </w:tabs>
      </w:pPr>
    </w:p>
    <w:p>
      <w:pPr>
        <w:tabs>
          <w:tab w:val="left" w:pos="0"/>
        </w:tabs>
      </w:pPr>
    </w:p>
    <w:p>
      <w:pPr>
        <w:pStyle w:val="15"/>
        <w:tabs>
          <w:tab w:val="left" w:pos="0"/>
        </w:tabs>
        <w:ind w:firstLine="30" w:firstLineChars="7"/>
        <w:jc w:val="center"/>
        <w:rPr>
          <w:rFonts w:ascii="黑体" w:hAnsi="宋体" w:eastAsia="黑体"/>
          <w:sz w:val="44"/>
          <w:szCs w:val="44"/>
        </w:rPr>
      </w:pPr>
      <w:r>
        <w:rPr>
          <w:rFonts w:hint="eastAsia" w:ascii="黑体" w:hAnsi="宋体" w:eastAsia="黑体"/>
          <w:sz w:val="44"/>
          <w:szCs w:val="44"/>
        </w:rPr>
        <w:t>杭州市滨江区人民法院拟司法拍卖涉及的</w:t>
      </w:r>
    </w:p>
    <w:p>
      <w:pPr>
        <w:pStyle w:val="15"/>
        <w:tabs>
          <w:tab w:val="left" w:pos="0"/>
        </w:tabs>
        <w:ind w:firstLine="30" w:firstLineChars="7"/>
        <w:jc w:val="center"/>
        <w:rPr>
          <w:rFonts w:ascii="黑体" w:hAnsi="宋体" w:eastAsia="黑体"/>
          <w:sz w:val="44"/>
          <w:szCs w:val="44"/>
        </w:rPr>
      </w:pPr>
      <w:r>
        <w:rPr>
          <w:rFonts w:hint="eastAsia" w:ascii="黑体" w:hAnsi="宋体" w:eastAsia="黑体"/>
          <w:sz w:val="44"/>
          <w:szCs w:val="44"/>
        </w:rPr>
        <w:t>杭州市余杭区仁和街道清合嘉园西区房地产及室内装修材料资产评估报告</w:t>
      </w:r>
    </w:p>
    <w:p>
      <w:pPr>
        <w:tabs>
          <w:tab w:val="left" w:pos="0"/>
        </w:tabs>
        <w:spacing w:before="156" w:beforeLines="50" w:after="156" w:afterLines="50" w:line="500" w:lineRule="exact"/>
        <w:jc w:val="center"/>
        <w:rPr>
          <w:rFonts w:ascii="黑体" w:eastAsia="黑体"/>
          <w:szCs w:val="21"/>
        </w:rPr>
      </w:pPr>
      <w:r>
        <w:rPr>
          <w:rFonts w:hint="eastAsia" w:ascii="黑体" w:eastAsia="黑体"/>
          <w:szCs w:val="21"/>
        </w:rPr>
        <w:t>天源评报字[2018]第0</w:t>
      </w:r>
      <w:r>
        <w:rPr>
          <w:rFonts w:hint="eastAsia" w:ascii="黑体" w:eastAsia="黑体"/>
          <w:szCs w:val="21"/>
          <w:lang w:val="en-US" w:eastAsia="zh-CN"/>
        </w:rPr>
        <w:t>413</w:t>
      </w:r>
      <w:r>
        <w:rPr>
          <w:rFonts w:hint="eastAsia" w:ascii="黑体" w:eastAsia="黑体"/>
          <w:szCs w:val="21"/>
        </w:rPr>
        <w:t>号</w:t>
      </w:r>
    </w:p>
    <w:p>
      <w:pPr>
        <w:tabs>
          <w:tab w:val="left" w:pos="0"/>
        </w:tabs>
        <w:spacing w:before="156" w:beforeLines="50" w:after="156" w:afterLines="50" w:line="500" w:lineRule="exact"/>
        <w:jc w:val="center"/>
        <w:rPr>
          <w:rFonts w:ascii="黑体" w:eastAsia="黑体"/>
          <w:sz w:val="24"/>
        </w:rPr>
      </w:pPr>
      <w:r>
        <w:rPr>
          <w:rFonts w:hint="eastAsia" w:ascii="黑体" w:eastAsia="黑体"/>
          <w:sz w:val="24"/>
        </w:rPr>
        <w:t>共一册 第一册</w:t>
      </w:r>
    </w:p>
    <w:p>
      <w:pPr>
        <w:tabs>
          <w:tab w:val="left" w:pos="0"/>
        </w:tabs>
        <w:spacing w:line="460" w:lineRule="exact"/>
      </w:pPr>
    </w:p>
    <w:p>
      <w:pPr>
        <w:tabs>
          <w:tab w:val="left" w:pos="0"/>
        </w:tabs>
        <w:spacing w:line="460" w:lineRule="exact"/>
      </w:pPr>
    </w:p>
    <w:p>
      <w:pPr>
        <w:tabs>
          <w:tab w:val="left" w:pos="0"/>
        </w:tabs>
        <w:spacing w:line="460" w:lineRule="exact"/>
      </w:pPr>
    </w:p>
    <w:p>
      <w:pPr>
        <w:tabs>
          <w:tab w:val="left" w:pos="0"/>
        </w:tabs>
        <w:spacing w:line="460" w:lineRule="exact"/>
      </w:pPr>
    </w:p>
    <w:p>
      <w:pPr>
        <w:tabs>
          <w:tab w:val="left" w:pos="0"/>
        </w:tabs>
        <w:spacing w:line="460" w:lineRule="exact"/>
      </w:pPr>
    </w:p>
    <w:p>
      <w:pPr>
        <w:tabs>
          <w:tab w:val="left" w:pos="0"/>
        </w:tabs>
        <w:spacing w:line="460" w:lineRule="exact"/>
        <w:jc w:val="center"/>
        <w:rPr>
          <w:rFonts w:ascii="宋体" w:hAnsi="宋体"/>
          <w:b/>
          <w:sz w:val="32"/>
        </w:rPr>
      </w:pPr>
      <w:r>
        <w:rPr>
          <w:rFonts w:ascii="宋体" w:hAnsi="宋体"/>
          <w:b/>
          <w:sz w:val="32"/>
        </w:rPr>
        <w:drawing>
          <wp:anchor distT="0" distB="0" distL="114300" distR="114300" simplePos="0" relativeHeight="251662336" behindDoc="0" locked="0" layoutInCell="1" allowOverlap="1">
            <wp:simplePos x="0" y="0"/>
            <wp:positionH relativeFrom="column">
              <wp:posOffset>1592580</wp:posOffset>
            </wp:positionH>
            <wp:positionV relativeFrom="paragraph">
              <wp:posOffset>-688975</wp:posOffset>
            </wp:positionV>
            <wp:extent cx="2232025" cy="925195"/>
            <wp:effectExtent l="0" t="0" r="0" b="8255"/>
            <wp:wrapNone/>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232000" cy="925200"/>
                    </a:xfrm>
                    <a:prstGeom prst="rect">
                      <a:avLst/>
                    </a:prstGeom>
                    <a:noFill/>
                  </pic:spPr>
                </pic:pic>
              </a:graphicData>
            </a:graphic>
          </wp:anchor>
        </w:drawing>
      </w:r>
    </w:p>
    <w:p>
      <w:pPr>
        <w:tabs>
          <w:tab w:val="left" w:pos="0"/>
        </w:tabs>
        <w:spacing w:line="460" w:lineRule="exact"/>
        <w:jc w:val="center"/>
        <w:rPr>
          <w:rFonts w:ascii="宋体" w:hAnsi="宋体"/>
          <w:b/>
          <w:sz w:val="32"/>
        </w:rPr>
      </w:pPr>
    </w:p>
    <w:p>
      <w:pPr>
        <w:tabs>
          <w:tab w:val="left" w:pos="0"/>
        </w:tabs>
        <w:spacing w:line="460" w:lineRule="exact"/>
        <w:jc w:val="center"/>
        <w:rPr>
          <w:rFonts w:ascii="宋体" w:hAnsi="宋体"/>
          <w:b/>
          <w:sz w:val="32"/>
        </w:rPr>
      </w:pPr>
    </w:p>
    <w:p>
      <w:pPr>
        <w:tabs>
          <w:tab w:val="left" w:pos="0"/>
        </w:tabs>
        <w:spacing w:line="460" w:lineRule="exact"/>
        <w:jc w:val="center"/>
        <w:rPr>
          <w:rFonts w:ascii="宋体" w:hAnsi="宋体"/>
          <w:b/>
          <w:sz w:val="32"/>
        </w:rPr>
      </w:pPr>
    </w:p>
    <w:p>
      <w:pPr>
        <w:tabs>
          <w:tab w:val="left" w:pos="0"/>
        </w:tabs>
        <w:spacing w:line="460" w:lineRule="exact"/>
        <w:jc w:val="center"/>
        <w:rPr>
          <w:rFonts w:ascii="宋体" w:hAnsi="宋体"/>
          <w:b/>
          <w:sz w:val="32"/>
        </w:rPr>
      </w:pPr>
    </w:p>
    <w:p>
      <w:pPr>
        <w:tabs>
          <w:tab w:val="left" w:pos="0"/>
        </w:tabs>
        <w:spacing w:line="288" w:lineRule="atLeast"/>
        <w:jc w:val="center"/>
        <w:rPr>
          <w:rFonts w:ascii="宋体" w:hAnsi="宋体"/>
          <w:b/>
          <w:sz w:val="32"/>
        </w:rPr>
      </w:pPr>
      <w:r>
        <w:rPr>
          <w:rFonts w:hint="eastAsia" w:ascii="宋体" w:hAnsi="宋体"/>
          <w:b/>
          <w:sz w:val="32"/>
        </w:rPr>
        <w:t>天源资产评估有限公司</w:t>
      </w:r>
    </w:p>
    <w:p>
      <w:pPr>
        <w:tabs>
          <w:tab w:val="left" w:pos="0"/>
        </w:tabs>
        <w:spacing w:line="288" w:lineRule="atLeast"/>
        <w:jc w:val="center"/>
        <w:rPr>
          <w:rFonts w:ascii="宋体" w:hAnsi="宋体"/>
          <w:b/>
          <w:sz w:val="32"/>
        </w:rPr>
      </w:pPr>
    </w:p>
    <w:p>
      <w:pPr>
        <w:tabs>
          <w:tab w:val="left" w:pos="0"/>
        </w:tabs>
        <w:spacing w:line="288" w:lineRule="atLeast"/>
        <w:jc w:val="center"/>
        <w:rPr>
          <w:rFonts w:ascii="宋体" w:hAnsi="宋体"/>
          <w:b/>
          <w:sz w:val="32"/>
        </w:rPr>
        <w:sectPr>
          <w:headerReference r:id="rId4" w:type="first"/>
          <w:footerReference r:id="rId7" w:type="first"/>
          <w:headerReference r:id="rId3" w:type="default"/>
          <w:footerReference r:id="rId5" w:type="default"/>
          <w:footerReference r:id="rId6" w:type="even"/>
          <w:pgSz w:w="11906" w:h="16838"/>
          <w:pgMar w:top="1440" w:right="1588" w:bottom="1440" w:left="1797" w:header="851" w:footer="992" w:gutter="0"/>
          <w:cols w:space="425" w:num="1"/>
          <w:docGrid w:type="lines" w:linePitch="312" w:charSpace="0"/>
        </w:sectPr>
      </w:pPr>
      <w:r>
        <w:rPr>
          <w:rFonts w:hint="eastAsia" w:ascii="宋体" w:hAnsi="宋体"/>
          <w:b/>
          <w:sz w:val="32"/>
        </w:rPr>
        <w:t>二〇一八年十一月八日</w:t>
      </w:r>
    </w:p>
    <w:p>
      <w:pPr>
        <w:pStyle w:val="15"/>
        <w:jc w:val="center"/>
        <w:rPr>
          <w:rFonts w:ascii="黑体" w:eastAsia="黑体"/>
          <w:sz w:val="36"/>
          <w:szCs w:val="36"/>
        </w:rPr>
      </w:pPr>
      <w:bookmarkStart w:id="0" w:name="_Toc222218680"/>
      <w:r>
        <w:rPr>
          <w:rFonts w:hint="eastAsia" w:ascii="黑体" w:eastAsia="黑体"/>
          <w:sz w:val="36"/>
          <w:szCs w:val="36"/>
        </w:rPr>
        <w:t>目   录</w:t>
      </w:r>
      <w:bookmarkEnd w:id="0"/>
    </w:p>
    <w:p>
      <w:pPr>
        <w:pStyle w:val="15"/>
        <w:jc w:val="center"/>
        <w:rPr>
          <w:rFonts w:ascii="黑体" w:eastAsia="黑体"/>
          <w:sz w:val="36"/>
          <w:szCs w:val="36"/>
        </w:rPr>
      </w:pPr>
    </w:p>
    <w:p>
      <w:pPr>
        <w:pStyle w:val="19"/>
        <w:tabs>
          <w:tab w:val="right" w:leader="dot" w:pos="8521"/>
          <w:tab w:val="clear" w:pos="8511"/>
        </w:tabs>
      </w:pPr>
      <w:r>
        <w:rPr>
          <w:rFonts w:ascii="宋体" w:hAnsi="宋体"/>
        </w:rPr>
        <w:fldChar w:fldCharType="begin"/>
      </w:r>
      <w:r>
        <w:rPr>
          <w:rFonts w:ascii="宋体" w:hAnsi="宋体"/>
        </w:rPr>
        <w:instrText xml:space="preserve"> TOC \o "1-3" \h \z \u </w:instrText>
      </w:r>
      <w:r>
        <w:rPr>
          <w:rFonts w:ascii="宋体" w:hAnsi="宋体"/>
        </w:rPr>
        <w:fldChar w:fldCharType="separate"/>
      </w:r>
      <w:r>
        <w:rPr>
          <w:rFonts w:ascii="宋体" w:hAnsi="宋体" w:eastAsia="黑体"/>
        </w:rPr>
        <w:fldChar w:fldCharType="begin"/>
      </w:r>
      <w:r>
        <w:rPr>
          <w:rFonts w:ascii="宋体" w:hAnsi="宋体" w:eastAsia="黑体"/>
        </w:rPr>
        <w:instrText xml:space="preserve"> HYPERLINK \l _Toc17075 </w:instrText>
      </w:r>
      <w:r>
        <w:rPr>
          <w:rFonts w:ascii="宋体" w:hAnsi="宋体" w:eastAsia="黑体"/>
        </w:rPr>
        <w:fldChar w:fldCharType="separate"/>
      </w:r>
      <w:r>
        <w:rPr>
          <w:rFonts w:hint="eastAsia" w:ascii="黑体" w:hAnsi="宋体" w:eastAsia="黑体"/>
        </w:rPr>
        <w:t>声  明</w:t>
      </w:r>
      <w:r>
        <w:tab/>
      </w:r>
      <w:r>
        <w:fldChar w:fldCharType="begin"/>
      </w:r>
      <w:r>
        <w:instrText xml:space="preserve"> PAGEREF _Toc17075 </w:instrText>
      </w:r>
      <w:r>
        <w:fldChar w:fldCharType="separate"/>
      </w:r>
      <w:r>
        <w:t>1</w:t>
      </w:r>
      <w:r>
        <w:fldChar w:fldCharType="end"/>
      </w:r>
      <w:r>
        <w:rPr>
          <w:rFonts w:ascii="宋体" w:hAnsi="宋体" w:eastAsia="黑体"/>
        </w:rPr>
        <w:fldChar w:fldCharType="end"/>
      </w:r>
    </w:p>
    <w:p>
      <w:pPr>
        <w:pStyle w:val="19"/>
        <w:tabs>
          <w:tab w:val="right" w:leader="dot" w:pos="8521"/>
          <w:tab w:val="clear" w:pos="8511"/>
        </w:tabs>
      </w:pPr>
      <w:r>
        <w:rPr>
          <w:rFonts w:ascii="宋体" w:hAnsi="宋体" w:eastAsia="黑体"/>
        </w:rPr>
        <w:fldChar w:fldCharType="begin"/>
      </w:r>
      <w:r>
        <w:rPr>
          <w:rFonts w:ascii="宋体" w:hAnsi="宋体" w:eastAsia="黑体"/>
        </w:rPr>
        <w:instrText xml:space="preserve"> HYPERLINK \l _Toc19520 </w:instrText>
      </w:r>
      <w:r>
        <w:rPr>
          <w:rFonts w:ascii="宋体" w:hAnsi="宋体" w:eastAsia="黑体"/>
        </w:rPr>
        <w:fldChar w:fldCharType="separate"/>
      </w:r>
      <w:r>
        <w:rPr>
          <w:rFonts w:hint="eastAsia" w:ascii="黑体" w:hAnsi="宋体" w:eastAsia="黑体"/>
        </w:rPr>
        <w:t>摘  要</w:t>
      </w:r>
      <w:r>
        <w:tab/>
      </w:r>
      <w:r>
        <w:fldChar w:fldCharType="begin"/>
      </w:r>
      <w:r>
        <w:instrText xml:space="preserve"> PAGEREF _Toc19520 </w:instrText>
      </w:r>
      <w:r>
        <w:fldChar w:fldCharType="separate"/>
      </w:r>
      <w:r>
        <w:t>2</w:t>
      </w:r>
      <w:r>
        <w:fldChar w:fldCharType="end"/>
      </w:r>
      <w:r>
        <w:rPr>
          <w:rFonts w:ascii="宋体" w:hAnsi="宋体" w:eastAsia="黑体"/>
        </w:rPr>
        <w:fldChar w:fldCharType="end"/>
      </w:r>
    </w:p>
    <w:p>
      <w:pPr>
        <w:pStyle w:val="19"/>
        <w:tabs>
          <w:tab w:val="right" w:leader="dot" w:pos="8521"/>
          <w:tab w:val="clear" w:pos="8511"/>
        </w:tabs>
      </w:pPr>
      <w:r>
        <w:rPr>
          <w:rFonts w:ascii="宋体" w:hAnsi="宋体" w:eastAsia="黑体"/>
        </w:rPr>
        <w:fldChar w:fldCharType="begin"/>
      </w:r>
      <w:r>
        <w:rPr>
          <w:rFonts w:ascii="宋体" w:hAnsi="宋体" w:eastAsia="黑体"/>
        </w:rPr>
        <w:instrText xml:space="preserve"> HYPERLINK \l _Toc25158 </w:instrText>
      </w:r>
      <w:r>
        <w:rPr>
          <w:rFonts w:ascii="宋体" w:hAnsi="宋体" w:eastAsia="黑体"/>
        </w:rPr>
        <w:fldChar w:fldCharType="separate"/>
      </w:r>
      <w:r>
        <w:rPr>
          <w:rFonts w:hint="eastAsia" w:ascii="黑体" w:hAnsi="宋体" w:eastAsia="黑体"/>
        </w:rPr>
        <w:t>评 估 报 告</w:t>
      </w:r>
      <w:r>
        <w:tab/>
      </w:r>
      <w:r>
        <w:fldChar w:fldCharType="begin"/>
      </w:r>
      <w:r>
        <w:instrText xml:space="preserve"> PAGEREF _Toc25158 </w:instrText>
      </w:r>
      <w:r>
        <w:fldChar w:fldCharType="separate"/>
      </w:r>
      <w:r>
        <w:t>4</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_Toc7710 </w:instrText>
      </w:r>
      <w:r>
        <w:rPr>
          <w:rFonts w:ascii="宋体" w:hAnsi="宋体" w:eastAsia="黑体"/>
        </w:rPr>
        <w:fldChar w:fldCharType="separate"/>
      </w:r>
      <w:r>
        <w:rPr>
          <w:rFonts w:hint="eastAsia" w:ascii="黑体" w:hAnsi="宋体"/>
          <w:szCs w:val="24"/>
        </w:rPr>
        <w:t>一、委托人、申请执行人、被执行人和其他评估报告使用人</w:t>
      </w:r>
      <w:r>
        <w:tab/>
      </w:r>
      <w:r>
        <w:fldChar w:fldCharType="begin"/>
      </w:r>
      <w:r>
        <w:instrText xml:space="preserve"> PAGEREF _Toc7710 </w:instrText>
      </w:r>
      <w:r>
        <w:fldChar w:fldCharType="separate"/>
      </w:r>
      <w:r>
        <w:t>4</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_Toc28425 </w:instrText>
      </w:r>
      <w:r>
        <w:rPr>
          <w:rFonts w:ascii="宋体" w:hAnsi="宋体" w:eastAsia="黑体"/>
        </w:rPr>
        <w:fldChar w:fldCharType="separate"/>
      </w:r>
      <w:r>
        <w:rPr>
          <w:rFonts w:hint="eastAsia" w:ascii="黑体" w:hAnsi="宋体"/>
          <w:szCs w:val="24"/>
        </w:rPr>
        <w:t>二、评估目的</w:t>
      </w:r>
      <w:r>
        <w:tab/>
      </w:r>
      <w:r>
        <w:fldChar w:fldCharType="begin"/>
      </w:r>
      <w:r>
        <w:instrText xml:space="preserve"> PAGEREF _Toc28425 </w:instrText>
      </w:r>
      <w:r>
        <w:fldChar w:fldCharType="separate"/>
      </w:r>
      <w:r>
        <w:t>4</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_Toc13409 </w:instrText>
      </w:r>
      <w:r>
        <w:rPr>
          <w:rFonts w:ascii="宋体" w:hAnsi="宋体" w:eastAsia="黑体"/>
        </w:rPr>
        <w:fldChar w:fldCharType="separate"/>
      </w:r>
      <w:r>
        <w:rPr>
          <w:rFonts w:hint="eastAsia" w:ascii="黑体" w:hAnsi="宋体"/>
          <w:szCs w:val="24"/>
        </w:rPr>
        <w:t>三、评估对象及评估范围</w:t>
      </w:r>
      <w:r>
        <w:tab/>
      </w:r>
      <w:r>
        <w:fldChar w:fldCharType="begin"/>
      </w:r>
      <w:r>
        <w:instrText xml:space="preserve"> PAGEREF _Toc13409 </w:instrText>
      </w:r>
      <w:r>
        <w:fldChar w:fldCharType="separate"/>
      </w:r>
      <w:r>
        <w:t>4</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_Toc11202 </w:instrText>
      </w:r>
      <w:r>
        <w:rPr>
          <w:rFonts w:ascii="宋体" w:hAnsi="宋体" w:eastAsia="黑体"/>
        </w:rPr>
        <w:fldChar w:fldCharType="separate"/>
      </w:r>
      <w:r>
        <w:rPr>
          <w:rFonts w:hint="eastAsia" w:ascii="黑体" w:hAnsi="宋体"/>
          <w:szCs w:val="24"/>
        </w:rPr>
        <w:t>四、价值类型及其定义</w:t>
      </w:r>
      <w:r>
        <w:tab/>
      </w:r>
      <w:r>
        <w:fldChar w:fldCharType="begin"/>
      </w:r>
      <w:r>
        <w:instrText xml:space="preserve"> PAGEREF _Toc11202 </w:instrText>
      </w:r>
      <w:r>
        <w:fldChar w:fldCharType="separate"/>
      </w:r>
      <w:r>
        <w:t>6</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_Toc24663 </w:instrText>
      </w:r>
      <w:r>
        <w:rPr>
          <w:rFonts w:ascii="宋体" w:hAnsi="宋体" w:eastAsia="黑体"/>
        </w:rPr>
        <w:fldChar w:fldCharType="separate"/>
      </w:r>
      <w:r>
        <w:rPr>
          <w:rFonts w:hint="eastAsia" w:ascii="黑体" w:hAnsi="宋体"/>
          <w:szCs w:val="24"/>
        </w:rPr>
        <w:t>五、评估基准日</w:t>
      </w:r>
      <w:r>
        <w:tab/>
      </w:r>
      <w:r>
        <w:fldChar w:fldCharType="begin"/>
      </w:r>
      <w:r>
        <w:instrText xml:space="preserve"> PAGEREF _Toc24663 </w:instrText>
      </w:r>
      <w:r>
        <w:fldChar w:fldCharType="separate"/>
      </w:r>
      <w:r>
        <w:t>6</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_Toc24475 </w:instrText>
      </w:r>
      <w:r>
        <w:rPr>
          <w:rFonts w:ascii="宋体" w:hAnsi="宋体" w:eastAsia="黑体"/>
        </w:rPr>
        <w:fldChar w:fldCharType="separate"/>
      </w:r>
      <w:r>
        <w:rPr>
          <w:rFonts w:hint="eastAsia" w:ascii="黑体" w:hAnsi="宋体"/>
          <w:szCs w:val="24"/>
        </w:rPr>
        <w:t>六、评估依据</w:t>
      </w:r>
      <w:r>
        <w:tab/>
      </w:r>
      <w:r>
        <w:fldChar w:fldCharType="begin"/>
      </w:r>
      <w:r>
        <w:instrText xml:space="preserve"> PAGEREF _Toc24475 </w:instrText>
      </w:r>
      <w:r>
        <w:fldChar w:fldCharType="separate"/>
      </w:r>
      <w:r>
        <w:t>6</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_Toc822 </w:instrText>
      </w:r>
      <w:r>
        <w:rPr>
          <w:rFonts w:ascii="宋体" w:hAnsi="宋体" w:eastAsia="黑体"/>
        </w:rPr>
        <w:fldChar w:fldCharType="separate"/>
      </w:r>
      <w:r>
        <w:rPr>
          <w:rFonts w:hint="eastAsia" w:ascii="黑体" w:hAnsi="宋体" w:cs="Arial"/>
          <w:szCs w:val="24"/>
        </w:rPr>
        <w:t>七、评估方法</w:t>
      </w:r>
      <w:r>
        <w:tab/>
      </w:r>
      <w:r>
        <w:fldChar w:fldCharType="begin"/>
      </w:r>
      <w:r>
        <w:instrText xml:space="preserve"> PAGEREF _Toc822 </w:instrText>
      </w:r>
      <w:r>
        <w:fldChar w:fldCharType="separate"/>
      </w:r>
      <w:r>
        <w:t>8</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_Toc2785 </w:instrText>
      </w:r>
      <w:r>
        <w:rPr>
          <w:rFonts w:ascii="宋体" w:hAnsi="宋体" w:eastAsia="黑体"/>
        </w:rPr>
        <w:fldChar w:fldCharType="separate"/>
      </w:r>
      <w:r>
        <w:rPr>
          <w:rFonts w:hint="eastAsia" w:ascii="黑体" w:hAnsi="宋体"/>
          <w:szCs w:val="24"/>
        </w:rPr>
        <w:t>八、评估程序实施过程及情况</w:t>
      </w:r>
      <w:r>
        <w:tab/>
      </w:r>
      <w:r>
        <w:fldChar w:fldCharType="begin"/>
      </w:r>
      <w:r>
        <w:instrText xml:space="preserve"> PAGEREF _Toc2785 </w:instrText>
      </w:r>
      <w:r>
        <w:fldChar w:fldCharType="separate"/>
      </w:r>
      <w:r>
        <w:t>10</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_Toc22613 </w:instrText>
      </w:r>
      <w:r>
        <w:rPr>
          <w:rFonts w:ascii="宋体" w:hAnsi="宋体" w:eastAsia="黑体"/>
        </w:rPr>
        <w:fldChar w:fldCharType="separate"/>
      </w:r>
      <w:r>
        <w:rPr>
          <w:rFonts w:hint="eastAsia" w:ascii="黑体" w:hAnsi="宋体"/>
          <w:szCs w:val="24"/>
        </w:rPr>
        <w:t>九、评估假设</w:t>
      </w:r>
      <w:r>
        <w:tab/>
      </w:r>
      <w:r>
        <w:fldChar w:fldCharType="begin"/>
      </w:r>
      <w:r>
        <w:instrText xml:space="preserve"> PAGEREF _Toc22613 </w:instrText>
      </w:r>
      <w:r>
        <w:fldChar w:fldCharType="separate"/>
      </w:r>
      <w:r>
        <w:t>11</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_Toc20170 </w:instrText>
      </w:r>
      <w:r>
        <w:rPr>
          <w:rFonts w:ascii="宋体" w:hAnsi="宋体" w:eastAsia="黑体"/>
        </w:rPr>
        <w:fldChar w:fldCharType="separate"/>
      </w:r>
      <w:r>
        <w:rPr>
          <w:rFonts w:hint="eastAsia" w:ascii="黑体" w:hAnsi="宋体"/>
          <w:szCs w:val="24"/>
        </w:rPr>
        <w:t>十、评估结论</w:t>
      </w:r>
      <w:r>
        <w:tab/>
      </w:r>
      <w:r>
        <w:fldChar w:fldCharType="begin"/>
      </w:r>
      <w:r>
        <w:instrText xml:space="preserve"> PAGEREF _Toc20170 </w:instrText>
      </w:r>
      <w:r>
        <w:fldChar w:fldCharType="separate"/>
      </w:r>
      <w:r>
        <w:t>11</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_Toc27244 </w:instrText>
      </w:r>
      <w:r>
        <w:rPr>
          <w:rFonts w:ascii="宋体" w:hAnsi="宋体" w:eastAsia="黑体"/>
        </w:rPr>
        <w:fldChar w:fldCharType="separate"/>
      </w:r>
      <w:r>
        <w:rPr>
          <w:rFonts w:hint="eastAsia" w:ascii="黑体" w:hAnsi="宋体"/>
          <w:szCs w:val="24"/>
        </w:rPr>
        <w:t>十一、特别事项说明</w:t>
      </w:r>
      <w:r>
        <w:tab/>
      </w:r>
      <w:r>
        <w:fldChar w:fldCharType="begin"/>
      </w:r>
      <w:r>
        <w:instrText xml:space="preserve"> PAGEREF _Toc27244 </w:instrText>
      </w:r>
      <w:r>
        <w:fldChar w:fldCharType="separate"/>
      </w:r>
      <w:r>
        <w:t>12</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_Toc2103 </w:instrText>
      </w:r>
      <w:r>
        <w:rPr>
          <w:rFonts w:ascii="宋体" w:hAnsi="宋体" w:eastAsia="黑体"/>
        </w:rPr>
        <w:fldChar w:fldCharType="separate"/>
      </w:r>
      <w:r>
        <w:rPr>
          <w:rFonts w:hint="eastAsia" w:ascii="黑体" w:hAnsi="宋体"/>
          <w:szCs w:val="24"/>
        </w:rPr>
        <w:t>十二、资产评估报告使用限制说明</w:t>
      </w:r>
      <w:r>
        <w:tab/>
      </w:r>
      <w:r>
        <w:fldChar w:fldCharType="begin"/>
      </w:r>
      <w:r>
        <w:instrText xml:space="preserve"> PAGEREF _Toc2103 </w:instrText>
      </w:r>
      <w:r>
        <w:fldChar w:fldCharType="separate"/>
      </w:r>
      <w:r>
        <w:t>12</w:t>
      </w:r>
      <w:r>
        <w:fldChar w:fldCharType="end"/>
      </w:r>
      <w:r>
        <w:rPr>
          <w:rFonts w:ascii="宋体" w:hAnsi="宋体" w:eastAsia="黑体"/>
        </w:rPr>
        <w:fldChar w:fldCharType="end"/>
      </w:r>
    </w:p>
    <w:p>
      <w:pPr>
        <w:pStyle w:val="21"/>
        <w:tabs>
          <w:tab w:val="right" w:leader="dot" w:pos="8521"/>
          <w:tab w:val="clear" w:pos="858"/>
          <w:tab w:val="clear" w:pos="1020"/>
          <w:tab w:val="clear" w:pos="8511"/>
        </w:tabs>
      </w:pPr>
      <w:r>
        <w:rPr>
          <w:rFonts w:ascii="宋体" w:hAnsi="宋体" w:eastAsia="黑体"/>
        </w:rPr>
        <w:fldChar w:fldCharType="begin"/>
      </w:r>
      <w:r>
        <w:rPr>
          <w:rFonts w:ascii="宋体" w:hAnsi="宋体" w:eastAsia="黑体"/>
        </w:rPr>
        <w:instrText xml:space="preserve"> HYPERLINK \l _Toc21428 </w:instrText>
      </w:r>
      <w:r>
        <w:rPr>
          <w:rFonts w:ascii="宋体" w:hAnsi="宋体" w:eastAsia="黑体"/>
        </w:rPr>
        <w:fldChar w:fldCharType="separate"/>
      </w:r>
      <w:r>
        <w:rPr>
          <w:rFonts w:hint="eastAsia" w:ascii="黑体" w:hAnsi="宋体"/>
          <w:szCs w:val="24"/>
        </w:rPr>
        <w:t>十三、资产评估报告日</w:t>
      </w:r>
      <w:r>
        <w:tab/>
      </w:r>
      <w:r>
        <w:fldChar w:fldCharType="begin"/>
      </w:r>
      <w:r>
        <w:instrText xml:space="preserve"> PAGEREF _Toc21428 </w:instrText>
      </w:r>
      <w:r>
        <w:fldChar w:fldCharType="separate"/>
      </w:r>
      <w:r>
        <w:t>12</w:t>
      </w:r>
      <w:r>
        <w:fldChar w:fldCharType="end"/>
      </w:r>
      <w:r>
        <w:rPr>
          <w:rFonts w:ascii="宋体" w:hAnsi="宋体" w:eastAsia="黑体"/>
        </w:rPr>
        <w:fldChar w:fldCharType="end"/>
      </w:r>
    </w:p>
    <w:p>
      <w:pPr>
        <w:pStyle w:val="19"/>
        <w:tabs>
          <w:tab w:val="right" w:leader="dot" w:pos="8521"/>
          <w:tab w:val="clear" w:pos="8511"/>
        </w:tabs>
      </w:pPr>
      <w:r>
        <w:rPr>
          <w:rFonts w:ascii="宋体" w:hAnsi="宋体" w:eastAsia="黑体"/>
        </w:rPr>
        <w:fldChar w:fldCharType="begin"/>
      </w:r>
      <w:r>
        <w:rPr>
          <w:rFonts w:ascii="宋体" w:hAnsi="宋体" w:eastAsia="黑体"/>
        </w:rPr>
        <w:instrText xml:space="preserve"> HYPERLINK \l _Toc24021 </w:instrText>
      </w:r>
      <w:r>
        <w:rPr>
          <w:rFonts w:ascii="宋体" w:hAnsi="宋体" w:eastAsia="黑体"/>
        </w:rPr>
        <w:fldChar w:fldCharType="separate"/>
      </w:r>
      <w:r>
        <w:rPr>
          <w:rFonts w:hint="eastAsia" w:ascii="黑体" w:hAnsi="宋体" w:eastAsia="黑体"/>
        </w:rPr>
        <w:t>附     件</w:t>
      </w:r>
      <w:r>
        <w:tab/>
      </w:r>
      <w:r>
        <w:fldChar w:fldCharType="begin"/>
      </w:r>
      <w:r>
        <w:instrText xml:space="preserve"> PAGEREF _Toc24021 </w:instrText>
      </w:r>
      <w:r>
        <w:fldChar w:fldCharType="separate"/>
      </w:r>
      <w:r>
        <w:t>14</w:t>
      </w:r>
      <w:r>
        <w:fldChar w:fldCharType="end"/>
      </w:r>
      <w:r>
        <w:rPr>
          <w:rFonts w:ascii="宋体" w:hAnsi="宋体" w:eastAsia="黑体"/>
        </w:rPr>
        <w:fldChar w:fldCharType="end"/>
      </w:r>
    </w:p>
    <w:p>
      <w:pPr>
        <w:pStyle w:val="21"/>
        <w:spacing w:line="600" w:lineRule="exact"/>
        <w:ind w:left="0" w:leftChars="0" w:right="210"/>
      </w:pPr>
      <w:r>
        <w:rPr>
          <w:rFonts w:ascii="宋体" w:hAnsi="宋体" w:eastAsia="黑体"/>
        </w:rPr>
        <w:fldChar w:fldCharType="end"/>
      </w:r>
    </w:p>
    <w:p>
      <w:pPr>
        <w:pageBreakBefore/>
        <w:spacing w:before="312" w:beforeLines="100" w:after="156" w:afterLines="50" w:line="460" w:lineRule="exact"/>
        <w:jc w:val="center"/>
        <w:rPr>
          <w:rFonts w:ascii="黑体" w:hAnsi="宋体" w:eastAsia="黑体"/>
          <w:b/>
          <w:sz w:val="36"/>
          <w:szCs w:val="36"/>
        </w:rPr>
        <w:sectPr>
          <w:headerReference r:id="rId9" w:type="first"/>
          <w:footerReference r:id="rId11" w:type="first"/>
          <w:headerReference r:id="rId8" w:type="default"/>
          <w:footerReference r:id="rId10" w:type="default"/>
          <w:pgSz w:w="11906" w:h="16838"/>
          <w:pgMar w:top="1440" w:right="1588" w:bottom="1440" w:left="1797" w:header="851" w:footer="992" w:gutter="0"/>
          <w:pgNumType w:start="1"/>
          <w:cols w:space="425" w:num="1"/>
          <w:titlePg/>
          <w:docGrid w:type="lines" w:linePitch="312" w:charSpace="0"/>
        </w:sectPr>
      </w:pPr>
    </w:p>
    <w:p>
      <w:pPr>
        <w:pStyle w:val="2"/>
        <w:spacing w:before="0" w:after="0" w:line="460" w:lineRule="atLeast"/>
        <w:jc w:val="center"/>
        <w:rPr>
          <w:rFonts w:ascii="黑体" w:hAnsi="宋体" w:eastAsia="黑体"/>
          <w:b w:val="0"/>
          <w:sz w:val="36"/>
        </w:rPr>
      </w:pPr>
      <w:bookmarkStart w:id="1" w:name="_Toc31630"/>
      <w:bookmarkStart w:id="2" w:name="_Toc496879646"/>
      <w:bookmarkStart w:id="3" w:name="_Toc28695"/>
      <w:bookmarkStart w:id="4" w:name="_Toc487341264"/>
      <w:bookmarkStart w:id="5" w:name="_Toc3138"/>
      <w:bookmarkStart w:id="6" w:name="_Toc21336"/>
      <w:bookmarkStart w:id="7" w:name="_Toc31441"/>
      <w:bookmarkStart w:id="8" w:name="_Toc22531"/>
      <w:bookmarkStart w:id="9" w:name="_Toc4720"/>
      <w:bookmarkStart w:id="10" w:name="_Toc438472928"/>
      <w:bookmarkStart w:id="11" w:name="_Toc26336"/>
      <w:bookmarkStart w:id="12" w:name="_Toc2986"/>
      <w:bookmarkStart w:id="13" w:name="_Toc18932"/>
      <w:bookmarkStart w:id="14" w:name="_Toc18591"/>
      <w:bookmarkStart w:id="15" w:name="_Toc484924564"/>
      <w:bookmarkStart w:id="16" w:name="_Toc17462"/>
      <w:bookmarkStart w:id="17" w:name="_Toc24996"/>
      <w:bookmarkStart w:id="18" w:name="_Toc223322439"/>
      <w:bookmarkStart w:id="19" w:name="_Toc11209"/>
      <w:bookmarkStart w:id="20" w:name="_Toc27089"/>
      <w:bookmarkStart w:id="21" w:name="_Toc17075"/>
      <w:r>
        <w:rPr>
          <w:rFonts w:hint="eastAsia" w:ascii="黑体" w:hAnsi="宋体" w:eastAsia="黑体"/>
          <w:b w:val="0"/>
          <w:sz w:val="36"/>
        </w:rPr>
        <w:t>声  明</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pPr>
        <w:tabs>
          <w:tab w:val="left" w:pos="11988"/>
        </w:tabs>
        <w:spacing w:line="460" w:lineRule="exact"/>
        <w:ind w:firstLine="480" w:firstLineChars="200"/>
        <w:rPr>
          <w:rFonts w:ascii="宋体" w:hAnsi="宋体" w:cs="Arial"/>
          <w:sz w:val="24"/>
        </w:rPr>
      </w:pPr>
      <w:bookmarkStart w:id="22" w:name="OLE_LINK5"/>
      <w:r>
        <w:rPr>
          <w:rFonts w:hint="eastAsia" w:ascii="宋体" w:hAnsi="宋体" w:cs="Arial"/>
          <w:sz w:val="24"/>
        </w:rPr>
        <w:t>一、本资产评估报告依据财政部发布的资产评估基本准则和中国资产评估协会发布的资产评估执业准则和职业道德准则编制。</w:t>
      </w:r>
    </w:p>
    <w:p>
      <w:pPr>
        <w:tabs>
          <w:tab w:val="left" w:pos="11988"/>
        </w:tabs>
        <w:spacing w:line="460" w:lineRule="exact"/>
        <w:ind w:firstLine="480" w:firstLineChars="200"/>
        <w:rPr>
          <w:rFonts w:ascii="宋体" w:hAnsi="宋体" w:cs="Arial"/>
          <w:sz w:val="24"/>
        </w:rPr>
      </w:pPr>
      <w:r>
        <w:rPr>
          <w:rFonts w:hint="eastAsia" w:ascii="宋体" w:hAnsi="宋体" w:cs="Arial"/>
          <w:sz w:val="24"/>
        </w:rPr>
        <w:t>二、委托人或者其他资产评估报告使用人应当按照法律、行政法规规定和资产评估报告载明的使用范围使用本资产评估报告；委托人或者其他资产评估报告使用人违反前述规定使用本资产评估报告的，本资产评估机构及资产评估专业人员不承担责任。</w:t>
      </w:r>
    </w:p>
    <w:p>
      <w:pPr>
        <w:tabs>
          <w:tab w:val="left" w:pos="11988"/>
        </w:tabs>
        <w:spacing w:line="460" w:lineRule="exact"/>
        <w:ind w:firstLine="480" w:firstLineChars="200"/>
        <w:rPr>
          <w:rFonts w:ascii="宋体" w:hAnsi="宋体" w:cs="Arial"/>
          <w:sz w:val="24"/>
        </w:rPr>
      </w:pPr>
      <w:r>
        <w:rPr>
          <w:rFonts w:hint="eastAsia" w:ascii="宋体" w:hAnsi="宋体" w:cs="Arial"/>
          <w:sz w:val="24"/>
        </w:rPr>
        <w:t>三、本资产评估报告仅供委托人和法律、行政法规规定的资产评估报告使用人使用；除此之外，其他任何机构和个人不能成为本资产评估报告的使用人。</w:t>
      </w:r>
    </w:p>
    <w:p>
      <w:pPr>
        <w:tabs>
          <w:tab w:val="left" w:pos="11988"/>
        </w:tabs>
        <w:spacing w:line="460" w:lineRule="exact"/>
        <w:ind w:firstLine="480" w:firstLineChars="200"/>
        <w:rPr>
          <w:rFonts w:ascii="宋体" w:hAnsi="宋体" w:cs="Arial"/>
          <w:sz w:val="24"/>
        </w:rPr>
      </w:pPr>
      <w:r>
        <w:rPr>
          <w:rFonts w:hint="eastAsia" w:ascii="宋体" w:hAnsi="宋体" w:cs="Arial"/>
          <w:sz w:val="24"/>
        </w:rPr>
        <w:t>四、本资产评估机构及资产评估专业人员提示资产评估报告使用人应当正确理解评估结论，评估结论不等同于评估对象可实现价格，评估结论不应当被认为是对评估对象可实现价格的保证。</w:t>
      </w:r>
    </w:p>
    <w:p>
      <w:pPr>
        <w:tabs>
          <w:tab w:val="left" w:pos="11988"/>
        </w:tabs>
        <w:spacing w:line="460" w:lineRule="exact"/>
        <w:ind w:firstLine="480" w:firstLineChars="200"/>
        <w:rPr>
          <w:rFonts w:ascii="宋体" w:hAnsi="宋体" w:cs="Arial"/>
          <w:sz w:val="24"/>
        </w:rPr>
      </w:pPr>
      <w:r>
        <w:rPr>
          <w:rFonts w:hint="eastAsia" w:ascii="宋体" w:hAnsi="宋体" w:cs="Arial"/>
          <w:sz w:val="24"/>
        </w:rPr>
        <w:t>五、本资产评估机构及其资产评估专业人员遵守法律、行政法规和资产评估准则，坚持独立、客观、公正的原则，并对所出具的资产评估报告依法承担责任</w:t>
      </w:r>
    </w:p>
    <w:p>
      <w:pPr>
        <w:tabs>
          <w:tab w:val="left" w:pos="11988"/>
        </w:tabs>
        <w:spacing w:line="460" w:lineRule="exact"/>
        <w:ind w:firstLine="480" w:firstLineChars="200"/>
        <w:rPr>
          <w:rFonts w:ascii="宋体" w:hAnsi="宋体" w:cs="Arial"/>
          <w:sz w:val="24"/>
        </w:rPr>
      </w:pPr>
      <w:r>
        <w:rPr>
          <w:rFonts w:hint="eastAsia" w:ascii="宋体" w:hAnsi="宋体" w:cs="Arial"/>
          <w:sz w:val="24"/>
        </w:rPr>
        <w:t>六、本机构出具的资产评估报告中的分析、判断和结论受资产评估报告中假设前提和限定条件的限制，资产评估报告使用人应当关注评估结论成立的假设前提、资产评估报告特别事项说明和使用限制。</w:t>
      </w:r>
    </w:p>
    <w:p>
      <w:pPr>
        <w:tabs>
          <w:tab w:val="left" w:pos="11988"/>
        </w:tabs>
        <w:spacing w:line="460" w:lineRule="exact"/>
        <w:ind w:firstLine="480" w:firstLineChars="200"/>
        <w:rPr>
          <w:rFonts w:ascii="宋体" w:hAnsi="宋体" w:cs="Arial"/>
          <w:sz w:val="24"/>
        </w:rPr>
      </w:pPr>
      <w:r>
        <w:rPr>
          <w:rFonts w:hint="eastAsia" w:ascii="宋体" w:hAnsi="宋体" w:cs="Arial"/>
          <w:sz w:val="24"/>
        </w:rPr>
        <w:t xml:space="preserve">七、评估对象涉及的资产清单由委托人提供；委托人和其他相关当事人依法对其提供资料的真实性、完整性、合法性负责。 </w:t>
      </w:r>
    </w:p>
    <w:p>
      <w:pPr>
        <w:tabs>
          <w:tab w:val="left" w:pos="11988"/>
        </w:tabs>
        <w:spacing w:line="460" w:lineRule="exact"/>
        <w:ind w:firstLine="480" w:firstLineChars="200"/>
        <w:rPr>
          <w:rFonts w:ascii="宋体" w:hAnsi="宋体" w:cs="Arial"/>
          <w:sz w:val="24"/>
        </w:rPr>
      </w:pPr>
      <w:r>
        <w:rPr>
          <w:rFonts w:hint="eastAsia" w:ascii="宋体" w:hAnsi="宋体" w:cs="Arial"/>
          <w:sz w:val="24"/>
        </w:rPr>
        <w:t xml:space="preserve">八、本资产评估机构及资产评估师与资产评估报告中的评估对象没有现存或者预期的利益关系；与相关当事人没有现存或者预期的利益关系，对相关当事人不存在偏见。 </w:t>
      </w:r>
    </w:p>
    <w:p>
      <w:pPr>
        <w:tabs>
          <w:tab w:val="left" w:pos="11988"/>
        </w:tabs>
        <w:spacing w:line="460" w:lineRule="exact"/>
        <w:ind w:firstLine="480" w:firstLineChars="200"/>
      </w:pPr>
      <w:r>
        <w:rPr>
          <w:rFonts w:hint="eastAsia" w:ascii="宋体" w:hAnsi="宋体" w:cs="Arial"/>
          <w:sz w:val="24"/>
        </w:rPr>
        <w:t>九、资产评估师已经对资产评估报告中的评估对象及其所涉及资产进行现场调查</w:t>
      </w:r>
      <w:r>
        <w:rPr>
          <w:rFonts w:hint="eastAsia" w:ascii="宋体" w:hAnsi="宋体"/>
          <w:sz w:val="24"/>
        </w:rPr>
        <w:t>；已经对评估对象及其所涉及资产的法律权属状况给予必要的关注</w:t>
      </w:r>
      <w:r>
        <w:rPr>
          <w:rFonts w:hint="eastAsia" w:ascii="宋体" w:hAnsi="宋体" w:cs="Arial"/>
          <w:sz w:val="24"/>
        </w:rPr>
        <w:t>。</w:t>
      </w:r>
      <w:bookmarkEnd w:id="22"/>
    </w:p>
    <w:p>
      <w:pPr>
        <w:pageBreakBefore/>
        <w:spacing w:before="312" w:beforeLines="100" w:after="156" w:afterLines="50" w:line="460" w:lineRule="exact"/>
        <w:jc w:val="center"/>
        <w:rPr>
          <w:rFonts w:ascii="黑体" w:hAnsi="宋体" w:eastAsia="黑体"/>
          <w:b/>
          <w:sz w:val="36"/>
          <w:szCs w:val="36"/>
        </w:rPr>
        <w:sectPr>
          <w:headerReference r:id="rId12" w:type="default"/>
          <w:footerReference r:id="rId13" w:type="default"/>
          <w:pgSz w:w="11906" w:h="16838"/>
          <w:pgMar w:top="1440" w:right="1588" w:bottom="1440" w:left="1797" w:header="851" w:footer="992" w:gutter="0"/>
          <w:pgNumType w:start="1"/>
          <w:cols w:space="425" w:num="1"/>
          <w:docGrid w:type="lines" w:linePitch="312" w:charSpace="0"/>
        </w:sectPr>
      </w:pPr>
    </w:p>
    <w:p>
      <w:pPr>
        <w:pStyle w:val="2"/>
        <w:spacing w:line="240" w:lineRule="auto"/>
        <w:jc w:val="center"/>
        <w:rPr>
          <w:rFonts w:ascii="黑体" w:hAnsi="宋体" w:eastAsia="黑体"/>
          <w:b w:val="0"/>
          <w:sz w:val="36"/>
        </w:rPr>
      </w:pPr>
      <w:bookmarkStart w:id="23" w:name="_Toc6855"/>
      <w:bookmarkStart w:id="24" w:name="_Toc18501"/>
      <w:bookmarkStart w:id="25" w:name="_Toc27131"/>
      <w:bookmarkStart w:id="26" w:name="_Toc22806"/>
      <w:bookmarkStart w:id="27" w:name="_Toc6864"/>
      <w:bookmarkStart w:id="28" w:name="_Toc438472929"/>
      <w:bookmarkStart w:id="29" w:name="_Toc20613"/>
      <w:bookmarkStart w:id="30" w:name="_Toc14912"/>
      <w:bookmarkStart w:id="31" w:name="_Toc10717"/>
      <w:bookmarkStart w:id="32" w:name="_Toc487341265"/>
      <w:bookmarkStart w:id="33" w:name="_Toc30805"/>
      <w:bookmarkStart w:id="34" w:name="_Toc484924565"/>
      <w:bookmarkStart w:id="35" w:name="_Toc188"/>
      <w:bookmarkStart w:id="36" w:name="_Toc28149"/>
      <w:bookmarkStart w:id="37" w:name="_Toc223322440"/>
      <w:bookmarkStart w:id="38" w:name="_Toc13868"/>
      <w:bookmarkStart w:id="39" w:name="_Toc30724"/>
      <w:bookmarkStart w:id="40" w:name="_Toc29840"/>
      <w:bookmarkStart w:id="41" w:name="_Toc2169"/>
      <w:bookmarkStart w:id="42" w:name="_Toc496879647"/>
      <w:bookmarkStart w:id="43" w:name="_Toc19520"/>
      <w:bookmarkStart w:id="44" w:name="资产评估报告书"/>
      <w:bookmarkStart w:id="45" w:name="_Toc222218683"/>
      <w:bookmarkStart w:id="46" w:name="_Toc487341266"/>
      <w:bookmarkStart w:id="47" w:name="_Toc223322441"/>
      <w:r>
        <w:rPr>
          <w:rFonts w:hint="eastAsia" w:ascii="黑体" w:hAnsi="宋体" w:eastAsia="黑体"/>
          <w:b w:val="0"/>
          <w:sz w:val="36"/>
        </w:rPr>
        <w:t>摘  要</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pPr>
        <w:tabs>
          <w:tab w:val="left" w:pos="0"/>
          <w:tab w:val="left" w:pos="11988"/>
        </w:tabs>
        <w:spacing w:line="500" w:lineRule="exact"/>
        <w:ind w:firstLine="480" w:firstLineChars="200"/>
        <w:rPr>
          <w:rFonts w:ascii="宋体" w:hAnsi="宋体" w:cs="Arial"/>
          <w:sz w:val="24"/>
        </w:rPr>
      </w:pPr>
      <w:r>
        <w:rPr>
          <w:rFonts w:hint="eastAsia" w:ascii="宋体" w:hAnsi="宋体" w:cs="Arial"/>
          <w:sz w:val="24"/>
        </w:rPr>
        <w:t>天源资产评估有限公司接受杭州市滨江区人民法院委托，根据有关法律、行政法规和资产评估准则，坚持独立、客观和公正的原则，采用市场法和收益法，按照必要的评估程序，对杭州市滨江区人民法院拟司法拍卖涉及的杭州市余杭区仁和街道清合嘉园西区31幢3单元202室房地产及室内装修材料在2018年10月23日的市场价值进行了评估。现将评估情况及结论摘要如下:</w:t>
      </w:r>
    </w:p>
    <w:p>
      <w:pPr>
        <w:tabs>
          <w:tab w:val="left" w:pos="11988"/>
        </w:tabs>
        <w:spacing w:line="500" w:lineRule="exact"/>
        <w:ind w:firstLine="480" w:firstLineChars="200"/>
        <w:rPr>
          <w:rFonts w:ascii="宋体" w:hAnsi="宋体" w:cs="Arial"/>
          <w:sz w:val="24"/>
        </w:rPr>
      </w:pPr>
      <w:r>
        <w:rPr>
          <w:rFonts w:hint="eastAsia" w:ascii="宋体" w:hAnsi="宋体" w:cs="Arial"/>
          <w:sz w:val="24"/>
        </w:rPr>
        <w:t>一、委托人：杭州市滨江区人民法院。</w:t>
      </w:r>
    </w:p>
    <w:p>
      <w:pPr>
        <w:tabs>
          <w:tab w:val="left" w:pos="11988"/>
        </w:tabs>
        <w:spacing w:line="500" w:lineRule="exact"/>
        <w:ind w:firstLine="480" w:firstLineChars="200"/>
        <w:rPr>
          <w:rFonts w:ascii="宋体" w:hAnsi="宋体" w:cs="Arial"/>
          <w:sz w:val="24"/>
        </w:rPr>
      </w:pPr>
      <w:r>
        <w:rPr>
          <w:rFonts w:hint="eastAsia" w:ascii="宋体" w:hAnsi="宋体" w:cs="Arial"/>
          <w:sz w:val="24"/>
        </w:rPr>
        <w:t>二、申请执行人：浙江香溢元泰典当有限责任公司。</w:t>
      </w:r>
    </w:p>
    <w:p>
      <w:pPr>
        <w:tabs>
          <w:tab w:val="left" w:pos="11988"/>
        </w:tabs>
        <w:spacing w:line="500" w:lineRule="exact"/>
        <w:ind w:firstLine="480" w:firstLineChars="200"/>
        <w:rPr>
          <w:rFonts w:ascii="宋体" w:hAnsi="宋体" w:cs="Arial"/>
          <w:sz w:val="24"/>
        </w:rPr>
      </w:pPr>
      <w:r>
        <w:rPr>
          <w:rFonts w:hint="eastAsia" w:ascii="宋体" w:hAnsi="宋体" w:cs="Arial"/>
          <w:sz w:val="24"/>
        </w:rPr>
        <w:t>二、被执行人：俞海敏。</w:t>
      </w:r>
    </w:p>
    <w:p>
      <w:pPr>
        <w:tabs>
          <w:tab w:val="left" w:pos="11988"/>
        </w:tabs>
        <w:spacing w:line="500" w:lineRule="exact"/>
        <w:ind w:firstLine="480" w:firstLineChars="200"/>
        <w:rPr>
          <w:rFonts w:ascii="宋体" w:hAnsi="宋体" w:cs="Arial"/>
          <w:i/>
          <w:color w:val="FF00FF"/>
          <w:sz w:val="24"/>
        </w:rPr>
      </w:pPr>
      <w:r>
        <w:rPr>
          <w:rFonts w:hint="eastAsia" w:ascii="宋体" w:hAnsi="宋体" w:cs="Arial"/>
          <w:sz w:val="24"/>
        </w:rPr>
        <w:t>三、评估目的：为司法拍卖提供价值参考。</w:t>
      </w:r>
    </w:p>
    <w:p>
      <w:pPr>
        <w:tabs>
          <w:tab w:val="left" w:pos="11988"/>
        </w:tabs>
        <w:spacing w:line="500" w:lineRule="exact"/>
        <w:ind w:firstLine="480" w:firstLineChars="200"/>
        <w:rPr>
          <w:rFonts w:ascii="宋体" w:hAnsi="宋体" w:cs="Arial"/>
          <w:sz w:val="24"/>
        </w:rPr>
      </w:pPr>
      <w:r>
        <w:rPr>
          <w:rFonts w:hint="eastAsia" w:ascii="宋体" w:hAnsi="宋体" w:cs="Arial"/>
          <w:sz w:val="24"/>
        </w:rPr>
        <w:t>四、评估对象及评估范围</w:t>
      </w:r>
    </w:p>
    <w:p>
      <w:pPr>
        <w:pStyle w:val="12"/>
        <w:snapToGrid w:val="0"/>
        <w:spacing w:line="460" w:lineRule="exact"/>
        <w:ind w:firstLine="480" w:firstLineChars="200"/>
      </w:pPr>
      <w:r>
        <w:rPr>
          <w:rFonts w:hint="eastAsia" w:cs="Arial"/>
        </w:rPr>
        <w:t>评估对象为杭州市滨江区人民法院拟拍卖的单项资产，评估范围为位于杭州市余杭区仁和街道清合嘉园西区31幢3单元202室房地产及室内装修材料。</w:t>
      </w:r>
    </w:p>
    <w:p>
      <w:pPr>
        <w:tabs>
          <w:tab w:val="left" w:pos="11988"/>
        </w:tabs>
        <w:spacing w:line="500" w:lineRule="exact"/>
        <w:ind w:firstLine="480" w:firstLineChars="200"/>
      </w:pPr>
      <w:r>
        <w:rPr>
          <w:rFonts w:hint="eastAsia" w:ascii="宋体" w:hAnsi="宋体" w:cs="Arial"/>
          <w:sz w:val="24"/>
        </w:rPr>
        <w:t>五、价值类型：市场价值</w:t>
      </w:r>
    </w:p>
    <w:p>
      <w:pPr>
        <w:tabs>
          <w:tab w:val="left" w:pos="11988"/>
        </w:tabs>
        <w:spacing w:line="500" w:lineRule="exact"/>
        <w:ind w:firstLine="480" w:firstLineChars="200"/>
        <w:rPr>
          <w:rFonts w:ascii="宋体" w:hAnsi="宋体" w:cs="Arial"/>
          <w:sz w:val="24"/>
        </w:rPr>
      </w:pPr>
      <w:r>
        <w:rPr>
          <w:rFonts w:hint="eastAsia" w:ascii="宋体" w:hAnsi="宋体" w:cs="Arial"/>
          <w:sz w:val="24"/>
        </w:rPr>
        <w:t>六、评估基准日：2018年10月23日</w:t>
      </w:r>
    </w:p>
    <w:p>
      <w:pPr>
        <w:tabs>
          <w:tab w:val="left" w:pos="11988"/>
        </w:tabs>
        <w:spacing w:line="500" w:lineRule="exact"/>
        <w:ind w:firstLine="480" w:firstLineChars="200"/>
        <w:rPr>
          <w:rFonts w:ascii="宋体" w:hAnsi="宋体" w:cs="Arial"/>
          <w:sz w:val="24"/>
        </w:rPr>
      </w:pPr>
      <w:r>
        <w:rPr>
          <w:rFonts w:hint="eastAsia" w:ascii="宋体" w:hAnsi="宋体" w:cs="Arial"/>
          <w:sz w:val="24"/>
        </w:rPr>
        <w:t>七、评估方法：市场法、收益法</w:t>
      </w:r>
    </w:p>
    <w:p>
      <w:pPr>
        <w:tabs>
          <w:tab w:val="left" w:pos="11988"/>
        </w:tabs>
        <w:spacing w:line="500" w:lineRule="exact"/>
        <w:ind w:firstLine="480" w:firstLineChars="200"/>
        <w:rPr>
          <w:rFonts w:ascii="宋体" w:hAnsi="宋体" w:cs="Arial"/>
          <w:sz w:val="24"/>
        </w:rPr>
      </w:pPr>
      <w:r>
        <w:rPr>
          <w:rFonts w:hint="eastAsia" w:ascii="宋体" w:hAnsi="宋体" w:cs="Arial"/>
          <w:sz w:val="24"/>
        </w:rPr>
        <w:t>八、评估结论</w:t>
      </w:r>
      <w:bookmarkStart w:id="48" w:name="_Toc450637008"/>
    </w:p>
    <w:bookmarkEnd w:id="48"/>
    <w:p>
      <w:pPr>
        <w:tabs>
          <w:tab w:val="left" w:pos="0"/>
          <w:tab w:val="left" w:pos="11988"/>
        </w:tabs>
        <w:spacing w:line="500" w:lineRule="exact"/>
        <w:ind w:firstLine="480" w:firstLineChars="200"/>
        <w:rPr>
          <w:rFonts w:ascii="宋体" w:hAnsi="宋体" w:cs="Arial"/>
          <w:sz w:val="24"/>
        </w:rPr>
      </w:pPr>
      <w:r>
        <w:rPr>
          <w:rFonts w:hint="eastAsia" w:ascii="宋体" w:hAnsi="宋体"/>
          <w:sz w:val="24"/>
        </w:rPr>
        <w:t>在本报告揭示</w:t>
      </w:r>
      <w:r>
        <w:rPr>
          <w:rFonts w:hint="eastAsia" w:ascii="宋体" w:hAnsi="宋体" w:cs="Arial"/>
          <w:sz w:val="24"/>
        </w:rPr>
        <w:t>的假设前提下，评估对象在评估基准日的评估价值为229.84万元，(大写人民币贰佰贰拾玖万捌仟肆佰元)，具体如下：</w:t>
      </w:r>
    </w:p>
    <w:p>
      <w:pPr>
        <w:spacing w:line="520" w:lineRule="exact"/>
        <w:ind w:right="31" w:rightChars="15"/>
        <w:jc w:val="righ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Cs w:val="21"/>
        </w:rPr>
        <w:t>金额单位：人民币万元</w:t>
      </w:r>
    </w:p>
    <w:tbl>
      <w:tblPr>
        <w:tblStyle w:val="39"/>
        <w:tblW w:w="8737"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18"/>
        <w:gridCol w:w="5260"/>
        <w:gridCol w:w="2559"/>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612" w:hRule="atLeast"/>
        </w:trPr>
        <w:tc>
          <w:tcPr>
            <w:tcW w:w="918" w:type="dxa"/>
            <w:shd w:val="clear" w:color="auto" w:fill="auto"/>
            <w:vAlign w:val="center"/>
          </w:tcPr>
          <w:p>
            <w:pPr>
              <w:widowControl/>
              <w:spacing w:line="520" w:lineRule="exact"/>
              <w:jc w:val="center"/>
              <w:rPr>
                <w:rFonts w:eastAsiaTheme="majorEastAsia"/>
                <w:kern w:val="0"/>
                <w:szCs w:val="21"/>
              </w:rPr>
            </w:pPr>
            <w:r>
              <w:rPr>
                <w:rFonts w:eastAsiaTheme="majorEastAsia"/>
                <w:kern w:val="0"/>
                <w:szCs w:val="21"/>
              </w:rPr>
              <w:t>序号</w:t>
            </w:r>
          </w:p>
        </w:tc>
        <w:tc>
          <w:tcPr>
            <w:tcW w:w="5260" w:type="dxa"/>
            <w:shd w:val="clear" w:color="auto" w:fill="auto"/>
            <w:vAlign w:val="center"/>
          </w:tcPr>
          <w:p>
            <w:pPr>
              <w:widowControl/>
              <w:spacing w:line="520" w:lineRule="exact"/>
              <w:jc w:val="center"/>
              <w:rPr>
                <w:rFonts w:eastAsiaTheme="majorEastAsia"/>
                <w:kern w:val="0"/>
                <w:szCs w:val="21"/>
              </w:rPr>
            </w:pPr>
            <w:r>
              <w:rPr>
                <w:rFonts w:eastAsiaTheme="majorEastAsia"/>
                <w:kern w:val="0"/>
                <w:szCs w:val="21"/>
              </w:rPr>
              <w:t>项目</w:t>
            </w:r>
          </w:p>
        </w:tc>
        <w:tc>
          <w:tcPr>
            <w:tcW w:w="2559" w:type="dxa"/>
            <w:vAlign w:val="center"/>
          </w:tcPr>
          <w:p>
            <w:pPr>
              <w:spacing w:line="520" w:lineRule="exact"/>
              <w:jc w:val="center"/>
              <w:rPr>
                <w:rFonts w:eastAsiaTheme="majorEastAsia"/>
                <w:szCs w:val="21"/>
              </w:rPr>
            </w:pPr>
            <w:r>
              <w:rPr>
                <w:rFonts w:eastAsiaTheme="majorEastAsia"/>
                <w:szCs w:val="21"/>
              </w:rPr>
              <w:t>评估值</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PrEx>
        <w:trPr>
          <w:trHeight w:val="658" w:hRule="atLeast"/>
        </w:trPr>
        <w:tc>
          <w:tcPr>
            <w:tcW w:w="918" w:type="dxa"/>
            <w:shd w:val="clear" w:color="auto" w:fill="auto"/>
            <w:vAlign w:val="center"/>
          </w:tcPr>
          <w:p>
            <w:pPr>
              <w:widowControl/>
              <w:spacing w:line="520" w:lineRule="exact"/>
              <w:jc w:val="center"/>
              <w:rPr>
                <w:rFonts w:eastAsiaTheme="majorEastAsia"/>
                <w:kern w:val="0"/>
                <w:szCs w:val="21"/>
              </w:rPr>
            </w:pPr>
            <w:r>
              <w:rPr>
                <w:rFonts w:eastAsiaTheme="majorEastAsia"/>
                <w:kern w:val="0"/>
                <w:szCs w:val="21"/>
              </w:rPr>
              <w:t>1</w:t>
            </w:r>
          </w:p>
        </w:tc>
        <w:tc>
          <w:tcPr>
            <w:tcW w:w="5260" w:type="dxa"/>
            <w:shd w:val="clear" w:color="auto" w:fill="auto"/>
            <w:vAlign w:val="center"/>
          </w:tcPr>
          <w:p>
            <w:pPr>
              <w:widowControl/>
              <w:spacing w:line="520" w:lineRule="exact"/>
              <w:jc w:val="center"/>
              <w:rPr>
                <w:rFonts w:eastAsiaTheme="majorEastAsia"/>
                <w:kern w:val="0"/>
                <w:szCs w:val="21"/>
              </w:rPr>
            </w:pPr>
            <w:r>
              <w:rPr>
                <w:rFonts w:eastAsiaTheme="majorEastAsia"/>
                <w:kern w:val="0"/>
                <w:szCs w:val="21"/>
              </w:rPr>
              <w:t>清合嘉园西区31幢3单元202室房地产</w:t>
            </w:r>
          </w:p>
        </w:tc>
        <w:tc>
          <w:tcPr>
            <w:tcW w:w="2559" w:type="dxa"/>
            <w:vAlign w:val="center"/>
          </w:tcPr>
          <w:p>
            <w:pPr>
              <w:spacing w:line="520" w:lineRule="exact"/>
              <w:jc w:val="right"/>
              <w:rPr>
                <w:rFonts w:eastAsiaTheme="majorEastAsia"/>
                <w:szCs w:val="21"/>
              </w:rPr>
            </w:pPr>
            <w:r>
              <w:rPr>
                <w:rFonts w:hint="eastAsia" w:eastAsiaTheme="majorEastAsia"/>
                <w:szCs w:val="21"/>
              </w:rPr>
              <w:t>229.44</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658" w:hRule="atLeast"/>
        </w:trPr>
        <w:tc>
          <w:tcPr>
            <w:tcW w:w="918" w:type="dxa"/>
            <w:shd w:val="clear" w:color="auto" w:fill="auto"/>
            <w:vAlign w:val="center"/>
          </w:tcPr>
          <w:p>
            <w:pPr>
              <w:widowControl/>
              <w:spacing w:line="520" w:lineRule="exact"/>
              <w:jc w:val="center"/>
              <w:rPr>
                <w:rFonts w:eastAsiaTheme="majorEastAsia"/>
                <w:kern w:val="0"/>
                <w:szCs w:val="21"/>
              </w:rPr>
            </w:pPr>
            <w:r>
              <w:rPr>
                <w:rFonts w:eastAsiaTheme="majorEastAsia"/>
                <w:kern w:val="0"/>
                <w:szCs w:val="21"/>
              </w:rPr>
              <w:t>2</w:t>
            </w:r>
          </w:p>
        </w:tc>
        <w:tc>
          <w:tcPr>
            <w:tcW w:w="5260" w:type="dxa"/>
            <w:shd w:val="clear" w:color="auto" w:fill="auto"/>
            <w:vAlign w:val="center"/>
          </w:tcPr>
          <w:p>
            <w:pPr>
              <w:widowControl/>
              <w:spacing w:line="520" w:lineRule="exact"/>
              <w:jc w:val="center"/>
              <w:rPr>
                <w:rFonts w:eastAsiaTheme="majorEastAsia"/>
                <w:kern w:val="0"/>
                <w:szCs w:val="21"/>
              </w:rPr>
            </w:pPr>
            <w:r>
              <w:rPr>
                <w:rFonts w:eastAsiaTheme="majorEastAsia"/>
                <w:kern w:val="0"/>
                <w:szCs w:val="21"/>
              </w:rPr>
              <w:t>室内装修材料</w:t>
            </w:r>
          </w:p>
        </w:tc>
        <w:tc>
          <w:tcPr>
            <w:tcW w:w="2559" w:type="dxa"/>
            <w:vAlign w:val="center"/>
          </w:tcPr>
          <w:p>
            <w:pPr>
              <w:spacing w:line="520" w:lineRule="exact"/>
              <w:jc w:val="right"/>
              <w:rPr>
                <w:rFonts w:eastAsiaTheme="majorEastAsia"/>
                <w:szCs w:val="21"/>
              </w:rPr>
            </w:pPr>
            <w:r>
              <w:rPr>
                <w:rFonts w:hint="eastAsia" w:eastAsiaTheme="majorEastAsia"/>
                <w:szCs w:val="21"/>
              </w:rPr>
              <w:t>0.40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658" w:hRule="atLeast"/>
        </w:trPr>
        <w:tc>
          <w:tcPr>
            <w:tcW w:w="918" w:type="dxa"/>
            <w:shd w:val="clear" w:color="auto" w:fill="auto"/>
            <w:vAlign w:val="center"/>
          </w:tcPr>
          <w:p>
            <w:pPr>
              <w:widowControl/>
              <w:spacing w:line="520" w:lineRule="exact"/>
              <w:jc w:val="center"/>
              <w:rPr>
                <w:rFonts w:eastAsiaTheme="majorEastAsia"/>
                <w:kern w:val="0"/>
                <w:szCs w:val="21"/>
              </w:rPr>
            </w:pPr>
          </w:p>
        </w:tc>
        <w:tc>
          <w:tcPr>
            <w:tcW w:w="5260" w:type="dxa"/>
            <w:shd w:val="clear" w:color="auto" w:fill="auto"/>
            <w:vAlign w:val="center"/>
          </w:tcPr>
          <w:p>
            <w:pPr>
              <w:widowControl/>
              <w:spacing w:line="520" w:lineRule="exact"/>
              <w:jc w:val="center"/>
              <w:rPr>
                <w:rFonts w:eastAsiaTheme="majorEastAsia"/>
                <w:kern w:val="0"/>
                <w:szCs w:val="21"/>
              </w:rPr>
            </w:pPr>
            <w:r>
              <w:rPr>
                <w:rFonts w:eastAsiaTheme="majorEastAsia"/>
                <w:kern w:val="0"/>
                <w:szCs w:val="21"/>
              </w:rPr>
              <w:t>合计</w:t>
            </w:r>
          </w:p>
        </w:tc>
        <w:tc>
          <w:tcPr>
            <w:tcW w:w="2559" w:type="dxa"/>
            <w:vAlign w:val="center"/>
          </w:tcPr>
          <w:p>
            <w:pPr>
              <w:spacing w:line="520" w:lineRule="exact"/>
              <w:jc w:val="right"/>
              <w:rPr>
                <w:rFonts w:eastAsiaTheme="majorEastAsia"/>
                <w:szCs w:val="21"/>
              </w:rPr>
            </w:pPr>
            <w:r>
              <w:rPr>
                <w:rFonts w:hint="eastAsia" w:eastAsiaTheme="majorEastAsia"/>
                <w:szCs w:val="21"/>
              </w:rPr>
              <w:t>229.84</w:t>
            </w:r>
          </w:p>
        </w:tc>
      </w:tr>
    </w:tbl>
    <w:p>
      <w:pPr>
        <w:tabs>
          <w:tab w:val="left" w:pos="0"/>
          <w:tab w:val="left" w:pos="11988"/>
        </w:tabs>
        <w:spacing w:line="500" w:lineRule="exact"/>
        <w:ind w:firstLine="480" w:firstLineChars="200"/>
        <w:rPr>
          <w:rFonts w:ascii="宋体" w:hAnsi="宋体" w:cs="Arial"/>
          <w:sz w:val="24"/>
        </w:rPr>
      </w:pPr>
    </w:p>
    <w:p>
      <w:pPr>
        <w:tabs>
          <w:tab w:val="left" w:pos="0"/>
          <w:tab w:val="left" w:pos="11988"/>
        </w:tabs>
        <w:spacing w:line="500" w:lineRule="exact"/>
        <w:ind w:firstLine="480" w:firstLineChars="200"/>
        <w:rPr>
          <w:rFonts w:ascii="宋体" w:hAnsi="宋体" w:cs="Arial"/>
          <w:sz w:val="24"/>
        </w:rPr>
      </w:pPr>
      <w:r>
        <w:rPr>
          <w:rFonts w:hint="eastAsia" w:ascii="宋体" w:hAnsi="宋体" w:cs="Arial"/>
          <w:sz w:val="24"/>
        </w:rPr>
        <w:t>评估结论仅在评估报告载明的评估基准日成立。评估结论的使用期限应根据评估基准日后的资产状况和市场变化情况来确定，当资产状况和市场变化较小时，评估结论使用有效期为2018年10月23日至2019年10月22日。</w:t>
      </w:r>
    </w:p>
    <w:p>
      <w:pPr>
        <w:tabs>
          <w:tab w:val="left" w:pos="0"/>
          <w:tab w:val="left" w:pos="11988"/>
        </w:tabs>
        <w:spacing w:line="500" w:lineRule="exact"/>
        <w:ind w:firstLine="480" w:firstLineChars="200"/>
        <w:rPr>
          <w:rFonts w:ascii="宋体" w:hAnsi="宋体" w:cs="Arial"/>
          <w:sz w:val="24"/>
        </w:rPr>
      </w:pPr>
      <w:r>
        <w:rPr>
          <w:rFonts w:hint="eastAsia" w:ascii="宋体" w:hAnsi="宋体" w:cs="Arial"/>
          <w:sz w:val="24"/>
        </w:rPr>
        <w:t>九、特别事项说明</w:t>
      </w:r>
    </w:p>
    <w:p>
      <w:pPr>
        <w:pStyle w:val="12"/>
        <w:tabs>
          <w:tab w:val="left" w:pos="0"/>
        </w:tabs>
        <w:snapToGrid w:val="0"/>
        <w:spacing w:line="480" w:lineRule="exact"/>
        <w:ind w:firstLine="480" w:firstLineChars="200"/>
        <w:rPr>
          <w:color w:val="000000"/>
        </w:rPr>
      </w:pPr>
      <w:r>
        <w:rPr>
          <w:rFonts w:hint="eastAsia"/>
          <w:color w:val="000000"/>
        </w:rPr>
        <w:t>特别事项说明详见资产评估报告“十一、特别事项说明”。为了正确使用评估结论，提请资产评估报告使用人关注“特别事项说明”对资产评估结论和本次经济行为的影响。</w:t>
      </w:r>
    </w:p>
    <w:p>
      <w:pPr>
        <w:pStyle w:val="12"/>
        <w:tabs>
          <w:tab w:val="left" w:pos="0"/>
        </w:tabs>
        <w:snapToGrid w:val="0"/>
        <w:spacing w:line="460" w:lineRule="exact"/>
        <w:ind w:firstLine="480" w:firstLineChars="200"/>
        <w:rPr>
          <w:sz w:val="21"/>
          <w:szCs w:val="21"/>
        </w:rPr>
      </w:pPr>
      <w:r>
        <w:rPr>
          <w:rFonts w:hint="eastAsia" w:cs="Arial"/>
        </w:rPr>
        <w:t>十、评估报告日：2018年11月8日。</w:t>
      </w:r>
    </w:p>
    <w:p>
      <w:pPr>
        <w:pStyle w:val="12"/>
        <w:tabs>
          <w:tab w:val="left" w:pos="0"/>
        </w:tabs>
        <w:snapToGrid w:val="0"/>
        <w:spacing w:line="460" w:lineRule="exact"/>
        <w:ind w:firstLine="482" w:firstLineChars="200"/>
        <w:rPr>
          <w:sz w:val="21"/>
          <w:szCs w:val="21"/>
        </w:rPr>
        <w:sectPr>
          <w:headerReference r:id="rId14" w:type="default"/>
          <w:pgSz w:w="11906" w:h="16838"/>
          <w:pgMar w:top="1440" w:right="1588" w:bottom="1440" w:left="1797" w:header="851" w:footer="992" w:gutter="0"/>
          <w:cols w:space="425" w:num="1"/>
          <w:docGrid w:linePitch="312" w:charSpace="0"/>
        </w:sectPr>
      </w:pPr>
      <w:r>
        <w:rPr>
          <w:b/>
        </w:rPr>
        <w:t>以上内容摘自评估报告正文，欲了解本评估项目的详细情况和合理理解评估结论，应当阅读评估报告正文。</w:t>
      </w:r>
    </w:p>
    <w:bookmarkEnd w:id="44"/>
    <w:bookmarkEnd w:id="45"/>
    <w:p>
      <w:pPr>
        <w:pStyle w:val="2"/>
        <w:keepNext w:val="0"/>
        <w:keepLines w:val="0"/>
        <w:pageBreakBefore/>
        <w:spacing w:line="240" w:lineRule="auto"/>
        <w:jc w:val="center"/>
        <w:rPr>
          <w:rFonts w:ascii="黑体" w:hAnsi="宋体" w:eastAsia="黑体"/>
          <w:sz w:val="36"/>
        </w:rPr>
      </w:pPr>
      <w:bookmarkStart w:id="49" w:name="_Toc849"/>
      <w:bookmarkStart w:id="50" w:name="_Toc9156"/>
      <w:bookmarkStart w:id="51" w:name="_Toc20520"/>
      <w:bookmarkStart w:id="52" w:name="_Toc18733"/>
      <w:bookmarkStart w:id="53" w:name="_Toc19199"/>
      <w:bookmarkStart w:id="54" w:name="_Toc5772"/>
      <w:bookmarkStart w:id="55" w:name="_Toc2539"/>
      <w:bookmarkStart w:id="56" w:name="_Toc8647"/>
      <w:bookmarkStart w:id="57" w:name="_Toc496879648"/>
      <w:bookmarkStart w:id="58" w:name="_Toc12456"/>
      <w:bookmarkStart w:id="59" w:name="_Toc18980"/>
      <w:bookmarkStart w:id="60" w:name="_Toc18538"/>
      <w:bookmarkStart w:id="61" w:name="_Toc3700"/>
      <w:bookmarkStart w:id="62" w:name="_Toc438472930"/>
      <w:bookmarkStart w:id="63" w:name="_Toc4111"/>
      <w:bookmarkStart w:id="64" w:name="_Toc1902"/>
      <w:bookmarkStart w:id="65" w:name="_Toc23341"/>
      <w:bookmarkStart w:id="66" w:name="_Toc25158"/>
      <w:r>
        <w:rPr>
          <w:rFonts w:hint="eastAsia" w:ascii="黑体" w:hAnsi="宋体" w:eastAsia="黑体"/>
          <w:sz w:val="36"/>
        </w:rPr>
        <w:t>评 估 报 告</w:t>
      </w:r>
      <w:bookmarkEnd w:id="46"/>
      <w:bookmarkEnd w:id="47"/>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pPr>
        <w:jc w:val="center"/>
        <w:rPr>
          <w:rFonts w:ascii="黑体" w:hAnsi="宋体" w:eastAsia="黑体"/>
        </w:rPr>
      </w:pPr>
      <w:r>
        <w:rPr>
          <w:rFonts w:hint="eastAsia" w:ascii="黑体" w:hAnsi="宋体" w:eastAsia="黑体"/>
        </w:rPr>
        <w:t>天源评报字[2018]第0</w:t>
      </w:r>
      <w:r>
        <w:rPr>
          <w:rFonts w:hint="eastAsia" w:ascii="黑体" w:hAnsi="宋体" w:eastAsia="黑体"/>
          <w:lang w:val="en-US" w:eastAsia="zh-CN"/>
        </w:rPr>
        <w:t>413</w:t>
      </w:r>
      <w:r>
        <w:rPr>
          <w:rFonts w:hint="eastAsia" w:ascii="黑体" w:hAnsi="宋体" w:eastAsia="黑体"/>
        </w:rPr>
        <w:t>号</w:t>
      </w:r>
    </w:p>
    <w:p>
      <w:pPr>
        <w:jc w:val="center"/>
        <w:rPr>
          <w:rFonts w:ascii="宋体" w:hAnsi="宋体"/>
        </w:rPr>
      </w:pPr>
    </w:p>
    <w:p>
      <w:pPr>
        <w:pStyle w:val="12"/>
        <w:snapToGrid w:val="0"/>
        <w:spacing w:line="460" w:lineRule="exact"/>
        <w:ind w:firstLine="0"/>
        <w:rPr>
          <w:rFonts w:ascii="黑体" w:hAnsi="黑体" w:eastAsia="黑体"/>
        </w:rPr>
      </w:pPr>
      <w:r>
        <w:rPr>
          <w:rFonts w:hint="eastAsia" w:ascii="黑体" w:hAnsi="黑体" w:eastAsia="黑体"/>
        </w:rPr>
        <w:t>杭州市滨江区人民法院：</w:t>
      </w:r>
    </w:p>
    <w:p>
      <w:pPr>
        <w:tabs>
          <w:tab w:val="left" w:pos="11988"/>
        </w:tabs>
        <w:spacing w:before="120" w:line="460" w:lineRule="exact"/>
        <w:ind w:firstLine="480" w:firstLineChars="200"/>
        <w:rPr>
          <w:rFonts w:ascii="宋体" w:hAnsi="宋体" w:cs="Arial"/>
          <w:color w:val="3366FF"/>
          <w:sz w:val="24"/>
        </w:rPr>
      </w:pPr>
      <w:r>
        <w:rPr>
          <w:rFonts w:hint="eastAsia" w:ascii="宋体" w:hAnsi="宋体" w:cs="Arial"/>
          <w:sz w:val="24"/>
        </w:rPr>
        <w:t>天源资产评估有限公司接受贵院委托，按照法律、行政法规和资产评估准则的规定，坚持独立、客观和公正的原则，采用市场法和收益法，按照必要的评估程序，对贵院拟司法拍卖涉及的杭州市余杭区仁和街道清合嘉园西区31幢3单元202室房地产及室内装修材料在2018年10月23日的市场价值进行了评估。现将资产评估情况报告如下：</w:t>
      </w:r>
    </w:p>
    <w:p>
      <w:pPr>
        <w:pStyle w:val="3"/>
        <w:spacing w:before="120" w:after="120" w:line="460" w:lineRule="exact"/>
        <w:ind w:firstLine="480" w:firstLineChars="200"/>
        <w:rPr>
          <w:rFonts w:ascii="黑体" w:hAnsi="宋体"/>
          <w:b w:val="0"/>
          <w:sz w:val="24"/>
          <w:szCs w:val="24"/>
        </w:rPr>
      </w:pPr>
      <w:bookmarkStart w:id="67" w:name="_Toc223322442"/>
      <w:bookmarkStart w:id="68" w:name="_Toc487341267"/>
      <w:bookmarkStart w:id="69" w:name="_Toc438472931"/>
      <w:bookmarkStart w:id="70" w:name="_Toc484924567"/>
      <w:bookmarkStart w:id="71" w:name="_Toc10080"/>
      <w:bookmarkStart w:id="72" w:name="_Toc3422"/>
      <w:bookmarkStart w:id="73" w:name="_Toc21099"/>
      <w:bookmarkStart w:id="74" w:name="_Toc26037"/>
      <w:bookmarkStart w:id="75" w:name="_Toc20972"/>
      <w:bookmarkStart w:id="76" w:name="_Toc32674"/>
      <w:bookmarkStart w:id="77" w:name="_Toc32328"/>
      <w:bookmarkStart w:id="78" w:name="_Toc23884"/>
      <w:bookmarkStart w:id="79" w:name="_Toc2799"/>
      <w:bookmarkStart w:id="80" w:name="_Toc496879649"/>
      <w:bookmarkStart w:id="81" w:name="_Toc31452"/>
      <w:bookmarkStart w:id="82" w:name="_Toc31087"/>
      <w:bookmarkStart w:id="83" w:name="_Toc9912"/>
      <w:bookmarkStart w:id="84" w:name="_Toc2738"/>
      <w:bookmarkStart w:id="85" w:name="_Toc5770"/>
      <w:bookmarkStart w:id="86" w:name="_Toc15249"/>
      <w:bookmarkStart w:id="87" w:name="_Toc7710"/>
      <w:r>
        <w:rPr>
          <w:rFonts w:hint="eastAsia" w:ascii="黑体" w:hAnsi="宋体"/>
          <w:b w:val="0"/>
          <w:sz w:val="24"/>
          <w:szCs w:val="24"/>
        </w:rPr>
        <w:t>一、委托人、申请执行人、被执行人和其他评估报告使用</w:t>
      </w:r>
      <w:bookmarkEnd w:id="67"/>
      <w:bookmarkEnd w:id="68"/>
      <w:bookmarkEnd w:id="69"/>
      <w:bookmarkEnd w:id="70"/>
      <w:r>
        <w:rPr>
          <w:rFonts w:hint="eastAsia" w:ascii="黑体" w:hAnsi="宋体"/>
          <w:b w:val="0"/>
          <w:sz w:val="24"/>
          <w:szCs w:val="24"/>
        </w:rPr>
        <w:t>人</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pPr>
        <w:pStyle w:val="12"/>
        <w:tabs>
          <w:tab w:val="left" w:pos="0"/>
        </w:tabs>
        <w:snapToGrid w:val="0"/>
        <w:spacing w:line="460" w:lineRule="exact"/>
        <w:ind w:firstLine="480" w:firstLineChars="200"/>
        <w:rPr>
          <w:rFonts w:cs="Arial"/>
        </w:rPr>
      </w:pPr>
      <w:r>
        <w:rPr>
          <w:rFonts w:hint="eastAsia" w:cs="Arial"/>
        </w:rPr>
        <w:t>(一)委托人</w:t>
      </w:r>
    </w:p>
    <w:p>
      <w:pPr>
        <w:pStyle w:val="67"/>
        <w:numPr>
          <w:ilvl w:val="0"/>
          <w:numId w:val="1"/>
        </w:numPr>
        <w:spacing w:line="460" w:lineRule="exact"/>
        <w:ind w:left="567" w:hanging="141" w:firstLineChars="0"/>
        <w:rPr>
          <w:rFonts w:ascii="宋体" w:hAnsi="宋体" w:cs="Arial"/>
          <w:sz w:val="24"/>
        </w:rPr>
      </w:pPr>
      <w:r>
        <w:rPr>
          <w:rFonts w:hint="eastAsia" w:ascii="宋体" w:hAnsi="宋体" w:cs="Arial"/>
          <w:sz w:val="24"/>
        </w:rPr>
        <w:t xml:space="preserve">名  </w:t>
      </w:r>
      <w:r>
        <w:rPr>
          <w:rFonts w:hint="eastAsia" w:ascii="宋体" w:hAnsi="宋体"/>
          <w:sz w:val="24"/>
        </w:rPr>
        <w:t xml:space="preserve">        称：</w:t>
      </w:r>
      <w:r>
        <w:rPr>
          <w:rFonts w:hint="eastAsia" w:cs="Arial"/>
          <w:sz w:val="24"/>
        </w:rPr>
        <w:t>杭州市滨江区人民法院</w:t>
      </w:r>
    </w:p>
    <w:p>
      <w:pPr>
        <w:pStyle w:val="67"/>
        <w:numPr>
          <w:ilvl w:val="0"/>
          <w:numId w:val="1"/>
        </w:numPr>
        <w:spacing w:line="460" w:lineRule="exact"/>
        <w:ind w:left="567" w:hanging="141" w:firstLineChars="0"/>
        <w:rPr>
          <w:rFonts w:ascii="宋体" w:hAnsi="宋体"/>
          <w:sz w:val="24"/>
        </w:rPr>
      </w:pPr>
      <w:r>
        <w:rPr>
          <w:rFonts w:hint="eastAsia" w:ascii="宋体" w:hAnsi="宋体"/>
          <w:sz w:val="24"/>
        </w:rPr>
        <w:t>住          所：</w:t>
      </w:r>
      <w:r>
        <w:rPr>
          <w:rFonts w:hint="eastAsia" w:asciiTheme="minorEastAsia" w:hAnsiTheme="minorEastAsia" w:eastAsiaTheme="minorEastAsia"/>
          <w:sz w:val="24"/>
        </w:rPr>
        <w:t>杭州市滨江区丹枫路799号</w:t>
      </w:r>
    </w:p>
    <w:p>
      <w:pPr>
        <w:spacing w:line="460" w:lineRule="exact"/>
        <w:ind w:firstLine="480" w:firstLineChars="200"/>
        <w:rPr>
          <w:rFonts w:ascii="宋体" w:hAnsi="宋体" w:cs="Arial"/>
          <w:sz w:val="24"/>
        </w:rPr>
      </w:pPr>
      <w:r>
        <w:rPr>
          <w:rFonts w:hint="eastAsia" w:ascii="宋体" w:hAnsi="宋体" w:cs="Arial"/>
          <w:sz w:val="24"/>
        </w:rPr>
        <w:t>(二)申请执行人</w:t>
      </w:r>
    </w:p>
    <w:p>
      <w:pPr>
        <w:spacing w:line="460" w:lineRule="exact"/>
        <w:ind w:firstLine="480" w:firstLineChars="200"/>
        <w:rPr>
          <w:rFonts w:ascii="宋体" w:hAnsi="宋体"/>
          <w:sz w:val="24"/>
        </w:rPr>
      </w:pPr>
      <w:r>
        <w:rPr>
          <w:rFonts w:hint="eastAsia" w:ascii="宋体" w:hAnsi="宋体" w:cs="Arial"/>
          <w:sz w:val="24"/>
        </w:rPr>
        <w:t>浙江香溢元泰典当有限责任公司</w:t>
      </w:r>
    </w:p>
    <w:p>
      <w:pPr>
        <w:spacing w:line="460" w:lineRule="exact"/>
        <w:ind w:firstLine="480" w:firstLineChars="200"/>
        <w:rPr>
          <w:rFonts w:ascii="宋体" w:hAnsi="宋体"/>
          <w:i/>
          <w:color w:val="FF00FF"/>
          <w:sz w:val="24"/>
          <w:szCs w:val="21"/>
        </w:rPr>
      </w:pPr>
      <w:r>
        <w:rPr>
          <w:rFonts w:hint="eastAsia" w:ascii="宋体" w:hAnsi="宋体" w:cs="Arial"/>
          <w:sz w:val="24"/>
        </w:rPr>
        <w:t>(三)被执行人</w:t>
      </w:r>
    </w:p>
    <w:p>
      <w:pPr>
        <w:spacing w:line="460" w:lineRule="exact"/>
        <w:ind w:firstLine="480" w:firstLineChars="200"/>
        <w:rPr>
          <w:rFonts w:ascii="宋体" w:hAnsi="宋体" w:cs="Arial"/>
          <w:sz w:val="24"/>
        </w:rPr>
      </w:pPr>
      <w:r>
        <w:rPr>
          <w:rFonts w:hint="eastAsia" w:ascii="宋体" w:hAnsi="宋体" w:cs="Arial"/>
          <w:sz w:val="24"/>
        </w:rPr>
        <w:t>俞海敏</w:t>
      </w:r>
    </w:p>
    <w:p>
      <w:pPr>
        <w:tabs>
          <w:tab w:val="left" w:pos="11988"/>
        </w:tabs>
        <w:spacing w:line="500" w:lineRule="exact"/>
        <w:ind w:left="3959" w:leftChars="228" w:hanging="3480" w:hangingChars="1450"/>
        <w:rPr>
          <w:rFonts w:ascii="宋体" w:hAnsi="宋体" w:cs="Arial"/>
          <w:sz w:val="24"/>
        </w:rPr>
      </w:pPr>
      <w:r>
        <w:rPr>
          <w:rFonts w:hint="eastAsia" w:ascii="宋体" w:hAnsi="宋体" w:cs="Arial"/>
          <w:sz w:val="24"/>
        </w:rPr>
        <w:t>(四)其他评估报告使用人</w:t>
      </w:r>
    </w:p>
    <w:p>
      <w:pPr>
        <w:spacing w:line="460" w:lineRule="exact"/>
        <w:ind w:firstLine="480" w:firstLineChars="200"/>
        <w:rPr>
          <w:rFonts w:ascii="宋体" w:hAnsi="宋体"/>
          <w:sz w:val="24"/>
        </w:rPr>
      </w:pPr>
      <w:r>
        <w:rPr>
          <w:rFonts w:hint="eastAsia" w:ascii="宋体" w:hAnsi="宋体"/>
          <w:sz w:val="24"/>
        </w:rPr>
        <w:t>本评估报告的使用权归委托人所有。</w:t>
      </w:r>
    </w:p>
    <w:p>
      <w:pPr>
        <w:spacing w:line="460" w:lineRule="exact"/>
        <w:ind w:firstLine="480" w:firstLineChars="200"/>
        <w:rPr>
          <w:rFonts w:ascii="宋体" w:hAnsi="宋体"/>
          <w:sz w:val="24"/>
        </w:rPr>
      </w:pPr>
      <w:r>
        <w:rPr>
          <w:rFonts w:hint="eastAsia" w:ascii="宋体" w:hAnsi="宋体"/>
          <w:sz w:val="24"/>
        </w:rPr>
        <w:t>本评估报告的其他使用者限制为：国家法律、法规规定的评估报告使用人。</w:t>
      </w:r>
    </w:p>
    <w:p>
      <w:pPr>
        <w:pStyle w:val="3"/>
        <w:spacing w:before="120" w:after="120" w:line="460" w:lineRule="exact"/>
        <w:ind w:firstLine="480" w:firstLineChars="200"/>
        <w:rPr>
          <w:rFonts w:ascii="黑体" w:hAnsi="宋体"/>
          <w:b w:val="0"/>
          <w:sz w:val="24"/>
          <w:szCs w:val="24"/>
        </w:rPr>
      </w:pPr>
      <w:bookmarkStart w:id="88" w:name="_Toc7112"/>
      <w:bookmarkStart w:id="89" w:name="_Toc15757"/>
      <w:bookmarkStart w:id="90" w:name="_Toc32670"/>
      <w:bookmarkStart w:id="91" w:name="_Toc4006"/>
      <w:bookmarkStart w:id="92" w:name="_Toc6330"/>
      <w:bookmarkStart w:id="93" w:name="_Toc11831"/>
      <w:bookmarkStart w:id="94" w:name="_Toc16059"/>
      <w:bookmarkStart w:id="95" w:name="_Toc32"/>
      <w:bookmarkStart w:id="96" w:name="_Toc487341268"/>
      <w:bookmarkStart w:id="97" w:name="_Toc12935"/>
      <w:bookmarkStart w:id="98" w:name="_Toc438472932"/>
      <w:bookmarkStart w:id="99" w:name="_Toc496879650"/>
      <w:bookmarkStart w:id="100" w:name="_Toc3239"/>
      <w:bookmarkStart w:id="101" w:name="_Toc223322443"/>
      <w:bookmarkStart w:id="102" w:name="_Toc9861"/>
      <w:bookmarkStart w:id="103" w:name="_Toc30787"/>
      <w:bookmarkStart w:id="104" w:name="_Toc484924568"/>
      <w:bookmarkStart w:id="105" w:name="_Toc23082"/>
      <w:bookmarkStart w:id="106" w:name="_Toc3941"/>
      <w:bookmarkStart w:id="107" w:name="_Toc19910"/>
      <w:bookmarkStart w:id="108" w:name="_Toc28425"/>
      <w:r>
        <w:rPr>
          <w:rFonts w:hint="eastAsia" w:ascii="黑体" w:hAnsi="宋体"/>
          <w:b w:val="0"/>
          <w:sz w:val="24"/>
          <w:szCs w:val="24"/>
        </w:rPr>
        <w:t>二、评估目的</w:t>
      </w:r>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pPr>
        <w:pStyle w:val="12"/>
        <w:snapToGrid w:val="0"/>
        <w:spacing w:line="460" w:lineRule="exact"/>
        <w:ind w:firstLine="480" w:firstLineChars="200"/>
        <w:rPr>
          <w:i/>
          <w:color w:val="FF00FF"/>
        </w:rPr>
      </w:pPr>
      <w:r>
        <w:rPr>
          <w:rFonts w:hint="eastAsia"/>
        </w:rPr>
        <w:t>根据《杭州市滨江区人民法院资产评估委托书》（[2018]浙0108执2100号），本次评估目的系为</w:t>
      </w:r>
      <w:r>
        <w:rPr>
          <w:rFonts w:hint="eastAsia" w:cs="Arial"/>
        </w:rPr>
        <w:t>司法拍卖提供价值参考</w:t>
      </w:r>
      <w:r>
        <w:rPr>
          <w:rFonts w:hint="eastAsia"/>
        </w:rPr>
        <w:t>。</w:t>
      </w:r>
    </w:p>
    <w:p>
      <w:pPr>
        <w:pStyle w:val="3"/>
        <w:spacing w:before="120" w:after="120" w:line="460" w:lineRule="exact"/>
        <w:ind w:firstLine="480" w:firstLineChars="200"/>
        <w:rPr>
          <w:rFonts w:ascii="黑体" w:hAnsi="宋体"/>
          <w:b w:val="0"/>
          <w:sz w:val="24"/>
          <w:szCs w:val="24"/>
        </w:rPr>
      </w:pPr>
      <w:bookmarkStart w:id="109" w:name="_Toc223322444"/>
      <w:bookmarkStart w:id="110" w:name="_Toc31357"/>
      <w:bookmarkStart w:id="111" w:name="_Toc496879651"/>
      <w:bookmarkStart w:id="112" w:name="_Toc12861"/>
      <w:bookmarkStart w:id="113" w:name="_Toc19945"/>
      <w:bookmarkStart w:id="114" w:name="_Toc23567"/>
      <w:bookmarkStart w:id="115" w:name="_Toc2904"/>
      <w:bookmarkStart w:id="116" w:name="_Toc9838"/>
      <w:bookmarkStart w:id="117" w:name="_Toc12770"/>
      <w:bookmarkStart w:id="118" w:name="_Toc30663"/>
      <w:bookmarkStart w:id="119" w:name="_Toc24890"/>
      <w:bookmarkStart w:id="120" w:name="_Toc487341269"/>
      <w:bookmarkStart w:id="121" w:name="_Toc484924569"/>
      <w:bookmarkStart w:id="122" w:name="_Toc13636"/>
      <w:bookmarkStart w:id="123" w:name="_Toc8423"/>
      <w:bookmarkStart w:id="124" w:name="_Toc23965"/>
      <w:bookmarkStart w:id="125" w:name="_Toc19060"/>
      <w:bookmarkStart w:id="126" w:name="_Toc438472933"/>
      <w:bookmarkStart w:id="127" w:name="_Toc31635"/>
      <w:bookmarkStart w:id="128" w:name="_Toc25283"/>
      <w:bookmarkStart w:id="129" w:name="_Toc13409"/>
      <w:r>
        <w:rPr>
          <w:rFonts w:hint="eastAsia" w:ascii="黑体" w:hAnsi="宋体"/>
          <w:b w:val="0"/>
          <w:sz w:val="24"/>
          <w:szCs w:val="24"/>
        </w:rPr>
        <w:t>三、评估对象及评估范围</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pPr>
        <w:pStyle w:val="12"/>
        <w:snapToGrid w:val="0"/>
        <w:spacing w:line="460" w:lineRule="exact"/>
        <w:ind w:firstLine="480" w:firstLineChars="200"/>
        <w:rPr>
          <w:rFonts w:cs="Arial"/>
        </w:rPr>
      </w:pPr>
      <w:bookmarkStart w:id="130" w:name="_Toc484924570"/>
      <w:bookmarkStart w:id="131" w:name="_Toc223322445"/>
      <w:bookmarkStart w:id="132" w:name="_Toc487341270"/>
      <w:r>
        <w:rPr>
          <w:rFonts w:hint="eastAsia" w:cs="Arial"/>
        </w:rPr>
        <w:t>评估对象为杭州市滨江区人民法院拟拍卖的单项资产，评估范围为杭州市余杭区仁和街道清合嘉园西区31幢3单元202室房地产及室内装修材料，包括房地产1套及瓷砖和电工套管等，详见评估明细表。截至评估基准日，委估房地产处于空置状态，委估室内装修材料未被使用但部分已拆封。</w:t>
      </w:r>
    </w:p>
    <w:p>
      <w:pPr>
        <w:pStyle w:val="12"/>
        <w:snapToGrid w:val="0"/>
        <w:spacing w:line="460" w:lineRule="exact"/>
        <w:ind w:firstLine="480" w:firstLineChars="200"/>
        <w:rPr>
          <w:rFonts w:cs="Arial"/>
        </w:rPr>
      </w:pPr>
      <w:r>
        <w:rPr>
          <w:rFonts w:hint="eastAsia" w:cs="Arial"/>
        </w:rPr>
        <w:t>委托评估对象和评估范围与经济行为涉及的评估对象和评估范围一致。</w:t>
      </w:r>
    </w:p>
    <w:p>
      <w:pPr>
        <w:pStyle w:val="12"/>
        <w:snapToGrid w:val="0"/>
        <w:spacing w:line="460" w:lineRule="exact"/>
        <w:ind w:firstLine="480" w:firstLineChars="200"/>
        <w:rPr>
          <w:rFonts w:cs="Arial"/>
        </w:rPr>
      </w:pPr>
      <w:r>
        <w:rPr>
          <w:rFonts w:hint="eastAsia" w:cs="Arial"/>
        </w:rPr>
        <w:t>(一)主要资产权益状况</w:t>
      </w:r>
    </w:p>
    <w:p>
      <w:pPr>
        <w:pStyle w:val="12"/>
        <w:snapToGrid w:val="0"/>
        <w:spacing w:line="460" w:lineRule="exact"/>
        <w:ind w:firstLine="480" w:firstLineChars="200"/>
        <w:rPr>
          <w:rFonts w:cs="Arial"/>
        </w:rPr>
      </w:pPr>
      <w:r>
        <w:rPr>
          <w:rFonts w:hint="eastAsia" w:cs="Arial"/>
        </w:rPr>
        <w:t>委估房地产不动产权证号为浙（2017）余杭区不动产权第0062699号，证载所有人为俞海敏，坐落位置为余杭区仁和街道清合嘉园西区31幢3单元202室，钢混结构，房屋总层数12层，所在层为2层，规划用途为住宅，权利性质是存量房产，建筑面积为208.58平方米，登记时间为2017年5月8日。</w:t>
      </w:r>
    </w:p>
    <w:p>
      <w:pPr>
        <w:pStyle w:val="12"/>
        <w:snapToGrid w:val="0"/>
        <w:spacing w:line="460" w:lineRule="exact"/>
        <w:ind w:firstLine="480" w:firstLineChars="200"/>
        <w:rPr>
          <w:rFonts w:cs="Arial"/>
        </w:rPr>
      </w:pPr>
      <w:r>
        <w:rPr>
          <w:rFonts w:hint="eastAsia" w:cs="Arial"/>
        </w:rPr>
        <w:t>评估对象土地使用权面积109.1平方米，用途为住宅，权利性质为国有出让，使用期限至2073年6月14日。</w:t>
      </w:r>
    </w:p>
    <w:p>
      <w:pPr>
        <w:pStyle w:val="12"/>
        <w:snapToGrid w:val="0"/>
        <w:spacing w:line="460" w:lineRule="exact"/>
        <w:ind w:firstLine="480" w:firstLineChars="200"/>
        <w:rPr>
          <w:rFonts w:cs="Arial"/>
        </w:rPr>
      </w:pPr>
      <w:r>
        <w:rPr>
          <w:rFonts w:hint="eastAsia" w:cs="Arial"/>
        </w:rPr>
        <w:t>根据《杭州市不动产权属信息查询记录》，至价值时点，评估对象已设定他项权利，有他项权利尚未注销。抵押权人浙江香溢元泰典当有限责任公司，他项权证号为浙（2017）余杭区不动产证明第0161418号，债权数额260万元，抵押方式为最高额抵押，登记时间2017年11月15日，债务履行期限为2017年11月14日起2018年5月13日止。</w:t>
      </w:r>
    </w:p>
    <w:p>
      <w:pPr>
        <w:pStyle w:val="12"/>
        <w:snapToGrid w:val="0"/>
        <w:spacing w:line="460" w:lineRule="exact"/>
        <w:ind w:firstLine="480" w:firstLineChars="200"/>
        <w:rPr>
          <w:rFonts w:cs="Arial"/>
        </w:rPr>
      </w:pPr>
      <w:r>
        <w:rPr>
          <w:rFonts w:hint="eastAsia" w:cs="Arial"/>
        </w:rPr>
        <w:t>根据YQ20181023-0016029《杭州市不动产权属信息查询记录》记载至价值时点，评估对象房产有查封，有抵押；宗地：无查封，无抵押。查封记录如下表所示：</w:t>
      </w:r>
    </w:p>
    <w:tbl>
      <w:tblPr>
        <w:tblStyle w:val="40"/>
        <w:tblW w:w="8738" w:type="dxa"/>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71"/>
        <w:gridCol w:w="3027"/>
        <w:gridCol w:w="5240"/>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337" w:hRule="atLeast"/>
        </w:trPr>
        <w:tc>
          <w:tcPr>
            <w:tcW w:w="471" w:type="dxa"/>
            <w:vMerge w:val="restart"/>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1</w:t>
            </w:r>
          </w:p>
        </w:tc>
        <w:tc>
          <w:tcPr>
            <w:tcW w:w="3027"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查封文件及文号</w:t>
            </w:r>
          </w:p>
        </w:tc>
        <w:tc>
          <w:tcPr>
            <w:tcW w:w="5240"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（2017）浙0105民初12524号</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327" w:hRule="atLeast"/>
        </w:trPr>
        <w:tc>
          <w:tcPr>
            <w:tcW w:w="471" w:type="dxa"/>
            <w:vMerge w:val="continue"/>
            <w:tcBorders>
              <w:tl2br w:val="nil"/>
              <w:tr2bl w:val="nil"/>
            </w:tcBorders>
            <w:vAlign w:val="center"/>
          </w:tcPr>
          <w:p>
            <w:pPr>
              <w:widowControl/>
              <w:spacing w:before="0" w:line="240" w:lineRule="auto"/>
              <w:jc w:val="center"/>
              <w:textAlignment w:val="bottom"/>
              <w:rPr>
                <w:rFonts w:cs="宋体"/>
                <w:color w:val="000000"/>
                <w:lang w:bidi="ar"/>
              </w:rPr>
            </w:pPr>
          </w:p>
        </w:tc>
        <w:tc>
          <w:tcPr>
            <w:tcW w:w="3027"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查封机关</w:t>
            </w:r>
          </w:p>
        </w:tc>
        <w:tc>
          <w:tcPr>
            <w:tcW w:w="5240"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拱墅区人民法院</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337" w:hRule="atLeast"/>
        </w:trPr>
        <w:tc>
          <w:tcPr>
            <w:tcW w:w="471" w:type="dxa"/>
            <w:vMerge w:val="continue"/>
            <w:tcBorders>
              <w:tl2br w:val="nil"/>
              <w:tr2bl w:val="nil"/>
            </w:tcBorders>
            <w:vAlign w:val="center"/>
          </w:tcPr>
          <w:p>
            <w:pPr>
              <w:widowControl/>
              <w:spacing w:before="0" w:line="240" w:lineRule="auto"/>
              <w:jc w:val="center"/>
              <w:textAlignment w:val="bottom"/>
              <w:rPr>
                <w:rFonts w:cs="宋体"/>
                <w:color w:val="000000"/>
                <w:lang w:bidi="ar"/>
              </w:rPr>
            </w:pPr>
          </w:p>
        </w:tc>
        <w:tc>
          <w:tcPr>
            <w:tcW w:w="3027"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查封期限</w:t>
            </w:r>
          </w:p>
        </w:tc>
        <w:tc>
          <w:tcPr>
            <w:tcW w:w="5240"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2017年12月22日至2020年12月21日</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357" w:hRule="atLeast"/>
        </w:trPr>
        <w:tc>
          <w:tcPr>
            <w:tcW w:w="471" w:type="dxa"/>
            <w:vMerge w:val="restart"/>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2</w:t>
            </w:r>
          </w:p>
        </w:tc>
        <w:tc>
          <w:tcPr>
            <w:tcW w:w="3027"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查封文件及文号</w:t>
            </w:r>
          </w:p>
        </w:tc>
        <w:tc>
          <w:tcPr>
            <w:tcW w:w="5240"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（2018）浙0108执2100号</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347" w:hRule="atLeast"/>
        </w:trPr>
        <w:tc>
          <w:tcPr>
            <w:tcW w:w="471" w:type="dxa"/>
            <w:vMerge w:val="continue"/>
            <w:tcBorders>
              <w:tl2br w:val="nil"/>
              <w:tr2bl w:val="nil"/>
            </w:tcBorders>
            <w:vAlign w:val="center"/>
          </w:tcPr>
          <w:p>
            <w:pPr>
              <w:widowControl/>
              <w:spacing w:before="0" w:line="240" w:lineRule="auto"/>
              <w:jc w:val="center"/>
              <w:textAlignment w:val="bottom"/>
              <w:rPr>
                <w:rFonts w:cs="宋体"/>
                <w:color w:val="000000"/>
                <w:lang w:bidi="ar"/>
              </w:rPr>
            </w:pPr>
          </w:p>
        </w:tc>
        <w:tc>
          <w:tcPr>
            <w:tcW w:w="3027"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查封机关</w:t>
            </w:r>
          </w:p>
        </w:tc>
        <w:tc>
          <w:tcPr>
            <w:tcW w:w="5240"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滨江区人民法院</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367" w:hRule="atLeast"/>
        </w:trPr>
        <w:tc>
          <w:tcPr>
            <w:tcW w:w="471" w:type="dxa"/>
            <w:vMerge w:val="continue"/>
            <w:tcBorders>
              <w:tl2br w:val="nil"/>
              <w:tr2bl w:val="nil"/>
            </w:tcBorders>
            <w:vAlign w:val="center"/>
          </w:tcPr>
          <w:p>
            <w:pPr>
              <w:widowControl/>
              <w:spacing w:before="0" w:line="240" w:lineRule="auto"/>
              <w:jc w:val="center"/>
              <w:textAlignment w:val="bottom"/>
              <w:rPr>
                <w:rFonts w:cs="宋体"/>
                <w:color w:val="000000"/>
                <w:lang w:bidi="ar"/>
              </w:rPr>
            </w:pPr>
          </w:p>
        </w:tc>
        <w:tc>
          <w:tcPr>
            <w:tcW w:w="3027"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查封期限</w:t>
            </w:r>
          </w:p>
        </w:tc>
        <w:tc>
          <w:tcPr>
            <w:tcW w:w="5240" w:type="dxa"/>
            <w:tcBorders>
              <w:tl2br w:val="nil"/>
              <w:tr2bl w:val="nil"/>
            </w:tcBorders>
            <w:vAlign w:val="center"/>
          </w:tcPr>
          <w:p>
            <w:pPr>
              <w:widowControl/>
              <w:spacing w:before="0" w:line="240" w:lineRule="auto"/>
              <w:jc w:val="center"/>
              <w:textAlignment w:val="bottom"/>
              <w:rPr>
                <w:rFonts w:cs="宋体"/>
                <w:color w:val="000000"/>
                <w:lang w:bidi="ar"/>
              </w:rPr>
            </w:pPr>
            <w:r>
              <w:rPr>
                <w:rFonts w:hint="eastAsia" w:cs="宋体"/>
                <w:color w:val="000000"/>
                <w:lang w:bidi="ar"/>
              </w:rPr>
              <w:t>2018年8月10日至2021年8月9日</w:t>
            </w:r>
          </w:p>
        </w:tc>
      </w:tr>
    </w:tbl>
    <w:p>
      <w:pPr>
        <w:pStyle w:val="12"/>
        <w:snapToGrid w:val="0"/>
        <w:spacing w:line="460" w:lineRule="exact"/>
        <w:ind w:firstLine="480" w:firstLineChars="200"/>
        <w:rPr>
          <w:rFonts w:cs="Arial"/>
        </w:rPr>
      </w:pPr>
      <w:r>
        <w:rPr>
          <w:rFonts w:hint="eastAsia" w:cs="Arial"/>
        </w:rPr>
        <w:t>除此之外，未发现评估对象存在其他抵押权等法定优先受偿款。</w:t>
      </w:r>
    </w:p>
    <w:p>
      <w:pPr>
        <w:pStyle w:val="12"/>
        <w:snapToGrid w:val="0"/>
        <w:spacing w:line="460" w:lineRule="exact"/>
        <w:ind w:firstLine="480" w:firstLineChars="200"/>
        <w:rPr>
          <w:rFonts w:cs="Arial"/>
        </w:rPr>
      </w:pPr>
      <w:r>
        <w:rPr>
          <w:rFonts w:hint="eastAsia" w:cs="Arial"/>
        </w:rPr>
        <w:t>(二)实物状况</w:t>
      </w:r>
    </w:p>
    <w:p>
      <w:pPr>
        <w:pStyle w:val="12"/>
        <w:snapToGrid w:val="0"/>
        <w:spacing w:line="460" w:lineRule="exact"/>
        <w:ind w:firstLine="480" w:firstLineChars="200"/>
        <w:rPr>
          <w:rFonts w:cs="Arial"/>
        </w:rPr>
      </w:pPr>
      <w:r>
        <w:rPr>
          <w:rFonts w:hint="eastAsia" w:cs="Arial"/>
        </w:rPr>
        <w:t>1.土地状况</w:t>
      </w:r>
    </w:p>
    <w:p>
      <w:pPr>
        <w:pStyle w:val="12"/>
        <w:snapToGrid w:val="0"/>
        <w:spacing w:line="460" w:lineRule="exact"/>
        <w:ind w:firstLine="480" w:firstLineChars="200"/>
        <w:rPr>
          <w:rFonts w:cs="Arial"/>
        </w:rPr>
      </w:pPr>
      <w:r>
        <w:rPr>
          <w:rFonts w:hint="eastAsia" w:cs="Arial"/>
        </w:rPr>
        <w:t>评估对象土地使用权为国有出让，土地用途为住宅，土地使用权面积为109.1平方米；土地四至为：东至仁河大道，西至獐山路，北至河滨街，南至和旺街。所属宗地形状呈较规则多边形，与周边高低落差较小，地势较为平坦。地质、水文状况好，四周为多为住宅区，无污染，绿化率较好，土地开发程度为宗地外通路、通电、通信、通上水、通下水宗地内场地平整，即“五通一平”。</w:t>
      </w:r>
    </w:p>
    <w:p>
      <w:pPr>
        <w:pStyle w:val="12"/>
        <w:snapToGrid w:val="0"/>
        <w:spacing w:line="460" w:lineRule="exact"/>
        <w:ind w:firstLine="480" w:firstLineChars="200"/>
        <w:rPr>
          <w:rFonts w:cs="Arial"/>
        </w:rPr>
      </w:pPr>
      <w:r>
        <w:rPr>
          <w:rFonts w:hint="eastAsia" w:cs="Arial"/>
        </w:rPr>
        <w:t>2．建筑物及室内装修材料状况</w:t>
      </w:r>
    </w:p>
    <w:p>
      <w:pPr>
        <w:pStyle w:val="12"/>
        <w:snapToGrid w:val="0"/>
        <w:spacing w:line="460" w:lineRule="exact"/>
        <w:ind w:firstLine="480" w:firstLineChars="200"/>
        <w:rPr>
          <w:rFonts w:cs="Arial"/>
        </w:rPr>
      </w:pPr>
      <w:r>
        <w:rPr>
          <w:rFonts w:hint="eastAsia" w:cs="Arial"/>
        </w:rPr>
        <w:t>评估对象建筑面积208.58平方米，建成年份约 2005 年，总层数为12 层，本房产位于第 2 层</w:t>
      </w:r>
      <w:r>
        <w:rPr>
          <w:rFonts w:hint="eastAsia" w:cs="Arial"/>
          <w:lang w:eastAsia="zh-CN"/>
        </w:rPr>
        <w:t>，该层未设置电梯，一梯两户</w:t>
      </w:r>
      <w:r>
        <w:rPr>
          <w:rFonts w:hint="eastAsia" w:cs="Arial"/>
        </w:rPr>
        <w:t>。南北朝向西边套；内部为四室二厅一厨二卫一阳台</w:t>
      </w:r>
      <w:r>
        <w:rPr>
          <w:rFonts w:hint="eastAsia" w:cs="Arial"/>
          <w:lang w:eastAsia="zh-CN"/>
        </w:rPr>
        <w:t>（阳台在北面）</w:t>
      </w:r>
      <w:r>
        <w:rPr>
          <w:rFonts w:hint="eastAsia" w:cs="Arial"/>
        </w:rPr>
        <w:t>。</w:t>
      </w:r>
      <w:r>
        <w:rPr>
          <w:rFonts w:hint="eastAsia" w:cs="Arial"/>
          <w:lang w:eastAsia="zh-CN"/>
        </w:rPr>
        <w:t>建筑物</w:t>
      </w:r>
      <w:r>
        <w:rPr>
          <w:rFonts w:hint="eastAsia" w:cs="Arial"/>
        </w:rPr>
        <w:t>外墙一层二层为石材</w:t>
      </w:r>
      <w:r>
        <w:rPr>
          <w:rFonts w:hint="eastAsia" w:cs="Arial"/>
          <w:lang w:eastAsia="zh-CN"/>
        </w:rPr>
        <w:t>，</w:t>
      </w:r>
      <w:r>
        <w:rPr>
          <w:rFonts w:hint="eastAsia" w:cs="Arial"/>
        </w:rPr>
        <w:t>三层以上为墙砖，墙体及屋面结构基本完好。</w:t>
      </w:r>
      <w:r>
        <w:rPr>
          <w:rFonts w:hint="eastAsia" w:cs="Arial"/>
          <w:lang w:eastAsia="zh-CN"/>
        </w:rPr>
        <w:t>房屋</w:t>
      </w:r>
      <w:r>
        <w:rPr>
          <w:rFonts w:hint="eastAsia" w:cs="Arial"/>
        </w:rPr>
        <w:t>内部为毛坯，房间通水电；入户为防盗门，无室内门，外窗为铝合金材质。装修材料堆放在大厅，主要为墙砖、地砖和PVC电工套管。装修材料尚未使用，部分包装已拆封。</w:t>
      </w:r>
    </w:p>
    <w:p>
      <w:pPr>
        <w:pStyle w:val="12"/>
        <w:snapToGrid w:val="0"/>
        <w:spacing w:line="460" w:lineRule="exact"/>
        <w:ind w:firstLine="480" w:firstLineChars="200"/>
        <w:rPr>
          <w:rFonts w:cs="Arial"/>
        </w:rPr>
      </w:pPr>
      <w:r>
        <w:rPr>
          <w:rFonts w:hint="eastAsia" w:cs="Arial"/>
        </w:rPr>
        <w:t>(三)房地产区位状况</w:t>
      </w:r>
    </w:p>
    <w:p>
      <w:pPr>
        <w:pStyle w:val="12"/>
        <w:snapToGrid w:val="0"/>
        <w:spacing w:line="460" w:lineRule="exact"/>
        <w:ind w:firstLine="480" w:firstLineChars="200"/>
        <w:rPr>
          <w:rFonts w:cs="Arial"/>
        </w:rPr>
      </w:pPr>
      <w:r>
        <w:rPr>
          <w:rFonts w:hint="eastAsia" w:cs="Arial"/>
        </w:rPr>
        <w:t>评估对象位于杭州市余杭区仁和街道清合嘉园西区，附近住宅区较多，周边住宅小区有金鼎阳光公寓、和平雅苑、仁惠家园等；周围环境较好，绿化率较高。周边主要道路为仁河大道，近G25高速公路入口，临近仁和镇政府公交站，有65、487、778、779d、1299路公交车经过，交通便捷。评估对象所在社区周边生活配套设施较完善，学校有仁和中心幼儿园、仁和中心小学、仁和中学等教育机构；评估对象附近超市有世纪华联超市(仁河大道)、杭州华联(东风村店)等；附近有余杭区农村商业银行(仁和支行)、中国农业银行(仁和支行)等银行或ATM服务，周边医疗配套设施有余杭区仁和街道社区卫生服务中心。</w:t>
      </w:r>
    </w:p>
    <w:p>
      <w:pPr>
        <w:pStyle w:val="3"/>
        <w:spacing w:before="120" w:after="120" w:line="460" w:lineRule="exact"/>
        <w:ind w:firstLine="480" w:firstLineChars="200"/>
        <w:rPr>
          <w:rFonts w:ascii="黑体" w:hAnsi="宋体"/>
          <w:b w:val="0"/>
          <w:sz w:val="24"/>
          <w:szCs w:val="24"/>
        </w:rPr>
      </w:pPr>
      <w:bookmarkStart w:id="133" w:name="_Toc28320"/>
      <w:bookmarkStart w:id="134" w:name="_Toc23318"/>
      <w:bookmarkStart w:id="135" w:name="_Toc438472934"/>
      <w:bookmarkStart w:id="136" w:name="_Toc20970"/>
      <w:bookmarkStart w:id="137" w:name="_Toc32252"/>
      <w:bookmarkStart w:id="138" w:name="_Toc9927"/>
      <w:bookmarkStart w:id="139" w:name="_Toc10681"/>
      <w:bookmarkStart w:id="140" w:name="_Toc27178"/>
      <w:bookmarkStart w:id="141" w:name="_Toc496879652"/>
      <w:bookmarkStart w:id="142" w:name="_Toc10297"/>
      <w:bookmarkStart w:id="143" w:name="_Toc18222"/>
      <w:bookmarkStart w:id="144" w:name="_Toc18031"/>
      <w:bookmarkStart w:id="145" w:name="_Toc3874"/>
      <w:bookmarkStart w:id="146" w:name="_Toc20587"/>
      <w:bookmarkStart w:id="147" w:name="_Toc7916"/>
      <w:bookmarkStart w:id="148" w:name="_Toc23608"/>
      <w:bookmarkStart w:id="149" w:name="_Toc32449"/>
      <w:bookmarkStart w:id="150" w:name="_Toc11202"/>
      <w:r>
        <w:rPr>
          <w:rFonts w:hint="eastAsia" w:ascii="黑体" w:hAnsi="宋体"/>
          <w:b w:val="0"/>
          <w:sz w:val="24"/>
          <w:szCs w:val="24"/>
        </w:rPr>
        <w:t>四、价值类型及其定义</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pPr>
        <w:pStyle w:val="12"/>
        <w:snapToGrid w:val="0"/>
        <w:spacing w:line="460" w:lineRule="exact"/>
        <w:ind w:firstLine="480" w:firstLineChars="200"/>
      </w:pPr>
      <w:r>
        <w:rPr>
          <w:rFonts w:hint="eastAsia"/>
        </w:rPr>
        <w:t>根据评估目的、市场条件及评估对象等因素，本评估项目选用的价值类型为市场价值。</w:t>
      </w:r>
    </w:p>
    <w:p>
      <w:pPr>
        <w:pStyle w:val="12"/>
        <w:snapToGrid w:val="0"/>
        <w:spacing w:line="460" w:lineRule="exact"/>
        <w:ind w:firstLine="480" w:firstLineChars="200"/>
      </w:pPr>
      <w:r>
        <w:rPr>
          <w:rFonts w:hint="eastAsia"/>
        </w:rPr>
        <w:t>市场价值是指自愿买方和自愿卖方在各自理性行事且未受任何强迫的情况下，评估对象在评估基准日进行正常公平交易的价值估计数额。</w:t>
      </w:r>
    </w:p>
    <w:p>
      <w:pPr>
        <w:pStyle w:val="3"/>
        <w:spacing w:before="120" w:after="120" w:line="460" w:lineRule="exact"/>
        <w:ind w:firstLine="480" w:firstLineChars="200"/>
        <w:rPr>
          <w:rFonts w:ascii="黑体" w:hAnsi="宋体"/>
          <w:b w:val="0"/>
          <w:sz w:val="24"/>
          <w:szCs w:val="24"/>
        </w:rPr>
      </w:pPr>
      <w:bookmarkStart w:id="151" w:name="_Toc6889"/>
      <w:bookmarkStart w:id="152" w:name="_Toc3152"/>
      <w:bookmarkStart w:id="153" w:name="_Toc10389"/>
      <w:bookmarkStart w:id="154" w:name="_Toc28030"/>
      <w:bookmarkStart w:id="155" w:name="_Toc19442"/>
      <w:bookmarkStart w:id="156" w:name="_Toc15731"/>
      <w:bookmarkStart w:id="157" w:name="_Toc5413"/>
      <w:bookmarkStart w:id="158" w:name="_Toc496879653"/>
      <w:bookmarkStart w:id="159" w:name="_Toc30906"/>
      <w:bookmarkStart w:id="160" w:name="_Toc17608"/>
      <w:bookmarkStart w:id="161" w:name="_Toc15559"/>
      <w:bookmarkStart w:id="162" w:name="_Toc14519"/>
      <w:bookmarkStart w:id="163" w:name="_Toc19546"/>
      <w:bookmarkStart w:id="164" w:name="_Toc223322446"/>
      <w:bookmarkStart w:id="165" w:name="_Toc487341271"/>
      <w:bookmarkStart w:id="166" w:name="_Toc28295"/>
      <w:bookmarkStart w:id="167" w:name="_Toc438472935"/>
      <w:bookmarkStart w:id="168" w:name="_Toc484924571"/>
      <w:bookmarkStart w:id="169" w:name="_Toc658"/>
      <w:bookmarkStart w:id="170" w:name="_Toc164"/>
      <w:bookmarkStart w:id="171" w:name="_Toc24663"/>
      <w:r>
        <w:rPr>
          <w:rFonts w:hint="eastAsia" w:ascii="黑体" w:hAnsi="宋体"/>
          <w:b w:val="0"/>
          <w:sz w:val="24"/>
          <w:szCs w:val="24"/>
        </w:rPr>
        <w:t>五、评估基准日</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pPr>
        <w:tabs>
          <w:tab w:val="left" w:pos="0"/>
        </w:tabs>
        <w:spacing w:line="460" w:lineRule="exact"/>
        <w:ind w:firstLine="480" w:firstLineChars="200"/>
        <w:rPr>
          <w:rFonts w:ascii="宋体" w:hAnsi="宋体" w:cs="Arial"/>
          <w:sz w:val="24"/>
        </w:rPr>
      </w:pPr>
      <w:r>
        <w:rPr>
          <w:rFonts w:hint="eastAsia" w:ascii="宋体" w:hAnsi="宋体" w:cs="Arial"/>
          <w:sz w:val="24"/>
        </w:rPr>
        <w:t>根据法院委托，评估基准日为2018年10月23日。</w:t>
      </w:r>
    </w:p>
    <w:p>
      <w:pPr>
        <w:pStyle w:val="3"/>
        <w:spacing w:before="120" w:after="120" w:line="460" w:lineRule="exact"/>
        <w:ind w:firstLine="480" w:firstLineChars="200"/>
        <w:rPr>
          <w:rFonts w:ascii="黑体" w:hAnsi="宋体"/>
          <w:b w:val="0"/>
          <w:sz w:val="24"/>
          <w:szCs w:val="24"/>
        </w:rPr>
      </w:pPr>
      <w:bookmarkStart w:id="172" w:name="_Toc1381"/>
      <w:bookmarkStart w:id="173" w:name="_Toc4423"/>
      <w:bookmarkStart w:id="174" w:name="_Toc17102"/>
      <w:bookmarkStart w:id="175" w:name="_Toc4949"/>
      <w:bookmarkStart w:id="176" w:name="_Toc223322447"/>
      <w:bookmarkStart w:id="177" w:name="_Toc3807"/>
      <w:bookmarkStart w:id="178" w:name="_Toc17362"/>
      <w:bookmarkStart w:id="179" w:name="_Toc4952"/>
      <w:bookmarkStart w:id="180" w:name="_Toc13951"/>
      <w:bookmarkStart w:id="181" w:name="_Toc484924572"/>
      <w:bookmarkStart w:id="182" w:name="_Toc31602"/>
      <w:bookmarkStart w:id="183" w:name="_Toc496879654"/>
      <w:bookmarkStart w:id="184" w:name="_Toc5527"/>
      <w:bookmarkStart w:id="185" w:name="_Toc28747"/>
      <w:bookmarkStart w:id="186" w:name="_Toc14672"/>
      <w:bookmarkStart w:id="187" w:name="_Toc487341272"/>
      <w:bookmarkStart w:id="188" w:name="_Toc438472936"/>
      <w:bookmarkStart w:id="189" w:name="_Toc22569"/>
      <w:bookmarkStart w:id="190" w:name="_Toc30634"/>
      <w:bookmarkStart w:id="191" w:name="_Toc10333"/>
      <w:bookmarkStart w:id="192" w:name="_Toc24475"/>
      <w:r>
        <w:rPr>
          <w:rFonts w:hint="eastAsia" w:ascii="黑体" w:hAnsi="宋体"/>
          <w:b w:val="0"/>
          <w:sz w:val="24"/>
          <w:szCs w:val="24"/>
        </w:rPr>
        <w:t>六、评估依据</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pPr>
        <w:spacing w:line="460" w:lineRule="exact"/>
        <w:ind w:firstLine="482" w:firstLineChars="200"/>
        <w:rPr>
          <w:rFonts w:ascii="宋体" w:hAnsi="宋体" w:cs="Arial"/>
          <w:b/>
          <w:sz w:val="24"/>
        </w:rPr>
      </w:pPr>
      <w:r>
        <w:rPr>
          <w:rFonts w:hint="eastAsia" w:ascii="宋体" w:hAnsi="宋体" w:cs="Arial"/>
          <w:b/>
          <w:sz w:val="24"/>
        </w:rPr>
        <w:t>(一) 法律依据</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《中华人民共和国资产评估法》(中华人民共和国主席令［2016］第46号)；</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《中华人民共和国城市房地产管理法》（中华人民共和国主席令〔2009〕第18号修正）；</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《中华人民共和国土地管理法》（中华人民共和国主席令第28号）；</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《中华人民共和国土地管理法实施条例》（中华人民共和国国务院令第256号）；</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《最高人民法院关于人民法院民事执行中拍卖、变卖财产的规定》（法释[2004]16号）；</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《最高人民法院关于人民法院网络司法拍卖若干问题的规定》（法释〔2016〕18号）；</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《中华人民共和国增值税暂行条例》(中华人民共和国国务院令[2017]第691号)；</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《中华人民共和国增值税暂行条例实施细则》（财政部、国家税务总局令[2011]第65号）；</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《关于调整增值税税率的通知》（财政部、国家税务总局 财税[2018]32号）</w:t>
      </w:r>
    </w:p>
    <w:p>
      <w:pPr>
        <w:numPr>
          <w:ilvl w:val="0"/>
          <w:numId w:val="2"/>
        </w:numPr>
        <w:snapToGrid w:val="0"/>
        <w:spacing w:line="460" w:lineRule="exact"/>
        <w:ind w:left="0" w:firstLine="480"/>
        <w:rPr>
          <w:rFonts w:ascii="宋体" w:hAnsi="宋体" w:cs="Arial"/>
          <w:sz w:val="24"/>
        </w:rPr>
      </w:pPr>
      <w:r>
        <w:rPr>
          <w:rFonts w:hint="eastAsia" w:ascii="宋体" w:hAnsi="宋体" w:cs="Arial"/>
          <w:sz w:val="24"/>
        </w:rPr>
        <w:t>其他与资产评估有关的法律、法规等。</w:t>
      </w:r>
    </w:p>
    <w:p>
      <w:pPr>
        <w:tabs>
          <w:tab w:val="left" w:pos="0"/>
        </w:tabs>
        <w:spacing w:line="460" w:lineRule="exact"/>
        <w:ind w:firstLine="482" w:firstLineChars="200"/>
        <w:rPr>
          <w:rFonts w:ascii="宋体" w:hAnsi="宋体" w:cs="Arial"/>
          <w:b/>
          <w:sz w:val="24"/>
        </w:rPr>
      </w:pPr>
      <w:r>
        <w:rPr>
          <w:rFonts w:hint="eastAsia" w:ascii="宋体" w:hAnsi="宋体" w:cs="Arial"/>
          <w:b/>
          <w:sz w:val="24"/>
        </w:rPr>
        <w:t xml:space="preserve"> (二) 准则依据</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《资产评估基本准则》（财资〔2017〕43号）；</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《资产评估职业道德准则》（中评协〔2017〕30号）；</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《资产评估执业准则——资产评估委托合同》（中评协〔2017〕33号）；</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《资产评估执业准则</w:t>
      </w:r>
      <w:r>
        <w:rPr>
          <w:rFonts w:cs="Arial"/>
        </w:rPr>
        <w:t>—</w:t>
      </w:r>
      <w:r>
        <w:rPr>
          <w:rFonts w:hint="eastAsia" w:cs="Arial"/>
        </w:rPr>
        <w:t>资产评估程序》(中评协〔2017〕31号 )；</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《资产评估执业准则—不动产》(中评协〔2017〕38号)；</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《资产评估执业准则</w:t>
      </w:r>
      <w:r>
        <w:rPr>
          <w:rFonts w:cs="Arial"/>
        </w:rPr>
        <w:t>—</w:t>
      </w:r>
      <w:r>
        <w:rPr>
          <w:rFonts w:hint="eastAsia" w:cs="Arial"/>
        </w:rPr>
        <w:t>资产评估报告》(中评协〔2017〕32号)；</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《资产评估执业准则</w:t>
      </w:r>
      <w:r>
        <w:rPr>
          <w:rFonts w:cs="Arial"/>
        </w:rPr>
        <w:t>—</w:t>
      </w:r>
      <w:r>
        <w:rPr>
          <w:rFonts w:hint="eastAsia" w:cs="Arial"/>
        </w:rPr>
        <w:t>资产评估档案》(中评协〔2017〕34号)；</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《资产评估机构业务质量控制指南》(中评协〔2017〕46号)；</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《资产评估价值类型指导意见》(中评协〔2017〕47号 )；</w:t>
      </w:r>
    </w:p>
    <w:p>
      <w:pPr>
        <w:pStyle w:val="12"/>
        <w:numPr>
          <w:ilvl w:val="0"/>
          <w:numId w:val="3"/>
        </w:numPr>
        <w:tabs>
          <w:tab w:val="left" w:pos="0"/>
        </w:tabs>
        <w:snapToGrid w:val="0"/>
        <w:spacing w:line="460" w:lineRule="exact"/>
        <w:ind w:left="0" w:firstLine="480" w:firstLineChars="200"/>
        <w:rPr>
          <w:rFonts w:cs="Arial"/>
        </w:rPr>
      </w:pPr>
      <w:r>
        <w:rPr>
          <w:rFonts w:hint="eastAsia" w:cs="Arial"/>
        </w:rPr>
        <w:t>《资产评估对象法律权属指导意见》(中评协〔2017〕48号 )。</w:t>
      </w:r>
    </w:p>
    <w:p>
      <w:pPr>
        <w:tabs>
          <w:tab w:val="left" w:pos="0"/>
        </w:tabs>
        <w:spacing w:line="460" w:lineRule="exact"/>
        <w:ind w:firstLine="482" w:firstLineChars="200"/>
        <w:rPr>
          <w:rFonts w:ascii="宋体" w:hAnsi="宋体" w:cs="Arial"/>
          <w:b/>
          <w:sz w:val="24"/>
        </w:rPr>
      </w:pPr>
      <w:r>
        <w:rPr>
          <w:rFonts w:ascii="宋体" w:hAnsi="宋体" w:cs="Arial"/>
          <w:b/>
          <w:sz w:val="24"/>
        </w:rPr>
        <w:t>(</w:t>
      </w:r>
      <w:r>
        <w:rPr>
          <w:rFonts w:hint="eastAsia" w:ascii="宋体" w:hAnsi="宋体" w:cs="Arial"/>
          <w:b/>
          <w:sz w:val="24"/>
        </w:rPr>
        <w:t>三</w:t>
      </w:r>
      <w:r>
        <w:rPr>
          <w:rFonts w:ascii="宋体" w:hAnsi="宋体" w:cs="Arial"/>
          <w:b/>
          <w:sz w:val="24"/>
        </w:rPr>
        <w:t xml:space="preserve">) </w:t>
      </w:r>
      <w:r>
        <w:rPr>
          <w:rFonts w:hint="eastAsia" w:ascii="宋体" w:hAnsi="宋体" w:cs="Arial"/>
          <w:b/>
          <w:sz w:val="24"/>
        </w:rPr>
        <w:t>权属依据</w:t>
      </w:r>
    </w:p>
    <w:p>
      <w:pPr>
        <w:pStyle w:val="12"/>
        <w:numPr>
          <w:ilvl w:val="255"/>
          <w:numId w:val="0"/>
        </w:numPr>
        <w:snapToGrid w:val="0"/>
        <w:spacing w:line="460" w:lineRule="exact"/>
        <w:ind w:left="504"/>
        <w:rPr>
          <w:rFonts w:cs="Arial"/>
        </w:rPr>
      </w:pPr>
      <w:r>
        <w:rPr>
          <w:rFonts w:hint="eastAsia" w:cs="Arial"/>
        </w:rPr>
        <w:t>1.《杭州市滨江区人民法院资产评估委托书》（[2018]浙0108执2100号）；</w:t>
      </w:r>
    </w:p>
    <w:p>
      <w:pPr>
        <w:pStyle w:val="12"/>
        <w:numPr>
          <w:ilvl w:val="255"/>
          <w:numId w:val="0"/>
        </w:numPr>
        <w:snapToGrid w:val="0"/>
        <w:spacing w:line="460" w:lineRule="exact"/>
        <w:ind w:left="504"/>
        <w:rPr>
          <w:rFonts w:cs="Arial"/>
        </w:rPr>
      </w:pPr>
      <w:r>
        <w:rPr>
          <w:rFonts w:hint="eastAsia" w:cs="Arial"/>
        </w:rPr>
        <w:t>2.《杭州市不动产权属信息查询记录》（YQ20181023-0016029）。</w:t>
      </w:r>
    </w:p>
    <w:p>
      <w:pPr>
        <w:tabs>
          <w:tab w:val="left" w:pos="0"/>
        </w:tabs>
        <w:spacing w:line="460" w:lineRule="exact"/>
        <w:ind w:firstLine="482" w:firstLineChars="200"/>
        <w:rPr>
          <w:rFonts w:ascii="宋体" w:hAnsi="宋体" w:cs="Arial"/>
          <w:b/>
          <w:sz w:val="24"/>
        </w:rPr>
      </w:pPr>
      <w:r>
        <w:rPr>
          <w:rFonts w:ascii="宋体" w:hAnsi="宋体" w:cs="Arial"/>
          <w:b/>
          <w:sz w:val="24"/>
        </w:rPr>
        <w:t>(</w:t>
      </w:r>
      <w:r>
        <w:rPr>
          <w:rFonts w:hint="eastAsia" w:ascii="宋体" w:hAnsi="宋体" w:cs="Arial"/>
          <w:b/>
          <w:sz w:val="24"/>
        </w:rPr>
        <w:t>四</w:t>
      </w:r>
      <w:r>
        <w:rPr>
          <w:rFonts w:ascii="宋体" w:hAnsi="宋体" w:cs="Arial"/>
          <w:b/>
          <w:sz w:val="24"/>
        </w:rPr>
        <w:t xml:space="preserve">) </w:t>
      </w:r>
      <w:r>
        <w:rPr>
          <w:rFonts w:hint="eastAsia" w:ascii="宋体" w:hAnsi="宋体" w:cs="Arial"/>
          <w:b/>
          <w:sz w:val="24"/>
        </w:rPr>
        <w:t>取价依据及参考资料</w:t>
      </w:r>
    </w:p>
    <w:p>
      <w:pPr>
        <w:pStyle w:val="12"/>
        <w:numPr>
          <w:ilvl w:val="0"/>
          <w:numId w:val="4"/>
        </w:numPr>
        <w:snapToGrid w:val="0"/>
        <w:spacing w:line="460" w:lineRule="exact"/>
        <w:rPr>
          <w:rFonts w:cs="Arial"/>
        </w:rPr>
      </w:pPr>
      <w:bookmarkStart w:id="193" w:name="_Toc484924573"/>
      <w:bookmarkStart w:id="194" w:name="_Toc487341273"/>
      <w:bookmarkStart w:id="195" w:name="_Toc223322448"/>
      <w:r>
        <w:rPr>
          <w:rFonts w:hint="eastAsia" w:cs="Arial"/>
        </w:rPr>
        <w:t>评估专业人员现场勘查以及询价取得的资料；</w:t>
      </w:r>
    </w:p>
    <w:p>
      <w:pPr>
        <w:pStyle w:val="12"/>
        <w:numPr>
          <w:ilvl w:val="0"/>
          <w:numId w:val="4"/>
        </w:numPr>
        <w:snapToGrid w:val="0"/>
        <w:spacing w:line="460" w:lineRule="exact"/>
        <w:rPr>
          <w:rFonts w:cs="Arial"/>
        </w:rPr>
      </w:pPr>
      <w:r>
        <w:rPr>
          <w:rFonts w:hint="eastAsia" w:cs="Arial"/>
        </w:rPr>
        <w:t>评估基准日余杭区房地产市场交易价格资料；</w:t>
      </w:r>
    </w:p>
    <w:p>
      <w:pPr>
        <w:pStyle w:val="12"/>
        <w:numPr>
          <w:ilvl w:val="0"/>
          <w:numId w:val="4"/>
        </w:numPr>
        <w:snapToGrid w:val="0"/>
        <w:spacing w:line="460" w:lineRule="exact"/>
        <w:rPr>
          <w:rFonts w:cs="Arial"/>
        </w:rPr>
      </w:pPr>
      <w:r>
        <w:rPr>
          <w:rFonts w:hint="eastAsia" w:cs="Arial"/>
        </w:rPr>
        <w:t>互联网查询价格信息；</w:t>
      </w:r>
    </w:p>
    <w:p>
      <w:pPr>
        <w:pStyle w:val="12"/>
        <w:numPr>
          <w:ilvl w:val="0"/>
          <w:numId w:val="4"/>
        </w:numPr>
        <w:snapToGrid w:val="0"/>
        <w:spacing w:line="460" w:lineRule="exact"/>
        <w:rPr>
          <w:rFonts w:cs="Arial"/>
        </w:rPr>
      </w:pPr>
      <w:r>
        <w:rPr>
          <w:rFonts w:hint="eastAsia" w:cs="Arial"/>
        </w:rPr>
        <w:t>司法拍卖案例信息；</w:t>
      </w:r>
    </w:p>
    <w:p>
      <w:pPr>
        <w:pStyle w:val="12"/>
        <w:numPr>
          <w:ilvl w:val="0"/>
          <w:numId w:val="4"/>
        </w:numPr>
        <w:snapToGrid w:val="0"/>
        <w:spacing w:line="460" w:lineRule="exact"/>
        <w:rPr>
          <w:rFonts w:cs="Arial"/>
        </w:rPr>
      </w:pPr>
      <w:r>
        <w:rPr>
          <w:rFonts w:hint="eastAsia" w:cs="Arial"/>
        </w:rPr>
        <w:t>评估专业人员现场查勘和市场调查取得的与评估相关的其他资料。</w:t>
      </w:r>
    </w:p>
    <w:p>
      <w:pPr>
        <w:pStyle w:val="3"/>
        <w:spacing w:before="120" w:after="120" w:line="460" w:lineRule="exact"/>
        <w:ind w:firstLine="480" w:firstLineChars="200"/>
        <w:rPr>
          <w:rFonts w:ascii="黑体" w:hAnsi="宋体" w:cs="Arial"/>
          <w:b w:val="0"/>
          <w:sz w:val="24"/>
          <w:szCs w:val="24"/>
        </w:rPr>
      </w:pPr>
      <w:bookmarkStart w:id="196" w:name="_Toc18173"/>
      <w:bookmarkStart w:id="197" w:name="_Toc1346"/>
      <w:bookmarkStart w:id="198" w:name="_Toc23410"/>
      <w:bookmarkStart w:id="199" w:name="_Toc1988"/>
      <w:bookmarkStart w:id="200" w:name="_Toc2335"/>
      <w:bookmarkStart w:id="201" w:name="_Toc21043"/>
      <w:bookmarkStart w:id="202" w:name="_Toc28510"/>
      <w:bookmarkStart w:id="203" w:name="_Toc28994"/>
      <w:bookmarkStart w:id="204" w:name="_Toc14087"/>
      <w:bookmarkStart w:id="205" w:name="_Toc23217"/>
      <w:bookmarkStart w:id="206" w:name="_Toc19027"/>
      <w:bookmarkStart w:id="207" w:name="_Toc13085"/>
      <w:bookmarkStart w:id="208" w:name="_Toc10525"/>
      <w:bookmarkStart w:id="209" w:name="_Toc438472937"/>
      <w:bookmarkStart w:id="210" w:name="_Toc20335"/>
      <w:bookmarkStart w:id="211" w:name="_Toc496879655"/>
      <w:bookmarkStart w:id="212" w:name="_Toc20776"/>
      <w:bookmarkStart w:id="213" w:name="_Toc822"/>
      <w:r>
        <w:rPr>
          <w:rFonts w:hint="eastAsia" w:ascii="黑体" w:hAnsi="宋体" w:cs="Arial"/>
          <w:b w:val="0"/>
          <w:sz w:val="24"/>
          <w:szCs w:val="24"/>
        </w:rPr>
        <w:t>七、评估方法</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pPr>
        <w:pStyle w:val="12"/>
        <w:snapToGrid w:val="0"/>
        <w:spacing w:line="460" w:lineRule="exact"/>
        <w:ind w:firstLine="480" w:firstLineChars="200"/>
      </w:pPr>
      <w:r>
        <w:t>(</w:t>
      </w:r>
      <w:r>
        <w:rPr>
          <w:rFonts w:hint="eastAsia"/>
        </w:rPr>
        <w:t>一</w:t>
      </w:r>
      <w:r>
        <w:t xml:space="preserve">) </w:t>
      </w:r>
      <w:r>
        <w:rPr>
          <w:rFonts w:hint="eastAsia"/>
        </w:rPr>
        <w:t>评估方法的选择</w:t>
      </w:r>
    </w:p>
    <w:p>
      <w:pPr>
        <w:pStyle w:val="12"/>
        <w:snapToGrid w:val="0"/>
        <w:spacing w:line="460" w:lineRule="exact"/>
        <w:ind w:firstLine="480" w:firstLineChars="200"/>
      </w:pPr>
      <w:r>
        <w:rPr>
          <w:rFonts w:hint="eastAsia"/>
        </w:rPr>
        <w:t>根据评估目的、评估对象、价值类型、资料收集情况等相关条件，分析了市场法、收益法和成本法三种资产评估基本方法的适用性。</w:t>
      </w:r>
    </w:p>
    <w:p>
      <w:pPr>
        <w:pStyle w:val="12"/>
        <w:snapToGrid w:val="0"/>
        <w:spacing w:line="460" w:lineRule="exact"/>
        <w:ind w:firstLine="480" w:firstLineChars="200"/>
        <w:rPr>
          <w:rFonts w:hint="eastAsia" w:cs="Arial"/>
        </w:rPr>
      </w:pPr>
      <w:r>
        <w:rPr>
          <w:rFonts w:hint="eastAsia"/>
        </w:rPr>
        <w:t>纳入评估范围内的房地产规划用途为住宅，实际用途为住宅，评估对象周围住宅房地产出租活跃，故本次评估采用收益法进行测算。由于该房地产为整幢建筑中的单套房地产，从成本角度无法诠释评估对象正常市场价值，故无法采用成本法进行评估。经市场调查，该房地产所处区域内类似房地产交易较活跃，易于取得可比案例，故本次评估适用市场法进行评估</w:t>
      </w:r>
      <w:r>
        <w:rPr>
          <w:rFonts w:hint="eastAsia" w:cs="Arial"/>
        </w:rPr>
        <w:t>。</w:t>
      </w:r>
    </w:p>
    <w:p>
      <w:pPr>
        <w:pStyle w:val="12"/>
        <w:snapToGrid w:val="0"/>
        <w:spacing w:line="460" w:lineRule="exact"/>
        <w:ind w:firstLine="480" w:firstLineChars="200"/>
        <w:rPr>
          <w:rFonts w:cs="Arial"/>
        </w:rPr>
      </w:pPr>
      <w:r>
        <w:rPr>
          <w:rFonts w:hint="eastAsia" w:cs="Arial"/>
        </w:rPr>
        <w:t>对室内装修材料采用市场法进行评估。</w:t>
      </w:r>
    </w:p>
    <w:p>
      <w:pPr>
        <w:pStyle w:val="12"/>
        <w:snapToGrid w:val="0"/>
        <w:spacing w:line="460" w:lineRule="exact"/>
        <w:ind w:firstLine="480" w:firstLineChars="200"/>
      </w:pPr>
      <w:r>
        <w:rPr>
          <w:rFonts w:hint="eastAsia"/>
        </w:rPr>
        <w:t>(二)市场法简介</w:t>
      </w:r>
    </w:p>
    <w:p>
      <w:pPr>
        <w:pStyle w:val="12"/>
        <w:snapToGrid w:val="0"/>
        <w:spacing w:line="460" w:lineRule="exact"/>
        <w:ind w:firstLine="480" w:firstLineChars="200"/>
      </w:pPr>
      <w:r>
        <w:rPr>
          <w:rFonts w:hint="eastAsia"/>
        </w:rPr>
        <w:t>市场法是将评估对象与在评估基准日近期有过交易的类似资产进行比较，对类似资产的已知价格作适当的修正，以此估算评估对象价值的方法。具体步骤如下：</w:t>
      </w:r>
    </w:p>
    <w:p>
      <w:pPr>
        <w:pStyle w:val="12"/>
        <w:snapToGrid w:val="0"/>
        <w:spacing w:line="460" w:lineRule="exact"/>
        <w:ind w:firstLine="480" w:firstLineChars="200"/>
      </w:pPr>
      <w:r>
        <w:rPr>
          <w:rFonts w:hint="eastAsia"/>
        </w:rPr>
        <w:t>A. 参照物的选定</w:t>
      </w:r>
    </w:p>
    <w:p>
      <w:pPr>
        <w:pStyle w:val="12"/>
        <w:snapToGrid w:val="0"/>
        <w:spacing w:line="460" w:lineRule="exact"/>
        <w:ind w:firstLine="480" w:firstLineChars="200"/>
      </w:pPr>
      <w:r>
        <w:rPr>
          <w:rFonts w:hint="eastAsia"/>
        </w:rPr>
        <w:t>在进行市场调查的基础上，选择三宗近期交易的类似结构、同类地段、相同或相近用途的房地产作为参照物，再将上述参照物的交易价格统一调整为成交日一次付款、单位建筑面积上的人民币买卖交易价格。</w:t>
      </w:r>
    </w:p>
    <w:p>
      <w:pPr>
        <w:pStyle w:val="12"/>
        <w:snapToGrid w:val="0"/>
        <w:spacing w:line="460" w:lineRule="exact"/>
        <w:ind w:firstLine="480" w:firstLineChars="200"/>
      </w:pPr>
      <w:r>
        <w:rPr>
          <w:rFonts w:hint="eastAsia"/>
        </w:rPr>
        <w:t>B. 因素修正调整计算</w:t>
      </w:r>
    </w:p>
    <w:p>
      <w:pPr>
        <w:pStyle w:val="12"/>
        <w:snapToGrid w:val="0"/>
        <w:spacing w:line="460" w:lineRule="exact"/>
        <w:ind w:firstLine="480" w:firstLineChars="200"/>
      </w:pPr>
      <w:r>
        <w:rPr>
          <w:rFonts w:hint="eastAsia"/>
        </w:rPr>
        <w:t>根据待估房地产与参照物的交易情况、交易日期和房地产状况的不同，对参照物的价格进行修正，得出比准价格。具体修正因素可分为3类：交易情况修正、交易日期修正和不动产状况修正（分为区位状况修正、实物状况修正和权益状况修正）。修正计算公式为：</w:t>
      </w:r>
    </w:p>
    <w:p>
      <w:pPr>
        <w:pStyle w:val="12"/>
        <w:snapToGrid w:val="0"/>
        <w:spacing w:line="460" w:lineRule="exact"/>
        <w:ind w:firstLine="480" w:firstLineChars="200"/>
      </w:pPr>
      <w:r>
        <w:rPr>
          <w:rFonts w:hint="eastAsia"/>
        </w:rPr>
        <w:t>待估房地产比准价格＝参照物交易价格×交易情况修正系数×交易日期修正系数×不动产状况修正系数</w:t>
      </w:r>
    </w:p>
    <w:p>
      <w:pPr>
        <w:pStyle w:val="12"/>
        <w:snapToGrid w:val="0"/>
        <w:spacing w:line="460" w:lineRule="exact"/>
        <w:ind w:firstLine="480" w:firstLineChars="200"/>
      </w:pPr>
      <w:r>
        <w:rPr>
          <w:rFonts w:hint="eastAsia"/>
        </w:rPr>
        <w:t>a．市场交易情况修正，通过对交易案例交易情况的分析，剔除非正常的交易案例，测定各种特殊因素对正常房地产价格的影响程度，从而排除交易行为中的一些特殊因素所造成的交易价格偏差；</w:t>
      </w:r>
    </w:p>
    <w:p>
      <w:pPr>
        <w:pStyle w:val="12"/>
        <w:snapToGrid w:val="0"/>
        <w:spacing w:line="460" w:lineRule="exact"/>
        <w:ind w:firstLine="480" w:firstLineChars="200"/>
      </w:pPr>
      <w:r>
        <w:rPr>
          <w:rFonts w:hint="eastAsia"/>
        </w:rPr>
        <w:t>b．交易日期修正，采用房地产价格指数的变动率来分析计算交易日期对房屋价格的影响，将交易价格修正为评估基准日的价格；</w:t>
      </w:r>
    </w:p>
    <w:p>
      <w:pPr>
        <w:pStyle w:val="12"/>
        <w:snapToGrid w:val="0"/>
        <w:spacing w:line="460" w:lineRule="exact"/>
        <w:ind w:firstLine="480" w:firstLineChars="200"/>
      </w:pPr>
      <w:r>
        <w:rPr>
          <w:rFonts w:hint="eastAsia"/>
        </w:rPr>
        <w:t>c．不动产状况修正，包括区位状况修正、实物状况修正和权益状况修正。其中：</w:t>
      </w:r>
    </w:p>
    <w:p>
      <w:pPr>
        <w:pStyle w:val="12"/>
        <w:snapToGrid w:val="0"/>
        <w:spacing w:line="460" w:lineRule="exact"/>
        <w:ind w:firstLine="480" w:firstLineChars="200"/>
      </w:pPr>
      <w:r>
        <w:rPr>
          <w:rFonts w:hint="eastAsia"/>
        </w:rPr>
        <w:t>区位状况修正，包括的内容主要有位置、交通、外部配套设施、基础设施水平等。由于不同用途的房地产，影响其价格的区位状况也不同，区位状况修正的具体内容根据评估对象的用途分别确定；</w:t>
      </w:r>
    </w:p>
    <w:p>
      <w:pPr>
        <w:pStyle w:val="12"/>
        <w:snapToGrid w:val="0"/>
        <w:spacing w:line="460" w:lineRule="exact"/>
        <w:ind w:firstLine="480" w:firstLineChars="200"/>
      </w:pPr>
      <w:r>
        <w:rPr>
          <w:rFonts w:hint="eastAsia"/>
        </w:rPr>
        <w:t>实物状况修正，实物状况调整的内容包括建筑规模、装饰装修、空间布局、建筑功能、新旧程度等；</w:t>
      </w:r>
    </w:p>
    <w:p>
      <w:pPr>
        <w:spacing w:line="480" w:lineRule="exact"/>
        <w:ind w:right="4" w:rightChars="2" w:firstLine="480" w:firstLineChars="200"/>
        <w:rPr>
          <w:rFonts w:ascii="宋体" w:hAnsi="宋体"/>
          <w:sz w:val="24"/>
        </w:rPr>
      </w:pPr>
      <w:r>
        <w:rPr>
          <w:rFonts w:hint="eastAsia" w:ascii="宋体" w:hAnsi="宋体"/>
          <w:sz w:val="24"/>
        </w:rPr>
        <w:t>权益状况修正，包括权属情况、租赁情况等形式限制权利情况、权属清晰情况等。</w:t>
      </w:r>
    </w:p>
    <w:p>
      <w:pPr>
        <w:spacing w:line="480" w:lineRule="exact"/>
        <w:ind w:right="4" w:rightChars="2" w:firstLine="480" w:firstLineChars="200"/>
        <w:rPr>
          <w:sz w:val="24"/>
        </w:rPr>
      </w:pPr>
      <w:r>
        <w:rPr>
          <w:rFonts w:hint="eastAsia"/>
          <w:sz w:val="24"/>
        </w:rPr>
        <w:t>通过互联网查询与委估室内装修材料规格型号相似的销售案例，确定室内装修材料的市场价值。</w:t>
      </w:r>
    </w:p>
    <w:p>
      <w:pPr>
        <w:spacing w:line="480" w:lineRule="exact"/>
        <w:ind w:right="4" w:rightChars="2" w:firstLine="480" w:firstLineChars="200"/>
        <w:rPr>
          <w:sz w:val="24"/>
        </w:rPr>
      </w:pPr>
      <w:r>
        <w:rPr>
          <w:rFonts w:hint="eastAsia"/>
          <w:sz w:val="24"/>
        </w:rPr>
        <w:t>(三)收益法简介</w:t>
      </w:r>
    </w:p>
    <w:p>
      <w:pPr>
        <w:spacing w:line="480" w:lineRule="exact"/>
        <w:ind w:right="4" w:rightChars="2" w:firstLine="480" w:firstLineChars="200"/>
        <w:rPr>
          <w:sz w:val="24"/>
        </w:rPr>
      </w:pPr>
      <w:r>
        <w:rPr>
          <w:rFonts w:hint="eastAsia"/>
          <w:sz w:val="24"/>
        </w:rPr>
        <w:t>收益法是预测评估对象的未来正常、合理净收益，选择适当的折现率将其折现到评估基准日后累加，以此估算评估对象价值的方法。公式如下：</w:t>
      </w:r>
    </w:p>
    <w:p>
      <w:pPr>
        <w:spacing w:line="480" w:lineRule="exact"/>
        <w:ind w:right="4" w:rightChars="2" w:firstLine="480" w:firstLineChars="200"/>
        <w:rPr>
          <w:sz w:val="24"/>
        </w:rPr>
      </w:pPr>
      <w:r>
        <w:rPr>
          <w:rFonts w:ascii="Cambria Math" w:hAnsi="Cambria Math"/>
          <w:i/>
          <w:position w:val="-28"/>
          <w:sz w:val="24"/>
        </w:rPr>
        <w:object>
          <v:shape id="_x0000_i1025" o:spt="75" type="#_x0000_t75" style="height:33.45pt;width:107.35pt;" o:ole="t" filled="f" o:preferrelative="t" stroked="f" coordsize="21600,21600">
            <v:path/>
            <v:fill on="f" focussize="0,0"/>
            <v:stroke on="f" joinstyle="miter"/>
            <v:imagedata r:id="rId22" o:title=""/>
            <o:lock v:ext="edit" aspectratio="t"/>
            <w10:wrap type="none"/>
            <w10:anchorlock/>
          </v:shape>
          <o:OLEObject Type="Embed" ProgID="Equation.3" ShapeID="_x0000_i1025" DrawAspect="Content" ObjectID="_1468075725" r:id="rId21">
            <o:LockedField>false</o:LockedField>
          </o:OLEObject>
        </w:object>
      </w:r>
    </w:p>
    <w:p>
      <w:pPr>
        <w:spacing w:line="460" w:lineRule="exact"/>
        <w:rPr>
          <w:rFonts w:ascii="宋体" w:hAnsi="宋体"/>
          <w:sz w:val="24"/>
        </w:rPr>
      </w:pPr>
      <w:r>
        <w:rPr>
          <w:rFonts w:hint="eastAsia" w:ascii="宋体" w:hAnsi="宋体"/>
          <w:sz w:val="24"/>
        </w:rPr>
        <w:t>式中：</w:t>
      </w:r>
      <m:oMath>
        <m:r>
          <w:rPr>
            <w:rFonts w:ascii="Cambria Math" w:hAnsi="Cambria Math"/>
            <w:sz w:val="24"/>
          </w:rPr>
          <m:t>V</m:t>
        </m:r>
      </m:oMath>
      <w:r>
        <w:rPr>
          <w:rFonts w:hint="eastAsia" w:ascii="宋体" w:hAnsi="宋体"/>
          <w:sz w:val="24"/>
        </w:rPr>
        <w:t>：待估房地产价值；</w:t>
      </w:r>
    </w:p>
    <w:p>
      <w:pPr>
        <w:suppressAutoHyphens/>
        <w:spacing w:line="460" w:lineRule="exact"/>
        <w:ind w:firstLine="638" w:firstLineChars="266"/>
        <w:rPr>
          <w:rFonts w:ascii="宋体" w:hAnsi="宋体"/>
          <w:sz w:val="24"/>
        </w:rPr>
      </w:pPr>
      <m:oMath>
        <m:sSub>
          <m:sSubPr>
            <m:ctrlPr>
              <w:rPr>
                <w:rFonts w:ascii="Cambria Math" w:hAnsi="Cambria Math"/>
                <w:i/>
                <w:sz w:val="24"/>
              </w:rPr>
            </m:ctrlPr>
          </m:sSubPr>
          <m:e>
            <m:r>
              <w:rPr>
                <w:rFonts w:ascii="Cambria Math" w:hAnsi="Cambria Math"/>
                <w:sz w:val="24"/>
              </w:rPr>
              <m:t xml:space="preserve"> A</m:t>
            </m:r>
            <m:ctrlPr>
              <w:rPr>
                <w:rFonts w:ascii="Cambria Math" w:hAnsi="Cambria Math"/>
                <w:i/>
                <w:sz w:val="24"/>
              </w:rPr>
            </m:ctrlPr>
          </m:e>
          <m:sub>
            <m:r>
              <w:rPr>
                <w:rFonts w:ascii="Cambria Math" w:hAnsi="Cambria Math"/>
                <w:sz w:val="24"/>
              </w:rPr>
              <m:t>i</m:t>
            </m:r>
            <m:ctrlPr>
              <w:rPr>
                <w:rFonts w:ascii="Cambria Math" w:hAnsi="Cambria Math"/>
                <w:i/>
                <w:sz w:val="24"/>
              </w:rPr>
            </m:ctrlPr>
          </m:sub>
        </m:sSub>
      </m:oMath>
      <w:r>
        <w:rPr>
          <w:rFonts w:hint="eastAsia" w:ascii="宋体" w:hAnsi="宋体"/>
          <w:sz w:val="24"/>
        </w:rPr>
        <w:t>：未来第</w:t>
      </w:r>
      <w:r>
        <w:rPr>
          <w:rFonts w:ascii="宋体" w:hAnsi="宋体"/>
          <w:sz w:val="24"/>
        </w:rPr>
        <w:t>i</w:t>
      </w:r>
      <w:r>
        <w:rPr>
          <w:rFonts w:hint="eastAsia" w:ascii="宋体" w:hAnsi="宋体"/>
          <w:sz w:val="24"/>
        </w:rPr>
        <w:t>年的净收益，对于出租的房地产，净收益为租赁收入扣除由出租人负担的费用后的余额；有租约限制的，租赁期内的租金采用租约约定的租金，租赁期外的租金采用正常客观的市场租金；</w:t>
      </w:r>
    </w:p>
    <w:p>
      <w:pPr>
        <w:spacing w:line="460" w:lineRule="exact"/>
        <w:ind w:firstLine="638" w:firstLineChars="266"/>
        <w:rPr>
          <w:rFonts w:ascii="宋体" w:hAnsi="宋体"/>
          <w:sz w:val="24"/>
        </w:rPr>
      </w:pPr>
      <m:oMath>
        <m:r>
          <w:rPr>
            <w:rFonts w:ascii="Cambria Math" w:hAnsi="Cambria Math"/>
            <w:sz w:val="24"/>
          </w:rPr>
          <m:t>r</m:t>
        </m:r>
      </m:oMath>
      <w:r>
        <w:rPr>
          <w:rFonts w:hint="eastAsia" w:ascii="宋体" w:hAnsi="宋体"/>
          <w:sz w:val="24"/>
        </w:rPr>
        <w:t>：折现率，采用安全利率加风险调整值法计算确定。安全利率选用评估基准日时的国债到期收益率；风险调整值根据评估对象所在地区的投资回报、流动性风险并结合市场投融资难度等确定；对于有租约的房地产，在租约期内采用的折现率和租约期外的折现率因风险状态不同而有差异；</w:t>
      </w:r>
    </w:p>
    <w:p>
      <w:pPr>
        <w:spacing w:line="460" w:lineRule="exact"/>
        <w:ind w:firstLine="638" w:firstLineChars="266"/>
        <w:rPr>
          <w:rFonts w:ascii="宋体" w:hAnsi="宋体"/>
          <w:sz w:val="24"/>
        </w:rPr>
      </w:pPr>
      <m:oMath>
        <m:r>
          <w:rPr>
            <w:rFonts w:hint="eastAsia" w:ascii="Cambria Math" w:hAnsi="Cambria Math"/>
            <w:sz w:val="24"/>
          </w:rPr>
          <m:t>i</m:t>
        </m:r>
      </m:oMath>
      <w:r>
        <w:rPr>
          <w:rFonts w:hint="eastAsia" w:ascii="宋体" w:hAnsi="宋体"/>
          <w:sz w:val="24"/>
        </w:rPr>
        <w:t>：未来可获收益的年限，根据建筑物剩余经济寿命年限与土地使用权剩余使用年限等参数，并结合有关法律、法规的规定，合理确定；</w:t>
      </w:r>
    </w:p>
    <w:p>
      <w:pPr>
        <w:spacing w:line="460" w:lineRule="exact"/>
        <w:ind w:firstLine="638" w:firstLineChars="266"/>
        <w:rPr>
          <w:rFonts w:ascii="宋体" w:hAnsi="宋体"/>
          <w:sz w:val="24"/>
        </w:rPr>
      </w:pPr>
      <m:oMath>
        <m:r>
          <w:rPr>
            <w:rFonts w:ascii="Cambria Math" w:hAnsi="Cambria Math"/>
            <w:sz w:val="24"/>
          </w:rPr>
          <m:t>D</m:t>
        </m:r>
      </m:oMath>
      <w:r>
        <w:rPr>
          <w:rFonts w:hint="eastAsia" w:ascii="宋体" w:hAnsi="宋体"/>
          <w:sz w:val="24"/>
        </w:rPr>
        <w:t>：房屋建筑物在房地产收益期结束时的残值折现到评估基准日时的价值。</w:t>
      </w:r>
    </w:p>
    <w:p>
      <w:pPr>
        <w:pStyle w:val="3"/>
        <w:spacing w:before="120" w:after="120" w:line="460" w:lineRule="exact"/>
        <w:ind w:firstLine="480" w:firstLineChars="200"/>
        <w:rPr>
          <w:rFonts w:ascii="黑体" w:hAnsi="宋体"/>
          <w:b w:val="0"/>
          <w:sz w:val="24"/>
          <w:szCs w:val="24"/>
        </w:rPr>
      </w:pPr>
      <w:bookmarkStart w:id="214" w:name="_Toc26675"/>
      <w:bookmarkStart w:id="215" w:name="_Toc10336"/>
      <w:bookmarkStart w:id="216" w:name="_Toc796"/>
      <w:bookmarkStart w:id="217" w:name="_Toc24094"/>
      <w:bookmarkStart w:id="218" w:name="_Toc484924574"/>
      <w:bookmarkStart w:id="219" w:name="_Toc15958"/>
      <w:bookmarkStart w:id="220" w:name="_Toc1910"/>
      <w:bookmarkStart w:id="221" w:name="_Toc23906"/>
      <w:bookmarkStart w:id="222" w:name="_Toc487341274"/>
      <w:bookmarkStart w:id="223" w:name="_Toc7804"/>
      <w:bookmarkStart w:id="224" w:name="_Toc223322449"/>
      <w:bookmarkStart w:id="225" w:name="_Toc17989"/>
      <w:bookmarkStart w:id="226" w:name="_Toc27920"/>
      <w:bookmarkStart w:id="227" w:name="_Toc17368"/>
      <w:bookmarkStart w:id="228" w:name="_Toc930"/>
      <w:bookmarkStart w:id="229" w:name="_Toc496879656"/>
      <w:bookmarkStart w:id="230" w:name="_Toc14766"/>
      <w:bookmarkStart w:id="231" w:name="_Toc584"/>
      <w:bookmarkStart w:id="232" w:name="_Toc438472938"/>
      <w:bookmarkStart w:id="233" w:name="_Toc30929"/>
      <w:bookmarkStart w:id="234" w:name="_Toc2785"/>
      <w:r>
        <w:rPr>
          <w:rFonts w:hint="eastAsia" w:ascii="黑体" w:hAnsi="宋体"/>
          <w:b w:val="0"/>
          <w:sz w:val="24"/>
          <w:szCs w:val="24"/>
        </w:rPr>
        <w:t>八、评估程序实施过程及情况</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pPr>
        <w:pStyle w:val="12"/>
        <w:tabs>
          <w:tab w:val="left" w:pos="0"/>
        </w:tabs>
        <w:snapToGrid w:val="0"/>
        <w:spacing w:line="480" w:lineRule="exact"/>
        <w:ind w:firstLine="480" w:firstLineChars="200"/>
      </w:pPr>
      <w:bookmarkStart w:id="235" w:name="_Toc484924575"/>
      <w:bookmarkStart w:id="236" w:name="_Toc487341275"/>
      <w:bookmarkStart w:id="237" w:name="_Toc223322450"/>
      <w:r>
        <w:rPr>
          <w:rFonts w:hint="eastAsia"/>
        </w:rPr>
        <w:t>本公司接受委托后，于2018年10月23日进行现场勘查。整个评估过程包括接受委托、核实资产、评定估算、编写评估报告、提交报告，具体过程如下：</w:t>
      </w:r>
    </w:p>
    <w:p>
      <w:pPr>
        <w:spacing w:line="460" w:lineRule="exact"/>
        <w:ind w:firstLine="480" w:firstLineChars="200"/>
        <w:rPr>
          <w:rFonts w:ascii="宋体" w:hAnsi="宋体" w:cs="Arial"/>
          <w:sz w:val="24"/>
        </w:rPr>
      </w:pPr>
      <w:bookmarkStart w:id="238" w:name="_Toc278725334"/>
      <w:r>
        <w:rPr>
          <w:rFonts w:hint="eastAsia" w:ascii="宋体" w:hAnsi="宋体" w:cs="Arial"/>
          <w:sz w:val="24"/>
        </w:rPr>
        <w:t>（一）接受委托</w:t>
      </w:r>
      <w:bookmarkEnd w:id="238"/>
    </w:p>
    <w:p>
      <w:pPr>
        <w:pStyle w:val="9"/>
        <w:tabs>
          <w:tab w:val="left" w:pos="0"/>
        </w:tabs>
        <w:spacing w:line="480" w:lineRule="exact"/>
        <w:ind w:firstLine="480" w:firstLineChars="200"/>
        <w:rPr>
          <w:rFonts w:ascii="宋体" w:hAnsi="宋体" w:eastAsia="宋体"/>
          <w:kern w:val="2"/>
          <w:sz w:val="24"/>
          <w:szCs w:val="24"/>
        </w:rPr>
      </w:pPr>
      <w:r>
        <w:rPr>
          <w:rFonts w:hint="eastAsia" w:ascii="宋体" w:hAnsi="宋体" w:eastAsia="宋体"/>
          <w:kern w:val="2"/>
          <w:sz w:val="24"/>
          <w:szCs w:val="24"/>
        </w:rPr>
        <w:t>1．本公司在明确评估对象、评估目的及评估基准日等基本事项，并确认评估独立性不受影响、评估风险在评估师可控制范围内的前提下，接受评估委托；</w:t>
      </w:r>
    </w:p>
    <w:p>
      <w:pPr>
        <w:pStyle w:val="9"/>
        <w:tabs>
          <w:tab w:val="left" w:pos="0"/>
        </w:tabs>
        <w:spacing w:line="480" w:lineRule="exact"/>
        <w:ind w:firstLine="480" w:firstLineChars="200"/>
        <w:rPr>
          <w:rFonts w:ascii="宋体" w:hAnsi="宋体" w:eastAsia="宋体"/>
          <w:kern w:val="2"/>
          <w:sz w:val="24"/>
          <w:szCs w:val="24"/>
        </w:rPr>
      </w:pPr>
      <w:r>
        <w:rPr>
          <w:rFonts w:hint="eastAsia" w:ascii="宋体" w:hAnsi="宋体" w:eastAsia="宋体"/>
          <w:kern w:val="2"/>
          <w:sz w:val="24"/>
          <w:szCs w:val="24"/>
        </w:rPr>
        <w:t>2．指定项目负责人并组建评估项目组；</w:t>
      </w:r>
    </w:p>
    <w:p>
      <w:pPr>
        <w:pStyle w:val="9"/>
        <w:tabs>
          <w:tab w:val="left" w:pos="0"/>
        </w:tabs>
        <w:spacing w:line="480" w:lineRule="exact"/>
        <w:ind w:firstLine="480" w:firstLineChars="200"/>
        <w:rPr>
          <w:rFonts w:ascii="宋体" w:hAnsi="宋体" w:eastAsia="宋体"/>
          <w:kern w:val="2"/>
          <w:sz w:val="24"/>
          <w:szCs w:val="24"/>
        </w:rPr>
      </w:pPr>
      <w:r>
        <w:rPr>
          <w:rFonts w:hint="eastAsia" w:ascii="宋体" w:hAnsi="宋体" w:eastAsia="宋体"/>
          <w:kern w:val="2"/>
          <w:sz w:val="24"/>
          <w:szCs w:val="24"/>
        </w:rPr>
        <w:t>3．编制工作计划和拟定初步技术方案。</w:t>
      </w:r>
    </w:p>
    <w:p>
      <w:pPr>
        <w:spacing w:line="460" w:lineRule="exact"/>
        <w:ind w:firstLine="480" w:firstLineChars="200"/>
        <w:rPr>
          <w:rFonts w:ascii="宋体" w:hAnsi="宋体" w:cs="Arial"/>
          <w:sz w:val="24"/>
        </w:rPr>
      </w:pPr>
      <w:bookmarkStart w:id="239" w:name="_Toc278725335"/>
      <w:r>
        <w:rPr>
          <w:rFonts w:hint="eastAsia" w:ascii="宋体" w:hAnsi="宋体" w:cs="Arial"/>
          <w:sz w:val="24"/>
        </w:rPr>
        <w:t>（二）核实资产</w:t>
      </w:r>
      <w:bookmarkEnd w:id="239"/>
    </w:p>
    <w:p>
      <w:pPr>
        <w:tabs>
          <w:tab w:val="left" w:pos="0"/>
          <w:tab w:val="left" w:pos="900"/>
        </w:tabs>
        <w:spacing w:line="480" w:lineRule="exact"/>
        <w:ind w:firstLine="480" w:firstLineChars="200"/>
        <w:rPr>
          <w:rFonts w:ascii="宋体" w:hAnsi="宋体"/>
          <w:sz w:val="24"/>
        </w:rPr>
      </w:pPr>
      <w:r>
        <w:rPr>
          <w:rFonts w:hint="eastAsia" w:ascii="宋体" w:hAnsi="宋体"/>
          <w:sz w:val="24"/>
        </w:rPr>
        <w:t>1．根据法院的资产评估委托书和向申请人实地了解的情况，由委托人确定本次评估范围；</w:t>
      </w:r>
    </w:p>
    <w:p>
      <w:pPr>
        <w:pStyle w:val="9"/>
        <w:tabs>
          <w:tab w:val="left" w:pos="0"/>
        </w:tabs>
        <w:spacing w:line="480" w:lineRule="exact"/>
        <w:ind w:firstLine="480" w:firstLineChars="200"/>
        <w:rPr>
          <w:rFonts w:ascii="宋体" w:hAnsi="宋体" w:eastAsia="宋体"/>
          <w:kern w:val="2"/>
          <w:sz w:val="24"/>
          <w:szCs w:val="24"/>
        </w:rPr>
      </w:pPr>
      <w:r>
        <w:rPr>
          <w:rFonts w:hint="eastAsia" w:ascii="宋体" w:hAnsi="宋体" w:eastAsia="宋体"/>
          <w:kern w:val="2"/>
          <w:sz w:val="24"/>
          <w:szCs w:val="24"/>
        </w:rPr>
        <w:t>2．评估专业人员现场调查、核实资产与验证相关评估资料；</w:t>
      </w:r>
    </w:p>
    <w:p>
      <w:pPr>
        <w:tabs>
          <w:tab w:val="left" w:pos="0"/>
          <w:tab w:val="left" w:pos="720"/>
          <w:tab w:val="left" w:pos="900"/>
          <w:tab w:val="left" w:pos="1440"/>
        </w:tabs>
        <w:spacing w:line="480" w:lineRule="exact"/>
        <w:ind w:firstLine="480" w:firstLineChars="200"/>
        <w:rPr>
          <w:rFonts w:ascii="宋体" w:hAnsi="宋体"/>
          <w:sz w:val="24"/>
        </w:rPr>
      </w:pPr>
      <w:r>
        <w:rPr>
          <w:rFonts w:hint="eastAsia" w:ascii="宋体" w:hAnsi="宋体"/>
          <w:sz w:val="24"/>
        </w:rPr>
        <w:t>(1) 听取有关人员介绍被评估资产的历史和现状；</w:t>
      </w:r>
    </w:p>
    <w:p>
      <w:pPr>
        <w:tabs>
          <w:tab w:val="left" w:pos="0"/>
          <w:tab w:val="left" w:pos="720"/>
          <w:tab w:val="left" w:pos="900"/>
          <w:tab w:val="left" w:pos="1440"/>
        </w:tabs>
        <w:spacing w:line="480" w:lineRule="exact"/>
        <w:ind w:firstLine="480" w:firstLineChars="200"/>
        <w:rPr>
          <w:rFonts w:ascii="宋体" w:hAnsi="宋体"/>
          <w:sz w:val="24"/>
        </w:rPr>
      </w:pPr>
      <w:r>
        <w:rPr>
          <w:rFonts w:hint="eastAsia" w:ascii="宋体" w:hAnsi="宋体"/>
          <w:sz w:val="24"/>
        </w:rPr>
        <w:t>(2) 根据委托人确认的评估范围，整理评估明细表；</w:t>
      </w:r>
    </w:p>
    <w:p>
      <w:pPr>
        <w:pStyle w:val="12"/>
        <w:snapToGrid w:val="0"/>
        <w:spacing w:line="480" w:lineRule="exact"/>
        <w:ind w:firstLine="480" w:firstLineChars="200"/>
      </w:pPr>
      <w:r>
        <w:rPr>
          <w:rFonts w:hint="eastAsia"/>
        </w:rPr>
        <w:t>(3) 现场检查核实资产与验证相关评估资料，对评估范围内的资产进行了现场勘察和核实，现将情况简要说明如下：</w:t>
      </w:r>
    </w:p>
    <w:p>
      <w:pPr>
        <w:pStyle w:val="12"/>
        <w:tabs>
          <w:tab w:val="left" w:pos="0"/>
        </w:tabs>
        <w:snapToGrid w:val="0"/>
        <w:spacing w:line="480" w:lineRule="exact"/>
        <w:ind w:firstLine="480" w:firstLineChars="200"/>
      </w:pPr>
      <w:r>
        <w:rPr>
          <w:rFonts w:hint="eastAsia"/>
        </w:rPr>
        <w:t>现场检查核实资产与验证相关评估资料，对评估范围内的资产进行了现场勘察和核实。对房地产重点核实资产面积、四至、用途。</w:t>
      </w:r>
    </w:p>
    <w:p>
      <w:pPr>
        <w:spacing w:line="480" w:lineRule="exact"/>
        <w:ind w:right="4" w:rightChars="2" w:firstLine="480" w:firstLineChars="200"/>
        <w:rPr>
          <w:rFonts w:ascii="宋体" w:hAnsi="宋体" w:cs="Arial"/>
          <w:sz w:val="24"/>
        </w:rPr>
      </w:pPr>
      <w:bookmarkStart w:id="240" w:name="_Toc278725336"/>
      <w:r>
        <w:rPr>
          <w:rFonts w:hint="eastAsia" w:ascii="宋体" w:hAnsi="宋体" w:cs="Arial"/>
          <w:sz w:val="24"/>
        </w:rPr>
        <w:t>(三)评定估算</w:t>
      </w:r>
      <w:bookmarkEnd w:id="240"/>
      <w:bookmarkStart w:id="241" w:name="_Toc97457174"/>
    </w:p>
    <w:bookmarkEnd w:id="241"/>
    <w:p>
      <w:pPr>
        <w:snapToGrid w:val="0"/>
        <w:spacing w:line="460" w:lineRule="exact"/>
        <w:ind w:firstLine="480" w:firstLineChars="200"/>
        <w:rPr>
          <w:rFonts w:ascii="宋体" w:hAnsi="宋体" w:cs="Arial"/>
          <w:color w:val="000000"/>
          <w:sz w:val="24"/>
        </w:rPr>
      </w:pPr>
      <w:r>
        <w:rPr>
          <w:rFonts w:hint="eastAsia" w:ascii="宋体" w:hAnsi="宋体" w:cs="Arial"/>
          <w:sz w:val="24"/>
        </w:rPr>
        <w:t>对从现场调查收集的资料进行分析整理，并通过公开市场信息，或通过专业数据提供方、政府机关、供应商、中介机构、互联网、委托人、被评估单位及我公司数据库等渠道，开展市场调研和询价工作，根据本次评估对象、价值类型及所收集到的资料选择相适应的评估方法和估值模型，评定估算评估对象价值</w:t>
      </w:r>
      <w:r>
        <w:rPr>
          <w:rFonts w:hint="eastAsia" w:ascii="宋体" w:hAnsi="宋体" w:cs="Arial"/>
          <w:color w:val="000000"/>
          <w:sz w:val="24"/>
        </w:rPr>
        <w:t>。</w:t>
      </w:r>
    </w:p>
    <w:p>
      <w:pPr>
        <w:tabs>
          <w:tab w:val="left" w:pos="0"/>
          <w:tab w:val="left" w:pos="11988"/>
        </w:tabs>
        <w:spacing w:line="500" w:lineRule="exact"/>
        <w:ind w:firstLine="480" w:firstLineChars="200"/>
        <w:rPr>
          <w:rFonts w:ascii="宋体" w:hAnsi="宋体" w:cs="Arial"/>
          <w:sz w:val="24"/>
        </w:rPr>
      </w:pPr>
      <w:r>
        <w:rPr>
          <w:rFonts w:hint="eastAsia" w:ascii="宋体" w:hAnsi="宋体" w:cs="Arial"/>
          <w:color w:val="000000"/>
          <w:sz w:val="24"/>
        </w:rPr>
        <w:t>(</w:t>
      </w:r>
      <w:r>
        <w:rPr>
          <w:rFonts w:hint="eastAsia" w:ascii="宋体" w:hAnsi="宋体" w:cs="Arial"/>
          <w:sz w:val="24"/>
        </w:rPr>
        <w:t>四)编写资产评估报告与内部审核</w:t>
      </w:r>
    </w:p>
    <w:p>
      <w:pPr>
        <w:tabs>
          <w:tab w:val="left" w:pos="0"/>
          <w:tab w:val="left" w:pos="11988"/>
        </w:tabs>
        <w:spacing w:line="450" w:lineRule="exact"/>
        <w:ind w:firstLine="480" w:firstLineChars="200"/>
        <w:rPr>
          <w:rFonts w:ascii="宋体" w:hAnsi="宋体" w:cs="Arial"/>
          <w:sz w:val="24"/>
        </w:rPr>
      </w:pPr>
      <w:r>
        <w:rPr>
          <w:rFonts w:hint="eastAsia" w:ascii="宋体" w:hAnsi="宋体" w:cs="Arial"/>
          <w:sz w:val="24"/>
        </w:rPr>
        <w:t>汇集资产评估工作底稿，对各分项说明进行汇总，得出总体评估结论并对评估增减值原因进行分析。汇总编写资产评估报告及评估明细表；资产评估机构内部分级审核，并在不影响评估师和评估专业人员独立判断的前提下，与委托人及委托人同意的其他相关当事人沟通，听取意见。</w:t>
      </w:r>
    </w:p>
    <w:p>
      <w:pPr>
        <w:tabs>
          <w:tab w:val="left" w:pos="0"/>
          <w:tab w:val="left" w:pos="11988"/>
        </w:tabs>
        <w:spacing w:line="500" w:lineRule="exact"/>
        <w:ind w:firstLine="480" w:firstLineChars="200"/>
        <w:rPr>
          <w:rFonts w:ascii="宋体" w:hAnsi="宋体" w:cs="Arial"/>
          <w:sz w:val="24"/>
        </w:rPr>
      </w:pPr>
      <w:r>
        <w:rPr>
          <w:rFonts w:hint="eastAsia" w:ascii="宋体" w:hAnsi="宋体" w:cs="Arial"/>
          <w:sz w:val="24"/>
        </w:rPr>
        <w:t>(五)提交报告</w:t>
      </w:r>
    </w:p>
    <w:p>
      <w:pPr>
        <w:tabs>
          <w:tab w:val="left" w:pos="0"/>
          <w:tab w:val="left" w:pos="11988"/>
        </w:tabs>
        <w:spacing w:line="450" w:lineRule="exact"/>
        <w:ind w:firstLine="480" w:firstLineChars="200"/>
        <w:rPr>
          <w:rFonts w:ascii="宋体" w:hAnsi="宋体" w:cs="Arial"/>
          <w:sz w:val="24"/>
        </w:rPr>
      </w:pPr>
      <w:r>
        <w:rPr>
          <w:rFonts w:hint="eastAsia" w:ascii="宋体" w:hAnsi="宋体" w:cs="Arial"/>
          <w:sz w:val="24"/>
        </w:rPr>
        <w:t>根据资产评估机构内部审核意见和委托人及委托人同意的其他相关当事人反馈意见，对资产评估报告进行必要的调整后，向委托人提交正式的资产评估报告。</w:t>
      </w:r>
    </w:p>
    <w:p>
      <w:pPr>
        <w:pStyle w:val="3"/>
        <w:spacing w:before="120" w:after="120" w:line="460" w:lineRule="exact"/>
        <w:ind w:firstLine="480" w:firstLineChars="200"/>
        <w:rPr>
          <w:rFonts w:ascii="黑体" w:hAnsi="宋体"/>
          <w:b w:val="0"/>
          <w:sz w:val="24"/>
          <w:szCs w:val="24"/>
        </w:rPr>
      </w:pPr>
      <w:bookmarkStart w:id="242" w:name="_Toc30591"/>
      <w:bookmarkStart w:id="243" w:name="_Toc30809"/>
      <w:bookmarkStart w:id="244" w:name="_Toc15132"/>
      <w:bookmarkStart w:id="245" w:name="_Toc5281"/>
      <w:bookmarkStart w:id="246" w:name="_Toc20293"/>
      <w:bookmarkStart w:id="247" w:name="_Toc24944"/>
      <w:bookmarkStart w:id="248" w:name="_Toc8513"/>
      <w:bookmarkStart w:id="249" w:name="_Toc438472939"/>
      <w:bookmarkStart w:id="250" w:name="_Toc31200"/>
      <w:bookmarkStart w:id="251" w:name="_Toc6804"/>
      <w:bookmarkStart w:id="252" w:name="_Toc496879657"/>
      <w:bookmarkStart w:id="253" w:name="_Toc26132"/>
      <w:bookmarkStart w:id="254" w:name="_Toc22909"/>
      <w:bookmarkStart w:id="255" w:name="_Toc8955"/>
      <w:bookmarkStart w:id="256" w:name="_Toc14481"/>
      <w:bookmarkStart w:id="257" w:name="_Toc24770"/>
      <w:bookmarkStart w:id="258" w:name="_Toc21994"/>
      <w:bookmarkStart w:id="259" w:name="_Toc22613"/>
      <w:r>
        <w:rPr>
          <w:rFonts w:hint="eastAsia" w:ascii="黑体" w:hAnsi="宋体"/>
          <w:b w:val="0"/>
          <w:sz w:val="24"/>
          <w:szCs w:val="24"/>
        </w:rPr>
        <w:t>九、评估假设</w:t>
      </w:r>
      <w:bookmarkEnd w:id="235"/>
      <w:bookmarkEnd w:id="236"/>
      <w:bookmarkEnd w:id="237"/>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pPr>
        <w:pStyle w:val="12"/>
        <w:numPr>
          <w:ilvl w:val="255"/>
          <w:numId w:val="0"/>
        </w:numPr>
        <w:tabs>
          <w:tab w:val="left" w:pos="874"/>
        </w:tabs>
        <w:snapToGrid w:val="0"/>
        <w:spacing w:line="460" w:lineRule="exact"/>
        <w:ind w:left="445" w:leftChars="212"/>
        <w:rPr>
          <w:rFonts w:cs="Arial"/>
        </w:rPr>
      </w:pPr>
      <w:r>
        <w:rPr>
          <w:rFonts w:hint="eastAsia" w:cs="Arial"/>
        </w:rPr>
        <w:t>(一)交易假设</w:t>
      </w:r>
    </w:p>
    <w:p>
      <w:pPr>
        <w:pStyle w:val="12"/>
        <w:tabs>
          <w:tab w:val="left" w:pos="874"/>
        </w:tabs>
        <w:snapToGrid w:val="0"/>
        <w:spacing w:line="450" w:lineRule="exact"/>
        <w:ind w:left="-28" w:firstLine="508" w:firstLineChars="212"/>
        <w:rPr>
          <w:rFonts w:cs="Arial"/>
        </w:rPr>
      </w:pPr>
      <w:r>
        <w:rPr>
          <w:rFonts w:hint="eastAsia" w:cs="Arial"/>
        </w:rPr>
        <w:t>假定待评估资产已经处在交易过程中，根据待评估资产的交易条件模拟市场进行估价。</w:t>
      </w:r>
    </w:p>
    <w:p>
      <w:pPr>
        <w:pStyle w:val="12"/>
        <w:numPr>
          <w:ilvl w:val="255"/>
          <w:numId w:val="0"/>
        </w:numPr>
        <w:tabs>
          <w:tab w:val="left" w:pos="874"/>
        </w:tabs>
        <w:snapToGrid w:val="0"/>
        <w:spacing w:line="460" w:lineRule="exact"/>
        <w:ind w:left="445" w:leftChars="212"/>
        <w:rPr>
          <w:rFonts w:cs="Arial"/>
        </w:rPr>
      </w:pPr>
      <w:r>
        <w:rPr>
          <w:rFonts w:hint="eastAsia" w:cs="Arial"/>
        </w:rPr>
        <w:t>(二)公开市场假设</w:t>
      </w:r>
    </w:p>
    <w:p>
      <w:pPr>
        <w:pStyle w:val="12"/>
        <w:tabs>
          <w:tab w:val="left" w:pos="874"/>
        </w:tabs>
        <w:snapToGrid w:val="0"/>
        <w:spacing w:line="450" w:lineRule="exact"/>
        <w:ind w:left="-28" w:firstLine="508" w:firstLineChars="212"/>
        <w:rPr>
          <w:rFonts w:cs="Arial"/>
        </w:rPr>
      </w:pPr>
      <w:r>
        <w:rPr>
          <w:rFonts w:hint="eastAsia" w:cs="Arial"/>
        </w:rPr>
        <w:t>1.自愿的卖主和买主，地位是平等的；</w:t>
      </w:r>
    </w:p>
    <w:p>
      <w:pPr>
        <w:pStyle w:val="12"/>
        <w:tabs>
          <w:tab w:val="left" w:pos="874"/>
        </w:tabs>
        <w:snapToGrid w:val="0"/>
        <w:spacing w:line="450" w:lineRule="exact"/>
        <w:ind w:left="-28" w:firstLine="508" w:firstLineChars="212"/>
        <w:rPr>
          <w:rFonts w:cs="Arial"/>
        </w:rPr>
      </w:pPr>
      <w:r>
        <w:rPr>
          <w:rFonts w:hint="eastAsia" w:cs="Arial"/>
        </w:rPr>
        <w:t>2.买卖双方都有获得足够市场信息的机会和时间，交易行为在自愿的、理智的而非强制或不受限制的条件下进行的；</w:t>
      </w:r>
    </w:p>
    <w:p>
      <w:pPr>
        <w:pStyle w:val="12"/>
        <w:tabs>
          <w:tab w:val="left" w:pos="874"/>
        </w:tabs>
        <w:snapToGrid w:val="0"/>
        <w:spacing w:line="450" w:lineRule="exact"/>
        <w:ind w:left="-28" w:firstLine="508" w:firstLineChars="212"/>
        <w:rPr>
          <w:rFonts w:cs="Arial"/>
        </w:rPr>
      </w:pPr>
      <w:r>
        <w:rPr>
          <w:rFonts w:hint="eastAsia" w:cs="Arial"/>
        </w:rPr>
        <w:t>3.待估资产可以在公开市场上自由转让；</w:t>
      </w:r>
    </w:p>
    <w:p>
      <w:pPr>
        <w:pStyle w:val="12"/>
        <w:tabs>
          <w:tab w:val="left" w:pos="874"/>
        </w:tabs>
        <w:snapToGrid w:val="0"/>
        <w:spacing w:line="450" w:lineRule="exact"/>
        <w:ind w:left="-28" w:firstLine="508" w:firstLineChars="212"/>
        <w:rPr>
          <w:rFonts w:cs="Arial"/>
        </w:rPr>
      </w:pPr>
      <w:r>
        <w:rPr>
          <w:rFonts w:hint="eastAsia" w:cs="Arial"/>
        </w:rPr>
        <w:t>4.不考虑特殊买家的额外出价或折价。</w:t>
      </w:r>
    </w:p>
    <w:p>
      <w:pPr>
        <w:pStyle w:val="12"/>
        <w:numPr>
          <w:ilvl w:val="255"/>
          <w:numId w:val="0"/>
        </w:numPr>
        <w:tabs>
          <w:tab w:val="left" w:pos="874"/>
        </w:tabs>
        <w:snapToGrid w:val="0"/>
        <w:spacing w:line="460" w:lineRule="exact"/>
        <w:ind w:left="445" w:leftChars="212"/>
        <w:rPr>
          <w:rFonts w:cs="Arial"/>
        </w:rPr>
      </w:pPr>
      <w:r>
        <w:rPr>
          <w:rFonts w:hint="eastAsia" w:cs="Arial"/>
        </w:rPr>
        <w:t>(三)持续使用假设</w:t>
      </w:r>
    </w:p>
    <w:p>
      <w:pPr>
        <w:pStyle w:val="12"/>
        <w:tabs>
          <w:tab w:val="left" w:pos="874"/>
        </w:tabs>
        <w:snapToGrid w:val="0"/>
        <w:spacing w:line="460" w:lineRule="exact"/>
        <w:ind w:firstLine="480" w:firstLineChars="200"/>
        <w:rPr>
          <w:rFonts w:cs="Arial"/>
        </w:rPr>
      </w:pPr>
      <w:r>
        <w:rPr>
          <w:rFonts w:hint="eastAsia" w:cs="Arial"/>
        </w:rPr>
        <w:t>委估房地产在原地按原设计用途继续使用。</w:t>
      </w:r>
    </w:p>
    <w:p>
      <w:pPr>
        <w:pStyle w:val="12"/>
        <w:numPr>
          <w:ilvl w:val="255"/>
          <w:numId w:val="0"/>
        </w:numPr>
        <w:tabs>
          <w:tab w:val="left" w:pos="874"/>
        </w:tabs>
        <w:snapToGrid w:val="0"/>
        <w:spacing w:line="460" w:lineRule="exact"/>
        <w:ind w:left="445" w:leftChars="212"/>
        <w:rPr>
          <w:rFonts w:cs="Arial"/>
        </w:rPr>
      </w:pPr>
      <w:r>
        <w:rPr>
          <w:rFonts w:hint="eastAsia" w:cs="Arial"/>
        </w:rPr>
        <w:t>(四)宏观经济环境相对稳定假设</w:t>
      </w:r>
    </w:p>
    <w:p>
      <w:pPr>
        <w:pStyle w:val="12"/>
        <w:snapToGrid w:val="0"/>
        <w:spacing w:line="460" w:lineRule="exact"/>
        <w:ind w:firstLine="480" w:firstLineChars="200"/>
        <w:rPr>
          <w:rFonts w:cs="Arial"/>
        </w:rPr>
      </w:pPr>
      <w:r>
        <w:rPr>
          <w:rFonts w:hint="eastAsia" w:cs="Arial"/>
        </w:rPr>
        <w:t>任何一项资产的价值与其所处的宏观经济环境直接相关，在本次评估时我们假定社会的产业政策、税收政策和宏观环境保持相对稳定，从而保证评估结果有一个合理的使用期。</w:t>
      </w:r>
    </w:p>
    <w:p>
      <w:pPr>
        <w:pStyle w:val="12"/>
        <w:snapToGrid w:val="0"/>
        <w:spacing w:line="460" w:lineRule="exact"/>
        <w:ind w:firstLine="480" w:firstLineChars="200"/>
        <w:rPr>
          <w:rFonts w:cs="Arial"/>
        </w:rPr>
      </w:pPr>
      <w:r>
        <w:rPr>
          <w:rFonts w:hint="eastAsia" w:cs="Arial"/>
        </w:rPr>
        <w:t>根据资产评估的要求，资产评估机构和资产评估师与评估专业人员认定这些前提、假设条件在评估基准日时成立，当未来经济环境发生较大变化时，将不承担由于前提、假设条件改变而推导出不同评估结果的责任。</w:t>
      </w:r>
    </w:p>
    <w:p>
      <w:pPr>
        <w:pStyle w:val="3"/>
        <w:spacing w:before="120" w:after="120" w:line="460" w:lineRule="exact"/>
        <w:ind w:firstLine="480" w:firstLineChars="200"/>
        <w:rPr>
          <w:rFonts w:ascii="黑体" w:hAnsi="宋体"/>
          <w:b w:val="0"/>
          <w:sz w:val="24"/>
          <w:szCs w:val="24"/>
        </w:rPr>
      </w:pPr>
      <w:bookmarkStart w:id="260" w:name="_Toc15197"/>
      <w:bookmarkStart w:id="261" w:name="_Toc487341276"/>
      <w:bookmarkStart w:id="262" w:name="_Toc27889"/>
      <w:bookmarkStart w:id="263" w:name="_Toc223322451"/>
      <w:bookmarkStart w:id="264" w:name="_Toc7655"/>
      <w:bookmarkStart w:id="265" w:name="_Toc12101"/>
      <w:bookmarkStart w:id="266" w:name="_Toc32639"/>
      <w:bookmarkStart w:id="267" w:name="_Toc6296"/>
      <w:bookmarkStart w:id="268" w:name="_Toc4211"/>
      <w:bookmarkStart w:id="269" w:name="_Toc21638"/>
      <w:bookmarkStart w:id="270" w:name="_Toc1900"/>
      <w:bookmarkStart w:id="271" w:name="_Toc13385"/>
      <w:bookmarkStart w:id="272" w:name="_Toc496879658"/>
      <w:bookmarkStart w:id="273" w:name="_Toc2781"/>
      <w:bookmarkStart w:id="274" w:name="_Toc18120"/>
      <w:bookmarkStart w:id="275" w:name="_Toc438472940"/>
      <w:bookmarkStart w:id="276" w:name="_Toc13736"/>
      <w:bookmarkStart w:id="277" w:name="_Toc484924576"/>
      <w:bookmarkStart w:id="278" w:name="_Toc23028"/>
      <w:bookmarkStart w:id="279" w:name="_Toc21454"/>
      <w:bookmarkStart w:id="280" w:name="_Toc20170"/>
      <w:r>
        <w:rPr>
          <w:rFonts w:hint="eastAsia" w:ascii="黑体" w:hAnsi="宋体"/>
          <w:b w:val="0"/>
          <w:sz w:val="24"/>
          <w:szCs w:val="24"/>
        </w:rPr>
        <w:t>十、评估结论</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pPr>
        <w:tabs>
          <w:tab w:val="left" w:pos="0"/>
          <w:tab w:val="left" w:pos="11988"/>
        </w:tabs>
        <w:spacing w:line="460" w:lineRule="exact"/>
        <w:ind w:firstLine="480" w:firstLineChars="200"/>
        <w:rPr>
          <w:rFonts w:ascii="宋体" w:hAnsi="宋体" w:cs="Arial"/>
          <w:sz w:val="24"/>
        </w:rPr>
      </w:pPr>
      <w:bookmarkStart w:id="281" w:name="_Toc223322452"/>
      <w:bookmarkStart w:id="282" w:name="_Toc487341277"/>
      <w:bookmarkStart w:id="283" w:name="_Toc484924577"/>
      <w:r>
        <w:rPr>
          <w:rFonts w:hint="eastAsia" w:ascii="宋体" w:hAnsi="宋体"/>
          <w:sz w:val="24"/>
        </w:rPr>
        <w:t>在本报告揭示</w:t>
      </w:r>
      <w:r>
        <w:rPr>
          <w:rFonts w:hint="eastAsia" w:ascii="宋体" w:hAnsi="宋体" w:cs="Arial"/>
          <w:sz w:val="24"/>
        </w:rPr>
        <w:t>的假设前提下，评估对象在评估基准日的评估价值为229.84万元，(大写人民币贰佰贰拾玖万捌仟肆佰元)，具体如下：</w:t>
      </w:r>
    </w:p>
    <w:p>
      <w:pPr>
        <w:spacing w:line="460" w:lineRule="exact"/>
        <w:ind w:right="31" w:rightChars="15"/>
        <w:jc w:val="righ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Cs w:val="21"/>
        </w:rPr>
        <w:t>金额单位：人民币万元</w:t>
      </w:r>
    </w:p>
    <w:tbl>
      <w:tblPr>
        <w:tblStyle w:val="39"/>
        <w:tblW w:w="8737"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18"/>
        <w:gridCol w:w="5260"/>
        <w:gridCol w:w="2559"/>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918" w:type="dxa"/>
            <w:shd w:val="clear" w:color="auto" w:fill="auto"/>
            <w:vAlign w:val="center"/>
          </w:tcPr>
          <w:p>
            <w:pPr>
              <w:widowControl/>
              <w:spacing w:line="460" w:lineRule="exact"/>
              <w:jc w:val="center"/>
              <w:rPr>
                <w:rFonts w:eastAsiaTheme="majorEastAsia"/>
                <w:kern w:val="0"/>
                <w:szCs w:val="21"/>
              </w:rPr>
            </w:pPr>
            <w:r>
              <w:rPr>
                <w:rFonts w:eastAsiaTheme="majorEastAsia"/>
                <w:kern w:val="0"/>
                <w:szCs w:val="21"/>
              </w:rPr>
              <w:t>序号</w:t>
            </w:r>
          </w:p>
        </w:tc>
        <w:tc>
          <w:tcPr>
            <w:tcW w:w="5260" w:type="dxa"/>
            <w:shd w:val="clear" w:color="auto" w:fill="auto"/>
            <w:vAlign w:val="center"/>
          </w:tcPr>
          <w:p>
            <w:pPr>
              <w:widowControl/>
              <w:spacing w:line="460" w:lineRule="exact"/>
              <w:jc w:val="center"/>
              <w:rPr>
                <w:rFonts w:eastAsiaTheme="majorEastAsia"/>
                <w:kern w:val="0"/>
                <w:szCs w:val="21"/>
              </w:rPr>
            </w:pPr>
            <w:r>
              <w:rPr>
                <w:rFonts w:eastAsiaTheme="majorEastAsia"/>
                <w:kern w:val="0"/>
                <w:szCs w:val="21"/>
              </w:rPr>
              <w:t>项目</w:t>
            </w:r>
          </w:p>
        </w:tc>
        <w:tc>
          <w:tcPr>
            <w:tcW w:w="2559" w:type="dxa"/>
            <w:vAlign w:val="center"/>
          </w:tcPr>
          <w:p>
            <w:pPr>
              <w:spacing w:line="460" w:lineRule="exact"/>
              <w:jc w:val="center"/>
              <w:rPr>
                <w:rFonts w:eastAsiaTheme="majorEastAsia"/>
                <w:szCs w:val="21"/>
              </w:rPr>
            </w:pPr>
            <w:r>
              <w:rPr>
                <w:rFonts w:eastAsiaTheme="majorEastAsia"/>
                <w:szCs w:val="21"/>
              </w:rPr>
              <w:t>评估值</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918" w:type="dxa"/>
            <w:shd w:val="clear" w:color="auto" w:fill="auto"/>
            <w:vAlign w:val="center"/>
          </w:tcPr>
          <w:p>
            <w:pPr>
              <w:widowControl/>
              <w:spacing w:line="460" w:lineRule="exact"/>
              <w:jc w:val="center"/>
              <w:rPr>
                <w:rFonts w:eastAsiaTheme="majorEastAsia"/>
                <w:kern w:val="0"/>
                <w:szCs w:val="21"/>
              </w:rPr>
            </w:pPr>
            <w:r>
              <w:rPr>
                <w:rFonts w:eastAsiaTheme="majorEastAsia"/>
                <w:kern w:val="0"/>
                <w:szCs w:val="21"/>
              </w:rPr>
              <w:t>1</w:t>
            </w:r>
          </w:p>
        </w:tc>
        <w:tc>
          <w:tcPr>
            <w:tcW w:w="5260" w:type="dxa"/>
            <w:shd w:val="clear" w:color="auto" w:fill="auto"/>
            <w:vAlign w:val="center"/>
          </w:tcPr>
          <w:p>
            <w:pPr>
              <w:widowControl/>
              <w:spacing w:line="460" w:lineRule="exact"/>
              <w:jc w:val="center"/>
              <w:rPr>
                <w:rFonts w:eastAsiaTheme="majorEastAsia"/>
                <w:kern w:val="0"/>
                <w:szCs w:val="21"/>
              </w:rPr>
            </w:pPr>
            <w:r>
              <w:rPr>
                <w:rFonts w:eastAsiaTheme="majorEastAsia"/>
                <w:kern w:val="0"/>
                <w:szCs w:val="21"/>
              </w:rPr>
              <w:t>清合嘉园西区31幢3单元202室房地产</w:t>
            </w:r>
          </w:p>
        </w:tc>
        <w:tc>
          <w:tcPr>
            <w:tcW w:w="2559" w:type="dxa"/>
            <w:vAlign w:val="center"/>
          </w:tcPr>
          <w:p>
            <w:pPr>
              <w:spacing w:line="460" w:lineRule="exact"/>
              <w:jc w:val="right"/>
              <w:rPr>
                <w:rFonts w:eastAsiaTheme="majorEastAsia"/>
                <w:szCs w:val="21"/>
              </w:rPr>
            </w:pPr>
            <w:r>
              <w:rPr>
                <w:rFonts w:hint="eastAsia" w:eastAsiaTheme="majorEastAsia"/>
                <w:szCs w:val="21"/>
              </w:rPr>
              <w:t>229.44</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918" w:type="dxa"/>
            <w:shd w:val="clear" w:color="auto" w:fill="auto"/>
            <w:vAlign w:val="center"/>
          </w:tcPr>
          <w:p>
            <w:pPr>
              <w:widowControl/>
              <w:spacing w:line="460" w:lineRule="exact"/>
              <w:jc w:val="center"/>
              <w:rPr>
                <w:rFonts w:eastAsiaTheme="majorEastAsia"/>
                <w:kern w:val="0"/>
                <w:szCs w:val="21"/>
              </w:rPr>
            </w:pPr>
            <w:r>
              <w:rPr>
                <w:rFonts w:eastAsiaTheme="majorEastAsia"/>
                <w:kern w:val="0"/>
                <w:szCs w:val="21"/>
              </w:rPr>
              <w:t>2</w:t>
            </w:r>
          </w:p>
        </w:tc>
        <w:tc>
          <w:tcPr>
            <w:tcW w:w="5260" w:type="dxa"/>
            <w:shd w:val="clear" w:color="auto" w:fill="auto"/>
            <w:vAlign w:val="center"/>
          </w:tcPr>
          <w:p>
            <w:pPr>
              <w:widowControl/>
              <w:spacing w:line="460" w:lineRule="exact"/>
              <w:jc w:val="center"/>
              <w:rPr>
                <w:rFonts w:eastAsiaTheme="majorEastAsia"/>
                <w:kern w:val="0"/>
                <w:szCs w:val="21"/>
              </w:rPr>
            </w:pPr>
            <w:r>
              <w:rPr>
                <w:rFonts w:eastAsiaTheme="majorEastAsia"/>
                <w:kern w:val="0"/>
                <w:szCs w:val="21"/>
              </w:rPr>
              <w:t>室内装修材料</w:t>
            </w:r>
          </w:p>
        </w:tc>
        <w:tc>
          <w:tcPr>
            <w:tcW w:w="2559" w:type="dxa"/>
            <w:vAlign w:val="center"/>
          </w:tcPr>
          <w:p>
            <w:pPr>
              <w:spacing w:line="460" w:lineRule="exact"/>
              <w:jc w:val="right"/>
              <w:rPr>
                <w:rFonts w:eastAsiaTheme="majorEastAsia"/>
                <w:szCs w:val="21"/>
              </w:rPr>
            </w:pPr>
            <w:r>
              <w:rPr>
                <w:rFonts w:hint="eastAsia" w:eastAsiaTheme="majorEastAsia"/>
                <w:szCs w:val="21"/>
              </w:rPr>
              <w:t>0.40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918" w:type="dxa"/>
            <w:shd w:val="clear" w:color="auto" w:fill="auto"/>
            <w:vAlign w:val="center"/>
          </w:tcPr>
          <w:p>
            <w:pPr>
              <w:widowControl/>
              <w:spacing w:line="460" w:lineRule="exact"/>
              <w:jc w:val="center"/>
              <w:rPr>
                <w:rFonts w:eastAsiaTheme="majorEastAsia"/>
                <w:kern w:val="0"/>
                <w:szCs w:val="21"/>
              </w:rPr>
            </w:pPr>
          </w:p>
        </w:tc>
        <w:tc>
          <w:tcPr>
            <w:tcW w:w="5260" w:type="dxa"/>
            <w:shd w:val="clear" w:color="auto" w:fill="auto"/>
            <w:vAlign w:val="center"/>
          </w:tcPr>
          <w:p>
            <w:pPr>
              <w:widowControl/>
              <w:spacing w:line="460" w:lineRule="exact"/>
              <w:jc w:val="center"/>
              <w:rPr>
                <w:rFonts w:eastAsiaTheme="majorEastAsia"/>
                <w:kern w:val="0"/>
                <w:szCs w:val="21"/>
              </w:rPr>
            </w:pPr>
            <w:r>
              <w:rPr>
                <w:rFonts w:eastAsiaTheme="majorEastAsia"/>
                <w:kern w:val="0"/>
                <w:szCs w:val="21"/>
              </w:rPr>
              <w:t>合计</w:t>
            </w:r>
          </w:p>
        </w:tc>
        <w:tc>
          <w:tcPr>
            <w:tcW w:w="2559" w:type="dxa"/>
            <w:vAlign w:val="center"/>
          </w:tcPr>
          <w:p>
            <w:pPr>
              <w:spacing w:line="460" w:lineRule="exact"/>
              <w:jc w:val="right"/>
              <w:rPr>
                <w:rFonts w:eastAsiaTheme="majorEastAsia"/>
                <w:szCs w:val="21"/>
              </w:rPr>
            </w:pPr>
            <w:r>
              <w:rPr>
                <w:rFonts w:hint="eastAsia" w:eastAsiaTheme="majorEastAsia"/>
                <w:szCs w:val="21"/>
              </w:rPr>
              <w:t>229.84</w:t>
            </w:r>
          </w:p>
        </w:tc>
      </w:tr>
    </w:tbl>
    <w:p>
      <w:pPr>
        <w:tabs>
          <w:tab w:val="left" w:pos="0"/>
          <w:tab w:val="left" w:pos="11988"/>
        </w:tabs>
        <w:spacing w:line="460" w:lineRule="exact"/>
        <w:ind w:firstLine="480" w:firstLineChars="200"/>
        <w:rPr>
          <w:rFonts w:ascii="宋体" w:hAnsi="宋体" w:cs="Arial"/>
          <w:sz w:val="24"/>
        </w:rPr>
      </w:pPr>
      <w:r>
        <w:rPr>
          <w:rFonts w:hint="eastAsia" w:ascii="宋体" w:hAnsi="宋体" w:cs="Arial"/>
          <w:sz w:val="24"/>
        </w:rPr>
        <w:t>评估结论仅在评估报告载明的评估基准日成立。评估结论的使用期限应根据评估基准日后的资产状况和市场变化情况来确定，当资产状况和市场变化较小时，评估结论使用有效期为2018年10月23日至2019年10月22日。</w:t>
      </w:r>
    </w:p>
    <w:p>
      <w:pPr>
        <w:pStyle w:val="3"/>
        <w:spacing w:before="120" w:after="120" w:line="520" w:lineRule="atLeast"/>
        <w:ind w:firstLine="480" w:firstLineChars="200"/>
        <w:rPr>
          <w:rFonts w:ascii="黑体" w:hAnsi="宋体"/>
          <w:b w:val="0"/>
          <w:sz w:val="24"/>
          <w:szCs w:val="24"/>
        </w:rPr>
      </w:pPr>
      <w:bookmarkStart w:id="284" w:name="_Toc496879659"/>
      <w:bookmarkStart w:id="285" w:name="_Toc29622"/>
      <w:bookmarkStart w:id="286" w:name="_Toc14751"/>
      <w:bookmarkStart w:id="287" w:name="_Toc9374"/>
      <w:bookmarkStart w:id="288" w:name="_Toc3560"/>
      <w:bookmarkStart w:id="289" w:name="_Toc1162"/>
      <w:bookmarkStart w:id="290" w:name="_Toc20290"/>
      <w:bookmarkStart w:id="291" w:name="_Toc8189"/>
      <w:bookmarkStart w:id="292" w:name="_Toc14131"/>
      <w:bookmarkStart w:id="293" w:name="_Toc5401"/>
      <w:bookmarkStart w:id="294" w:name="_Toc16016"/>
      <w:bookmarkStart w:id="295" w:name="_Toc1216"/>
      <w:bookmarkStart w:id="296" w:name="_Toc29793"/>
      <w:bookmarkStart w:id="297" w:name="_Toc14818"/>
      <w:bookmarkStart w:id="298" w:name="_Toc438472941"/>
      <w:bookmarkStart w:id="299" w:name="_Toc13467"/>
      <w:bookmarkStart w:id="300" w:name="_Toc9798"/>
      <w:bookmarkStart w:id="301" w:name="_Toc27244"/>
      <w:r>
        <w:rPr>
          <w:rFonts w:hint="eastAsia" w:ascii="黑体" w:hAnsi="宋体"/>
          <w:b w:val="0"/>
          <w:sz w:val="24"/>
          <w:szCs w:val="24"/>
        </w:rPr>
        <w:t>十一、特别事项说明</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pPr>
        <w:pStyle w:val="12"/>
        <w:tabs>
          <w:tab w:val="left" w:pos="0"/>
        </w:tabs>
        <w:snapToGrid w:val="0"/>
        <w:spacing w:line="460" w:lineRule="exact"/>
        <w:ind w:firstLine="480" w:firstLineChars="200"/>
        <w:rPr>
          <w:color w:val="000000"/>
        </w:rPr>
      </w:pPr>
      <w:bookmarkStart w:id="302" w:name="_Toc487341278"/>
      <w:bookmarkStart w:id="303" w:name="_Toc223322453"/>
      <w:bookmarkStart w:id="304" w:name="_Toc484924578"/>
      <w:r>
        <w:rPr>
          <w:rFonts w:hint="eastAsia"/>
          <w:color w:val="000000"/>
        </w:rPr>
        <w:t>(一)根据《杭州市不动产权属信息查询记录》记载，截至评估基准日，评估对象已设定他项权利并被查封，本次评估不考虑他项权利及查封对评估结论的影响。</w:t>
      </w:r>
    </w:p>
    <w:p>
      <w:pPr>
        <w:pStyle w:val="12"/>
        <w:tabs>
          <w:tab w:val="left" w:pos="0"/>
        </w:tabs>
        <w:snapToGrid w:val="0"/>
        <w:spacing w:line="460" w:lineRule="exact"/>
        <w:ind w:firstLine="480" w:firstLineChars="200"/>
        <w:rPr>
          <w:color w:val="000000"/>
        </w:rPr>
      </w:pPr>
      <w:r>
        <w:rPr>
          <w:rFonts w:hint="eastAsia"/>
          <w:color w:val="000000"/>
        </w:rPr>
        <w:t>(二)本次评估现场盘点根据申请人的指认确定，对室内装修材料的勘查核实仅限于数量、外观，不对材料质量和正常使用做保证，如与实际有差异将影响评估结果。</w:t>
      </w:r>
    </w:p>
    <w:p>
      <w:pPr>
        <w:pStyle w:val="12"/>
        <w:tabs>
          <w:tab w:val="left" w:pos="0"/>
        </w:tabs>
        <w:snapToGrid w:val="0"/>
        <w:spacing w:line="460" w:lineRule="exact"/>
        <w:ind w:firstLine="480" w:firstLineChars="200"/>
        <w:rPr>
          <w:color w:val="000000"/>
        </w:rPr>
      </w:pPr>
      <w:r>
        <w:rPr>
          <w:rFonts w:hint="eastAsia"/>
          <w:color w:val="000000"/>
        </w:rPr>
        <w:t>(三)评估结论为委估房地产及装修材料在评估基准日的市场价值，未考虑可能存在的相关负债和司法拍卖过程中所需缴纳的相关税、费对评估结论的影响。</w:t>
      </w:r>
    </w:p>
    <w:p>
      <w:pPr>
        <w:pStyle w:val="12"/>
        <w:tabs>
          <w:tab w:val="left" w:pos="0"/>
        </w:tabs>
        <w:snapToGrid w:val="0"/>
        <w:spacing w:line="460" w:lineRule="exact"/>
        <w:rPr>
          <w:rFonts w:cs="Arial"/>
        </w:rPr>
      </w:pPr>
      <w:r>
        <w:rPr>
          <w:rFonts w:hint="eastAsia"/>
          <w:color w:val="000000"/>
        </w:rPr>
        <w:t>提请报告使用者关注上述事项对评估结果和本次经济行为的影响</w:t>
      </w:r>
      <w:bookmarkEnd w:id="302"/>
      <w:bookmarkEnd w:id="303"/>
      <w:bookmarkEnd w:id="304"/>
      <w:bookmarkStart w:id="305" w:name="_Toc223322454"/>
      <w:bookmarkStart w:id="306" w:name="_Toc484924579"/>
      <w:bookmarkStart w:id="307" w:name="_Toc487341279"/>
      <w:r>
        <w:rPr>
          <w:rFonts w:hint="eastAsia" w:cs="Arial"/>
        </w:rPr>
        <w:t>。</w:t>
      </w:r>
    </w:p>
    <w:p>
      <w:pPr>
        <w:pStyle w:val="3"/>
        <w:spacing w:before="120" w:after="120" w:line="520" w:lineRule="atLeast"/>
        <w:ind w:firstLine="480" w:firstLineChars="200"/>
        <w:rPr>
          <w:rFonts w:ascii="黑体" w:hAnsi="宋体"/>
          <w:b w:val="0"/>
          <w:sz w:val="24"/>
          <w:szCs w:val="24"/>
        </w:rPr>
      </w:pPr>
      <w:bookmarkStart w:id="308" w:name="_Toc26316"/>
      <w:bookmarkStart w:id="309" w:name="_Toc715"/>
      <w:bookmarkStart w:id="310" w:name="_Toc26194"/>
      <w:bookmarkStart w:id="311" w:name="_Toc29982"/>
      <w:bookmarkStart w:id="312" w:name="_Toc1141"/>
      <w:bookmarkStart w:id="313" w:name="_Toc7617"/>
      <w:bookmarkStart w:id="314" w:name="_Toc7789"/>
      <w:bookmarkStart w:id="315" w:name="_Toc29144"/>
      <w:bookmarkStart w:id="316" w:name="_Toc12825"/>
      <w:bookmarkStart w:id="317" w:name="_Toc26174"/>
      <w:bookmarkStart w:id="318" w:name="_Toc514684592"/>
      <w:bookmarkStart w:id="319" w:name="_Toc29636"/>
      <w:bookmarkStart w:id="320" w:name="_Toc26469"/>
      <w:bookmarkStart w:id="321" w:name="_Toc2103"/>
      <w:r>
        <w:rPr>
          <w:rFonts w:hint="eastAsia" w:ascii="黑体" w:hAnsi="宋体"/>
          <w:b w:val="0"/>
          <w:sz w:val="24"/>
          <w:szCs w:val="24"/>
        </w:rPr>
        <w:t>十二、资产评估报告使用限制说明</w:t>
      </w:r>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pPr>
        <w:pStyle w:val="12"/>
        <w:tabs>
          <w:tab w:val="left" w:pos="0"/>
        </w:tabs>
        <w:snapToGrid w:val="0"/>
        <w:spacing w:line="460" w:lineRule="exact"/>
        <w:rPr>
          <w:color w:val="000000"/>
        </w:rPr>
      </w:pPr>
      <w:r>
        <w:rPr>
          <w:rFonts w:hint="eastAsia"/>
          <w:color w:val="000000"/>
        </w:rPr>
        <w:t>本资产评估报告的使用受以下限制：</w:t>
      </w:r>
    </w:p>
    <w:p>
      <w:pPr>
        <w:pStyle w:val="12"/>
        <w:tabs>
          <w:tab w:val="left" w:pos="0"/>
        </w:tabs>
        <w:snapToGrid w:val="0"/>
        <w:spacing w:line="460" w:lineRule="exact"/>
        <w:rPr>
          <w:color w:val="000000"/>
        </w:rPr>
      </w:pPr>
      <w:r>
        <w:rPr>
          <w:rFonts w:hint="eastAsia"/>
          <w:color w:val="000000"/>
        </w:rPr>
        <w:t>(一)资产评估报告仅供资产评估报告中披露的评估报告使用者用于载明的评估目的和用途。未征本机构同意，资产评估报告的内容不得被摘抄、引用或披露于公开媒体，法律、法规规定以及相关当事人另有约定的除外；</w:t>
      </w:r>
    </w:p>
    <w:p>
      <w:pPr>
        <w:pStyle w:val="12"/>
        <w:tabs>
          <w:tab w:val="left" w:pos="0"/>
        </w:tabs>
        <w:snapToGrid w:val="0"/>
        <w:spacing w:line="460" w:lineRule="exact"/>
        <w:ind w:firstLine="480" w:firstLineChars="200"/>
        <w:rPr>
          <w:color w:val="000000"/>
        </w:rPr>
      </w:pPr>
      <w:r>
        <w:rPr>
          <w:rFonts w:hint="eastAsia"/>
          <w:color w:val="000000"/>
        </w:rPr>
        <w:t>(二)</w:t>
      </w:r>
      <w:r>
        <w:rPr>
          <w:rFonts w:hint="eastAsia"/>
          <w:color w:val="000000"/>
        </w:rPr>
        <w:tab/>
      </w:r>
      <w:r>
        <w:rPr>
          <w:rFonts w:hint="eastAsia"/>
          <w:color w:val="000000"/>
        </w:rPr>
        <w:t>委托人或者其他资产评估报告使用人未按照法律、行政法规规定和资产评估报告载明的使用范围使用资产评估报告的，资产评估机构及其资产评估专业人员不承担责任；</w:t>
      </w:r>
    </w:p>
    <w:p>
      <w:pPr>
        <w:pStyle w:val="12"/>
        <w:tabs>
          <w:tab w:val="left" w:pos="0"/>
        </w:tabs>
        <w:snapToGrid w:val="0"/>
        <w:spacing w:line="460" w:lineRule="exact"/>
        <w:ind w:firstLine="480" w:firstLineChars="200"/>
        <w:rPr>
          <w:color w:val="000000"/>
        </w:rPr>
      </w:pPr>
      <w:r>
        <w:rPr>
          <w:rFonts w:hint="eastAsia"/>
          <w:color w:val="000000"/>
        </w:rPr>
        <w:t>(三) 除委托人、资产评估委托合同中约定的其他资产评估报告使用人和法律、行政法规规定的资产评估报告使用人之外，其他任何机构和个人不能成为资产评估报告的使用人；</w:t>
      </w:r>
    </w:p>
    <w:p>
      <w:pPr>
        <w:pStyle w:val="12"/>
        <w:tabs>
          <w:tab w:val="left" w:pos="0"/>
        </w:tabs>
        <w:snapToGrid w:val="0"/>
        <w:spacing w:line="460" w:lineRule="exact"/>
        <w:rPr>
          <w:color w:val="000000"/>
        </w:rPr>
      </w:pPr>
      <w:r>
        <w:rPr>
          <w:rFonts w:hint="eastAsia"/>
          <w:color w:val="000000"/>
        </w:rPr>
        <w:t>（四）资产评估报告使用人应当正确理解评估结论。评估结论不等同于评估对象可实现价格，评估结论不应当被认为是对评估对象可实现价格的保证。</w:t>
      </w:r>
    </w:p>
    <w:p>
      <w:pPr>
        <w:pStyle w:val="3"/>
        <w:spacing w:before="120" w:after="120" w:line="360" w:lineRule="auto"/>
        <w:ind w:firstLine="480" w:firstLineChars="200"/>
        <w:rPr>
          <w:rFonts w:ascii="黑体" w:hAnsi="宋体"/>
          <w:b w:val="0"/>
          <w:sz w:val="24"/>
          <w:szCs w:val="24"/>
        </w:rPr>
      </w:pPr>
      <w:bookmarkStart w:id="322" w:name="_Toc22428"/>
      <w:bookmarkStart w:id="323" w:name="_Toc9945"/>
      <w:bookmarkStart w:id="324" w:name="_Toc4361"/>
      <w:bookmarkStart w:id="325" w:name="_Toc496879661"/>
      <w:bookmarkStart w:id="326" w:name="_Toc15985"/>
      <w:bookmarkStart w:id="327" w:name="_Toc9459"/>
      <w:bookmarkStart w:id="328" w:name="_Toc15423"/>
      <w:bookmarkStart w:id="329" w:name="_Toc5991"/>
      <w:bookmarkStart w:id="330" w:name="_Toc6795"/>
      <w:bookmarkStart w:id="331" w:name="_Toc21650"/>
      <w:bookmarkStart w:id="332" w:name="_Toc438472942"/>
      <w:bookmarkStart w:id="333" w:name="_Toc14051"/>
      <w:bookmarkStart w:id="334" w:name="_Toc8889"/>
      <w:bookmarkStart w:id="335" w:name="_Toc23181"/>
      <w:bookmarkStart w:id="336" w:name="_Toc27182"/>
      <w:bookmarkStart w:id="337" w:name="_Toc31395"/>
      <w:bookmarkStart w:id="338" w:name="_Toc25503"/>
      <w:bookmarkStart w:id="339" w:name="_Toc21428"/>
      <w:r>
        <w:rPr>
          <w:rFonts w:hint="eastAsia" w:ascii="黑体" w:hAnsi="宋体"/>
          <w:b w:val="0"/>
          <w:sz w:val="24"/>
          <w:szCs w:val="24"/>
        </w:rPr>
        <w:t>十三、资产评估报告日</w:t>
      </w:r>
      <w:bookmarkEnd w:id="305"/>
      <w:bookmarkEnd w:id="306"/>
      <w:bookmarkEnd w:id="307"/>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pPr>
        <w:tabs>
          <w:tab w:val="left" w:pos="11988"/>
        </w:tabs>
        <w:spacing w:line="450" w:lineRule="exact"/>
        <w:ind w:firstLine="480" w:firstLineChars="200"/>
        <w:rPr>
          <w:rFonts w:ascii="宋体" w:hAnsi="宋体" w:cs="Arial"/>
          <w:sz w:val="24"/>
        </w:rPr>
      </w:pPr>
      <w:r>
        <w:rPr>
          <w:rFonts w:hint="eastAsia" w:ascii="宋体" w:hAnsi="宋体" w:cs="Arial"/>
          <w:sz w:val="24"/>
        </w:rPr>
        <w:t>本次资产评估报告日为2018年11月8日。</w:t>
      </w:r>
    </w:p>
    <w:p>
      <w:pPr>
        <w:tabs>
          <w:tab w:val="left" w:pos="0"/>
          <w:tab w:val="left" w:pos="11988"/>
        </w:tabs>
        <w:spacing w:line="450" w:lineRule="exact"/>
        <w:ind w:firstLine="480" w:firstLineChars="200"/>
        <w:rPr>
          <w:rFonts w:ascii="宋体" w:hAnsi="宋体" w:cs="Arial"/>
          <w:sz w:val="24"/>
        </w:rPr>
      </w:pPr>
      <w:r>
        <w:rPr>
          <w:rFonts w:ascii="宋体" w:hAnsi="宋体" w:cs="Arial"/>
          <w:sz w:val="24"/>
        </w:rPr>
        <w:t>(以下无正文)</w:t>
      </w:r>
    </w:p>
    <w:p>
      <w:pPr>
        <w:widowControl/>
        <w:jc w:val="left"/>
        <w:rPr>
          <w:rFonts w:ascii="宋体" w:hAnsi="宋体" w:cs="Arial"/>
          <w:color w:val="auto"/>
          <w:sz w:val="24"/>
        </w:rPr>
      </w:pPr>
      <w:r>
        <w:rPr>
          <w:rFonts w:ascii="宋体" w:hAnsi="宋体" w:cs="Arial"/>
          <w:sz w:val="24"/>
        </w:rPr>
        <w:br w:type="page"/>
      </w:r>
      <w:r>
        <w:rPr>
          <w:rFonts w:ascii="宋体" w:hAnsi="宋体" w:cs="Arial"/>
          <w:color w:val="auto"/>
          <w:sz w:val="24"/>
        </w:rPr>
        <w:t xml:space="preserve"> </w:t>
      </w:r>
      <w:r>
        <w:rPr>
          <w:rFonts w:hint="eastAsia" w:ascii="宋体" w:hAnsi="宋体" w:cs="Arial"/>
          <w:color w:val="auto"/>
          <w:sz w:val="24"/>
        </w:rPr>
        <w:t>(本页无正文)</w:t>
      </w:r>
    </w:p>
    <w:p>
      <w:pPr>
        <w:tabs>
          <w:tab w:val="left" w:pos="0"/>
          <w:tab w:val="left" w:pos="11988"/>
        </w:tabs>
        <w:spacing w:line="460" w:lineRule="exact"/>
        <w:rPr>
          <w:rFonts w:ascii="宋体" w:hAnsi="宋体" w:cs="Arial"/>
          <w:sz w:val="24"/>
        </w:rPr>
      </w:pPr>
    </w:p>
    <w:p>
      <w:pPr>
        <w:tabs>
          <w:tab w:val="left" w:pos="0"/>
          <w:tab w:val="left" w:pos="11988"/>
        </w:tabs>
        <w:spacing w:line="460" w:lineRule="exact"/>
        <w:rPr>
          <w:rFonts w:ascii="黑体" w:hAnsi="宋体" w:eastAsia="黑体" w:cs="Arial"/>
          <w:sz w:val="24"/>
        </w:rPr>
      </w:pPr>
      <w:r>
        <w:rPr>
          <w:rFonts w:hint="eastAsia" w:ascii="黑体" w:hAnsi="宋体" w:eastAsia="黑体" w:cs="Arial"/>
          <w:color w:val="FFFFFF" w:themeColor="background1"/>
          <w:sz w:val="24"/>
          <w14:textFill>
            <w14:solidFill>
              <w14:schemeClr w14:val="bg1"/>
            </w14:solidFill>
          </w14:textFill>
        </w:rPr>
        <w:t xml:space="preserve">法定代表人： </w:t>
      </w:r>
      <w:r>
        <w:rPr>
          <w:rFonts w:hint="eastAsia" w:ascii="黑体" w:hAnsi="宋体" w:eastAsia="黑体" w:cs="Arial"/>
          <w:sz w:val="24"/>
        </w:rPr>
        <w:t xml:space="preserve">                      资产评估师：</w:t>
      </w:r>
    </w:p>
    <w:p>
      <w:pPr>
        <w:tabs>
          <w:tab w:val="left" w:pos="0"/>
          <w:tab w:val="left" w:pos="11988"/>
        </w:tabs>
        <w:spacing w:line="460" w:lineRule="exact"/>
        <w:rPr>
          <w:rFonts w:ascii="黑体" w:hAnsi="宋体" w:eastAsia="黑体" w:cs="Arial"/>
          <w:sz w:val="24"/>
        </w:rPr>
      </w:pPr>
    </w:p>
    <w:p>
      <w:pPr>
        <w:tabs>
          <w:tab w:val="left" w:pos="0"/>
          <w:tab w:val="left" w:pos="11988"/>
        </w:tabs>
        <w:spacing w:line="460" w:lineRule="exact"/>
        <w:rPr>
          <w:rFonts w:ascii="黑体" w:hAnsi="宋体" w:eastAsia="黑体" w:cs="Arial"/>
          <w:sz w:val="24"/>
        </w:rPr>
      </w:pPr>
    </w:p>
    <w:p>
      <w:pPr>
        <w:tabs>
          <w:tab w:val="left" w:pos="0"/>
          <w:tab w:val="left" w:pos="11988"/>
        </w:tabs>
        <w:spacing w:line="460" w:lineRule="exact"/>
        <w:rPr>
          <w:rFonts w:ascii="黑体" w:hAnsi="宋体" w:eastAsia="黑体" w:cs="Arial"/>
          <w:sz w:val="24"/>
        </w:rPr>
      </w:pPr>
      <w:r>
        <w:rPr>
          <w:rFonts w:hint="eastAsia" w:ascii="黑体" w:hAnsi="宋体" w:eastAsia="黑体" w:cs="Arial"/>
          <w:sz w:val="24"/>
        </w:rPr>
        <w:t xml:space="preserve">                                   资产评估师：</w:t>
      </w:r>
    </w:p>
    <w:p>
      <w:pPr>
        <w:tabs>
          <w:tab w:val="left" w:pos="0"/>
          <w:tab w:val="left" w:pos="11988"/>
        </w:tabs>
        <w:spacing w:line="460" w:lineRule="exact"/>
        <w:rPr>
          <w:rFonts w:ascii="黑体" w:hAnsi="宋体" w:eastAsia="黑体" w:cs="Arial"/>
          <w:sz w:val="24"/>
        </w:rPr>
      </w:pPr>
    </w:p>
    <w:p>
      <w:pPr>
        <w:tabs>
          <w:tab w:val="left" w:pos="0"/>
          <w:tab w:val="left" w:pos="11988"/>
        </w:tabs>
        <w:spacing w:line="460" w:lineRule="exact"/>
        <w:rPr>
          <w:rFonts w:ascii="黑体" w:hAnsi="宋体" w:eastAsia="黑体" w:cs="Arial"/>
          <w:sz w:val="24"/>
        </w:rPr>
      </w:pPr>
      <w:bookmarkStart w:id="358" w:name="_GoBack"/>
      <w:bookmarkEnd w:id="358"/>
    </w:p>
    <w:p>
      <w:pPr>
        <w:tabs>
          <w:tab w:val="left" w:pos="0"/>
          <w:tab w:val="left" w:pos="11988"/>
        </w:tabs>
        <w:spacing w:line="460" w:lineRule="exact"/>
        <w:jc w:val="center"/>
        <w:rPr>
          <w:rFonts w:ascii="黑体" w:hAnsi="宋体" w:eastAsia="黑体" w:cs="Arial"/>
          <w:sz w:val="24"/>
        </w:rPr>
      </w:pPr>
      <w:r>
        <w:rPr>
          <w:rFonts w:hint="eastAsia" w:ascii="黑体" w:hAnsi="宋体" w:eastAsia="黑体" w:cs="Arial"/>
          <w:sz w:val="24"/>
        </w:rPr>
        <w:t xml:space="preserve">                  天源资产评估有限公司</w:t>
      </w:r>
    </w:p>
    <w:p>
      <w:pPr>
        <w:tabs>
          <w:tab w:val="left" w:pos="0"/>
          <w:tab w:val="left" w:pos="11988"/>
        </w:tabs>
        <w:spacing w:line="460" w:lineRule="exact"/>
        <w:rPr>
          <w:rFonts w:ascii="黑体" w:hAnsi="宋体" w:eastAsia="黑体" w:cs="Arial"/>
          <w:sz w:val="24"/>
        </w:rPr>
      </w:pPr>
    </w:p>
    <w:p>
      <w:pPr>
        <w:tabs>
          <w:tab w:val="left" w:pos="0"/>
          <w:tab w:val="left" w:pos="11988"/>
        </w:tabs>
        <w:spacing w:line="460" w:lineRule="exact"/>
        <w:rPr>
          <w:rFonts w:ascii="黑体" w:hAnsi="宋体" w:eastAsia="黑体" w:cs="Arial"/>
          <w:sz w:val="24"/>
        </w:rPr>
      </w:pPr>
    </w:p>
    <w:p>
      <w:pPr>
        <w:tabs>
          <w:tab w:val="left" w:pos="0"/>
          <w:tab w:val="left" w:pos="11988"/>
        </w:tabs>
        <w:spacing w:line="460" w:lineRule="exact"/>
        <w:ind w:firstLine="480" w:firstLineChars="200"/>
        <w:rPr>
          <w:rFonts w:eastAsia="黑体"/>
        </w:rPr>
      </w:pPr>
      <w:r>
        <w:rPr>
          <w:rFonts w:hint="eastAsia" w:ascii="黑体" w:hAnsi="宋体" w:eastAsia="黑体" w:cs="Arial"/>
          <w:sz w:val="24"/>
        </w:rPr>
        <w:t>　　　　　　　　　　　　  　  二〇一八年十一月八日</w:t>
      </w:r>
    </w:p>
    <w:p>
      <w:pPr>
        <w:spacing w:before="40" w:line="360" w:lineRule="auto"/>
        <w:ind w:right="238"/>
        <w:rPr>
          <w:rFonts w:ascii="宋体" w:hAnsi="宋体"/>
        </w:rPr>
        <w:sectPr>
          <w:headerReference r:id="rId15" w:type="default"/>
          <w:pgSz w:w="11907" w:h="16840"/>
          <w:pgMar w:top="1440" w:right="1588" w:bottom="1440" w:left="1797" w:header="1021" w:footer="851" w:gutter="0"/>
          <w:cols w:equalWidth="0" w:num="1">
            <w:col w:w="8505"/>
          </w:cols>
        </w:sectPr>
      </w:pPr>
    </w:p>
    <w:p/>
    <w:p/>
    <w:p/>
    <w:p/>
    <w:p/>
    <w:p/>
    <w:p/>
    <w:p/>
    <w:p/>
    <w:p/>
    <w:p/>
    <w:p/>
    <w:p/>
    <w:p/>
    <w:p/>
    <w:p/>
    <w:p/>
    <w:p/>
    <w:p/>
    <w:p/>
    <w:p/>
    <w:p/>
    <w:p/>
    <w:p/>
    <w:p/>
    <w:p>
      <w:pPr>
        <w:pStyle w:val="2"/>
        <w:spacing w:before="360" w:line="240" w:lineRule="auto"/>
        <w:jc w:val="center"/>
        <w:rPr>
          <w:rFonts w:ascii="黑体" w:hAnsi="宋体" w:eastAsia="黑体"/>
          <w:sz w:val="36"/>
        </w:rPr>
      </w:pPr>
      <w:bookmarkStart w:id="340" w:name="_Toc438472943"/>
      <w:bookmarkStart w:id="341" w:name="_Toc496879662"/>
    </w:p>
    <w:p>
      <w:pPr>
        <w:pStyle w:val="2"/>
        <w:spacing w:before="360" w:line="240" w:lineRule="auto"/>
        <w:jc w:val="center"/>
        <w:rPr>
          <w:rFonts w:ascii="黑体" w:hAnsi="宋体" w:eastAsia="黑体"/>
          <w:sz w:val="36"/>
        </w:rPr>
      </w:pPr>
      <w:bookmarkStart w:id="342" w:name="_Toc13637"/>
      <w:bookmarkStart w:id="343" w:name="_Toc2862"/>
      <w:bookmarkStart w:id="344" w:name="_Toc24570"/>
      <w:bookmarkStart w:id="345" w:name="_Toc13946"/>
      <w:bookmarkStart w:id="346" w:name="_Toc3345"/>
      <w:bookmarkStart w:id="347" w:name="_Toc28421"/>
      <w:bookmarkStart w:id="348" w:name="_Toc17238"/>
      <w:bookmarkStart w:id="349" w:name="_Toc22918"/>
      <w:bookmarkStart w:id="350" w:name="_Toc30558"/>
      <w:bookmarkStart w:id="351" w:name="_Toc4100"/>
      <w:bookmarkStart w:id="352" w:name="_Toc6055"/>
      <w:bookmarkStart w:id="353" w:name="_Toc19408"/>
      <w:bookmarkStart w:id="354" w:name="_Toc26700"/>
      <w:bookmarkStart w:id="355" w:name="_Toc14059"/>
      <w:bookmarkStart w:id="356" w:name="_Toc13471"/>
      <w:bookmarkStart w:id="357" w:name="_Toc24021"/>
      <w:r>
        <w:rPr>
          <w:rFonts w:hint="eastAsia" w:ascii="黑体" w:hAnsi="宋体" w:eastAsia="黑体"/>
          <w:sz w:val="36"/>
        </w:rPr>
        <w:t>附     件</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pPr>
        <w:snapToGrid w:val="0"/>
        <w:spacing w:line="500" w:lineRule="exact"/>
        <w:ind w:firstLine="720" w:firstLineChars="300"/>
        <w:rPr>
          <w:rFonts w:ascii="宋体" w:hAnsi="宋体"/>
          <w:sz w:val="24"/>
        </w:rPr>
      </w:pPr>
    </w:p>
    <w:p>
      <w:pPr>
        <w:numPr>
          <w:ilvl w:val="0"/>
          <w:numId w:val="5"/>
        </w:numPr>
        <w:snapToGrid w:val="0"/>
        <w:spacing w:line="1000" w:lineRule="exact"/>
        <w:rPr>
          <w:rFonts w:ascii="宋体" w:hAnsi="宋体"/>
          <w:sz w:val="24"/>
        </w:rPr>
      </w:pPr>
      <w:r>
        <w:rPr>
          <w:rFonts w:hint="eastAsia" w:ascii="宋体" w:hAnsi="宋体"/>
          <w:sz w:val="24"/>
        </w:rPr>
        <w:t>《杭州市滨江区人民法院资产评估委托书》</w:t>
      </w:r>
    </w:p>
    <w:p>
      <w:pPr>
        <w:numPr>
          <w:ilvl w:val="0"/>
          <w:numId w:val="5"/>
        </w:numPr>
        <w:snapToGrid w:val="0"/>
        <w:spacing w:line="1000" w:lineRule="exact"/>
        <w:rPr>
          <w:rFonts w:ascii="宋体" w:hAnsi="宋体"/>
          <w:sz w:val="24"/>
        </w:rPr>
      </w:pPr>
      <w:r>
        <w:rPr>
          <w:rFonts w:hint="eastAsia" w:ascii="宋体" w:hAnsi="宋体"/>
          <w:sz w:val="24"/>
        </w:rPr>
        <w:t>评估机构资格备案文件</w:t>
      </w:r>
    </w:p>
    <w:p>
      <w:pPr>
        <w:numPr>
          <w:ilvl w:val="0"/>
          <w:numId w:val="5"/>
        </w:numPr>
        <w:snapToGrid w:val="0"/>
        <w:spacing w:line="1000" w:lineRule="exact"/>
        <w:rPr>
          <w:rFonts w:ascii="宋体" w:hAnsi="宋体"/>
          <w:sz w:val="24"/>
        </w:rPr>
      </w:pPr>
      <w:r>
        <w:rPr>
          <w:rFonts w:hint="eastAsia" w:ascii="宋体" w:hAnsi="宋体"/>
          <w:sz w:val="24"/>
        </w:rPr>
        <w:t>评估机构营业执照</w:t>
      </w:r>
    </w:p>
    <w:p>
      <w:pPr>
        <w:numPr>
          <w:ilvl w:val="0"/>
          <w:numId w:val="5"/>
        </w:numPr>
        <w:snapToGrid w:val="0"/>
        <w:spacing w:line="1000" w:lineRule="exact"/>
        <w:rPr>
          <w:rFonts w:ascii="宋体" w:hAnsi="宋体"/>
          <w:sz w:val="24"/>
        </w:rPr>
      </w:pPr>
      <w:r>
        <w:rPr>
          <w:rFonts w:hint="eastAsia" w:ascii="宋体" w:hAnsi="宋体"/>
          <w:sz w:val="24"/>
        </w:rPr>
        <w:t>资产评估师资格证书</w:t>
      </w:r>
    </w:p>
    <w:p>
      <w:pPr>
        <w:numPr>
          <w:ilvl w:val="0"/>
          <w:numId w:val="5"/>
        </w:numPr>
        <w:snapToGrid w:val="0"/>
        <w:spacing w:line="1000" w:lineRule="exact"/>
        <w:rPr>
          <w:rFonts w:ascii="宋体" w:hAnsi="宋体"/>
          <w:sz w:val="24"/>
        </w:rPr>
      </w:pPr>
      <w:r>
        <w:rPr>
          <w:rFonts w:hint="eastAsia" w:ascii="宋体" w:hAnsi="宋体"/>
          <w:sz w:val="24"/>
        </w:rPr>
        <w:t>评估对象实物照片</w:t>
      </w:r>
    </w:p>
    <w:p>
      <w:pPr>
        <w:numPr>
          <w:ilvl w:val="0"/>
          <w:numId w:val="5"/>
        </w:numPr>
        <w:tabs>
          <w:tab w:val="left" w:pos="0"/>
        </w:tabs>
        <w:snapToGrid w:val="0"/>
        <w:spacing w:line="780" w:lineRule="atLeast"/>
        <w:rPr>
          <w:rFonts w:ascii="宋体" w:hAnsi="宋体"/>
          <w:sz w:val="24"/>
        </w:rPr>
      </w:pPr>
      <w:r>
        <w:rPr>
          <w:rFonts w:hint="eastAsia" w:ascii="宋体" w:hAnsi="宋体"/>
          <w:sz w:val="24"/>
        </w:rPr>
        <w:t>资产评估</w:t>
      </w:r>
      <w:r>
        <w:rPr>
          <w:rFonts w:hint="eastAsia" w:ascii="宋体" w:hAnsi="宋体"/>
          <w:sz w:val="24"/>
          <w:lang w:eastAsia="zh-CN"/>
        </w:rPr>
        <w:t>汇总表及</w:t>
      </w:r>
      <w:r>
        <w:rPr>
          <w:rFonts w:hint="eastAsia" w:ascii="宋体" w:hAnsi="宋体"/>
          <w:sz w:val="24"/>
        </w:rPr>
        <w:t>明细表</w:t>
      </w:r>
    </w:p>
    <w:p>
      <w:pPr>
        <w:snapToGrid w:val="0"/>
        <w:spacing w:line="500" w:lineRule="exact"/>
        <w:ind w:left="2547"/>
        <w:rPr>
          <w:rFonts w:ascii="宋体" w:hAnsi="宋体"/>
          <w:sz w:val="24"/>
        </w:rPr>
      </w:pPr>
    </w:p>
    <w:p>
      <w:pPr>
        <w:snapToGrid w:val="0"/>
        <w:spacing w:line="500" w:lineRule="exact"/>
        <w:rPr>
          <w:rFonts w:ascii="宋体" w:hAnsi="宋体"/>
          <w:sz w:val="24"/>
        </w:rPr>
      </w:pPr>
    </w:p>
    <w:p>
      <w:pPr>
        <w:snapToGrid w:val="0"/>
        <w:spacing w:line="500" w:lineRule="exact"/>
        <w:ind w:firstLine="720" w:firstLineChars="300"/>
        <w:rPr>
          <w:rFonts w:ascii="宋体" w:hAnsi="宋体"/>
          <w:sz w:val="24"/>
        </w:rPr>
      </w:pPr>
    </w:p>
    <w:p>
      <w:pPr>
        <w:snapToGrid w:val="0"/>
        <w:spacing w:line="500" w:lineRule="exact"/>
        <w:ind w:firstLine="630" w:firstLineChars="300"/>
        <w:rPr>
          <w:rFonts w:ascii="宋体" w:hAnsi="宋体"/>
          <w:i/>
          <w:color w:val="FF00FF"/>
          <w:szCs w:val="21"/>
        </w:rPr>
      </w:pPr>
    </w:p>
    <w:p>
      <w:pPr>
        <w:snapToGrid w:val="0"/>
        <w:spacing w:line="500" w:lineRule="exact"/>
        <w:ind w:firstLine="630" w:firstLineChars="300"/>
        <w:rPr>
          <w:rFonts w:ascii="宋体" w:hAnsi="宋体"/>
          <w:i/>
          <w:color w:val="FF00FF"/>
          <w:szCs w:val="21"/>
        </w:rPr>
      </w:pPr>
    </w:p>
    <w:p>
      <w:pPr>
        <w:snapToGrid w:val="0"/>
        <w:spacing w:line="500" w:lineRule="exact"/>
        <w:ind w:firstLine="630" w:firstLineChars="300"/>
        <w:rPr>
          <w:rFonts w:ascii="宋体" w:hAnsi="宋体"/>
          <w:i/>
          <w:color w:val="FF00FF"/>
          <w:szCs w:val="21"/>
        </w:rPr>
      </w:pPr>
    </w:p>
    <w:p>
      <w:pPr>
        <w:snapToGrid w:val="0"/>
        <w:spacing w:line="500" w:lineRule="exact"/>
        <w:ind w:firstLine="630" w:firstLineChars="300"/>
        <w:rPr>
          <w:rFonts w:ascii="宋体" w:hAnsi="宋体"/>
          <w:i/>
          <w:color w:val="FF00FF"/>
          <w:szCs w:val="21"/>
        </w:rPr>
      </w:pPr>
    </w:p>
    <w:p>
      <w:pPr>
        <w:snapToGrid w:val="0"/>
        <w:spacing w:line="500" w:lineRule="exact"/>
        <w:ind w:firstLine="630" w:firstLineChars="300"/>
        <w:rPr>
          <w:rFonts w:ascii="宋体" w:hAnsi="宋体"/>
          <w:i/>
          <w:color w:val="FF00FF"/>
          <w:szCs w:val="21"/>
        </w:rPr>
      </w:pPr>
    </w:p>
    <w:p>
      <w:pPr>
        <w:snapToGrid w:val="0"/>
        <w:spacing w:line="500" w:lineRule="exact"/>
        <w:ind w:firstLine="630" w:firstLineChars="300"/>
        <w:rPr>
          <w:rFonts w:ascii="宋体" w:hAnsi="宋体"/>
          <w:i/>
          <w:color w:val="FF00FF"/>
          <w:szCs w:val="21"/>
        </w:rPr>
        <w:sectPr>
          <w:headerReference r:id="rId16" w:type="default"/>
          <w:type w:val="continuous"/>
          <w:pgSz w:w="11907" w:h="16840"/>
          <w:pgMar w:top="1440" w:right="1588" w:bottom="1440" w:left="1797" w:header="1021" w:footer="851" w:gutter="0"/>
          <w:cols w:equalWidth="0" w:num="1">
            <w:col w:w="8505"/>
          </w:cols>
        </w:sectPr>
      </w:pPr>
    </w:p>
    <w:tbl>
      <w:tblPr>
        <w:tblStyle w:val="40"/>
        <w:tblW w:w="8721"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11"/>
        <w:gridCol w:w="43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157" w:hRule="atLeast"/>
          <w:jc w:val="center"/>
        </w:trPr>
        <w:tc>
          <w:tcPr>
            <w:tcW w:w="4411" w:type="dxa"/>
            <w:vAlign w:val="center"/>
          </w:tcPr>
          <w:p>
            <w:pPr>
              <w:snapToGrid w:val="0"/>
              <w:spacing w:before="120" w:line="260" w:lineRule="atLeast"/>
              <w:jc w:val="center"/>
              <w:rPr>
                <w:rFonts w:ascii="宋体" w:hAnsi="宋体"/>
                <w:i/>
                <w:szCs w:val="21"/>
              </w:rPr>
            </w:pPr>
            <w:r>
              <w:rPr>
                <w:rFonts w:ascii="宋体" w:hAnsi="宋体"/>
                <w:i/>
                <w:szCs w:val="21"/>
              </w:rPr>
              <w:drawing>
                <wp:inline distT="0" distB="0" distL="114300" distR="114300">
                  <wp:extent cx="1920240" cy="2560320"/>
                  <wp:effectExtent l="0" t="0" r="3810" b="11430"/>
                  <wp:docPr id="5" name="图片 5" descr="IMG_20181023_12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181023_125954"/>
                          <pic:cNvPicPr>
                            <a:picLocks noChangeAspect="1"/>
                          </pic:cNvPicPr>
                        </pic:nvPicPr>
                        <pic:blipFill>
                          <a:blip r:embed="rId23"/>
                          <a:stretch>
                            <a:fillRect/>
                          </a:stretch>
                        </pic:blipFill>
                        <pic:spPr>
                          <a:xfrm>
                            <a:off x="0" y="0"/>
                            <a:ext cx="1920240" cy="2560320"/>
                          </a:xfrm>
                          <a:prstGeom prst="rect">
                            <a:avLst/>
                          </a:prstGeom>
                        </pic:spPr>
                      </pic:pic>
                    </a:graphicData>
                  </a:graphic>
                </wp:inline>
              </w:drawing>
            </w:r>
          </w:p>
        </w:tc>
        <w:tc>
          <w:tcPr>
            <w:tcW w:w="4310" w:type="dxa"/>
            <w:vAlign w:val="center"/>
          </w:tcPr>
          <w:p>
            <w:pPr>
              <w:snapToGrid w:val="0"/>
              <w:spacing w:before="120" w:line="260" w:lineRule="atLeast"/>
              <w:jc w:val="center"/>
              <w:rPr>
                <w:rFonts w:ascii="宋体" w:hAnsi="宋体"/>
                <w:i/>
                <w:szCs w:val="21"/>
              </w:rPr>
            </w:pPr>
            <w:r>
              <w:rPr>
                <w:rFonts w:ascii="宋体" w:hAnsi="宋体"/>
                <w:i/>
                <w:szCs w:val="21"/>
              </w:rPr>
              <w:drawing>
                <wp:inline distT="0" distB="0" distL="114300" distR="114300">
                  <wp:extent cx="1875155" cy="2500630"/>
                  <wp:effectExtent l="0" t="0" r="10795" b="13970"/>
                  <wp:docPr id="6" name="图片 6" descr="IMG_20181023_12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0181023_124350"/>
                          <pic:cNvPicPr>
                            <a:picLocks noChangeAspect="1"/>
                          </pic:cNvPicPr>
                        </pic:nvPicPr>
                        <pic:blipFill>
                          <a:blip r:embed="rId24"/>
                          <a:stretch>
                            <a:fillRect/>
                          </a:stretch>
                        </pic:blipFill>
                        <pic:spPr>
                          <a:xfrm>
                            <a:off x="0" y="0"/>
                            <a:ext cx="1875155" cy="250063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62" w:hRule="atLeast"/>
          <w:jc w:val="center"/>
        </w:trPr>
        <w:tc>
          <w:tcPr>
            <w:tcW w:w="4411" w:type="dxa"/>
            <w:vAlign w:val="center"/>
          </w:tcPr>
          <w:p>
            <w:pPr>
              <w:snapToGrid w:val="0"/>
              <w:spacing w:before="120" w:line="260" w:lineRule="atLeast"/>
              <w:jc w:val="center"/>
              <w:rPr>
                <w:rFonts w:ascii="宋体" w:hAnsi="宋体"/>
                <w:i/>
                <w:szCs w:val="21"/>
              </w:rPr>
            </w:pPr>
            <w:r>
              <w:rPr>
                <w:rFonts w:hint="eastAsia" w:ascii="宋体" w:hAnsi="宋体"/>
                <w:iCs/>
                <w:szCs w:val="21"/>
              </w:rPr>
              <w:t>外立面</w:t>
            </w:r>
          </w:p>
        </w:tc>
        <w:tc>
          <w:tcPr>
            <w:tcW w:w="4310" w:type="dxa"/>
            <w:vAlign w:val="center"/>
          </w:tcPr>
          <w:p>
            <w:pPr>
              <w:snapToGrid w:val="0"/>
              <w:spacing w:before="120" w:line="260" w:lineRule="atLeast"/>
              <w:jc w:val="center"/>
              <w:rPr>
                <w:rFonts w:ascii="宋体" w:hAnsi="宋体"/>
                <w:iCs/>
                <w:szCs w:val="21"/>
              </w:rPr>
            </w:pPr>
            <w:r>
              <w:rPr>
                <w:rFonts w:hint="eastAsia" w:ascii="宋体" w:hAnsi="宋体"/>
                <w:iCs/>
                <w:szCs w:val="21"/>
              </w:rPr>
              <w:t>单元门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199" w:hRule="atLeast"/>
          <w:jc w:val="center"/>
        </w:trPr>
        <w:tc>
          <w:tcPr>
            <w:tcW w:w="4411" w:type="dxa"/>
            <w:vAlign w:val="center"/>
          </w:tcPr>
          <w:p>
            <w:pPr>
              <w:widowControl/>
              <w:spacing w:before="120" w:line="260" w:lineRule="atLeast"/>
              <w:jc w:val="center"/>
              <w:rPr>
                <w:rFonts w:ascii="宋体" w:hAnsi="宋体"/>
                <w:i/>
                <w:szCs w:val="21"/>
              </w:rPr>
            </w:pPr>
            <w:r>
              <w:rPr>
                <w:rFonts w:ascii="宋体" w:hAnsi="宋体" w:cs="宋体"/>
                <w:kern w:val="0"/>
                <w:szCs w:val="21"/>
              </w:rPr>
              <w:drawing>
                <wp:inline distT="0" distB="0" distL="114300" distR="114300">
                  <wp:extent cx="2477770" cy="1858645"/>
                  <wp:effectExtent l="0" t="0" r="17780" b="825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25"/>
                          <a:stretch>
                            <a:fillRect/>
                          </a:stretch>
                        </pic:blipFill>
                        <pic:spPr>
                          <a:xfrm>
                            <a:off x="0" y="0"/>
                            <a:ext cx="2477770" cy="1858645"/>
                          </a:xfrm>
                          <a:prstGeom prst="rect">
                            <a:avLst/>
                          </a:prstGeom>
                          <a:noFill/>
                          <a:ln w="9525">
                            <a:noFill/>
                          </a:ln>
                        </pic:spPr>
                      </pic:pic>
                    </a:graphicData>
                  </a:graphic>
                </wp:inline>
              </w:drawing>
            </w:r>
          </w:p>
        </w:tc>
        <w:tc>
          <w:tcPr>
            <w:tcW w:w="4310" w:type="dxa"/>
            <w:vAlign w:val="center"/>
          </w:tcPr>
          <w:p>
            <w:pPr>
              <w:widowControl/>
              <w:spacing w:before="120" w:line="260" w:lineRule="atLeast"/>
              <w:jc w:val="center"/>
              <w:rPr>
                <w:rFonts w:ascii="宋体" w:hAnsi="宋体"/>
                <w:i/>
                <w:szCs w:val="21"/>
              </w:rPr>
            </w:pPr>
            <w:r>
              <w:rPr>
                <w:rFonts w:ascii="宋体" w:hAnsi="宋体" w:cs="宋体"/>
                <w:kern w:val="0"/>
                <w:szCs w:val="21"/>
              </w:rPr>
              <w:drawing>
                <wp:inline distT="0" distB="0" distL="114300" distR="114300">
                  <wp:extent cx="2454910" cy="1840865"/>
                  <wp:effectExtent l="0" t="0" r="2540" b="698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26"/>
                          <a:stretch>
                            <a:fillRect/>
                          </a:stretch>
                        </pic:blipFill>
                        <pic:spPr>
                          <a:xfrm>
                            <a:off x="0" y="0"/>
                            <a:ext cx="2454910" cy="184086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52" w:hRule="atLeast"/>
          <w:jc w:val="center"/>
        </w:trPr>
        <w:tc>
          <w:tcPr>
            <w:tcW w:w="4411" w:type="dxa"/>
            <w:vAlign w:val="center"/>
          </w:tcPr>
          <w:p>
            <w:pPr>
              <w:snapToGrid w:val="0"/>
              <w:spacing w:before="120" w:line="260" w:lineRule="atLeast"/>
              <w:jc w:val="center"/>
              <w:rPr>
                <w:rFonts w:ascii="宋体" w:hAnsi="宋体"/>
                <w:iCs/>
                <w:szCs w:val="21"/>
              </w:rPr>
            </w:pPr>
            <w:r>
              <w:rPr>
                <w:rFonts w:hint="eastAsia" w:ascii="宋体" w:hAnsi="宋体"/>
                <w:iCs/>
                <w:szCs w:val="21"/>
              </w:rPr>
              <w:t>客厅</w:t>
            </w:r>
          </w:p>
        </w:tc>
        <w:tc>
          <w:tcPr>
            <w:tcW w:w="4310" w:type="dxa"/>
            <w:vAlign w:val="center"/>
          </w:tcPr>
          <w:p>
            <w:pPr>
              <w:snapToGrid w:val="0"/>
              <w:spacing w:before="120" w:line="260" w:lineRule="atLeast"/>
              <w:jc w:val="center"/>
              <w:rPr>
                <w:rFonts w:ascii="宋体" w:hAnsi="宋体"/>
                <w:iCs/>
                <w:szCs w:val="21"/>
              </w:rPr>
            </w:pPr>
            <w:r>
              <w:rPr>
                <w:rFonts w:hint="eastAsia" w:ascii="宋体" w:hAnsi="宋体"/>
                <w:iCs/>
                <w:szCs w:val="21"/>
              </w:rPr>
              <w:t>客厅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157" w:hRule="atLeast"/>
          <w:jc w:val="center"/>
        </w:trPr>
        <w:tc>
          <w:tcPr>
            <w:tcW w:w="4411" w:type="dxa"/>
            <w:vAlign w:val="center"/>
          </w:tcPr>
          <w:p>
            <w:pPr>
              <w:snapToGrid w:val="0"/>
              <w:spacing w:before="120" w:line="260" w:lineRule="atLeast"/>
              <w:jc w:val="center"/>
              <w:rPr>
                <w:rFonts w:ascii="宋体" w:hAnsi="宋体"/>
                <w:i/>
                <w:szCs w:val="21"/>
              </w:rPr>
            </w:pPr>
            <w:r>
              <w:rPr>
                <w:rFonts w:ascii="宋体" w:hAnsi="宋体"/>
                <w:i/>
                <w:szCs w:val="21"/>
              </w:rPr>
              <w:drawing>
                <wp:inline distT="0" distB="0" distL="114300" distR="114300">
                  <wp:extent cx="1895475" cy="2526665"/>
                  <wp:effectExtent l="0" t="0" r="9525" b="6985"/>
                  <wp:docPr id="9" name="图片 9" descr="IMG_20181023_13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0181023_131040"/>
                          <pic:cNvPicPr>
                            <a:picLocks noChangeAspect="1"/>
                          </pic:cNvPicPr>
                        </pic:nvPicPr>
                        <pic:blipFill>
                          <a:blip r:embed="rId27"/>
                          <a:stretch>
                            <a:fillRect/>
                          </a:stretch>
                        </pic:blipFill>
                        <pic:spPr>
                          <a:xfrm>
                            <a:off x="0" y="0"/>
                            <a:ext cx="1895475" cy="2526665"/>
                          </a:xfrm>
                          <a:prstGeom prst="rect">
                            <a:avLst/>
                          </a:prstGeom>
                        </pic:spPr>
                      </pic:pic>
                    </a:graphicData>
                  </a:graphic>
                </wp:inline>
              </w:drawing>
            </w:r>
          </w:p>
        </w:tc>
        <w:tc>
          <w:tcPr>
            <w:tcW w:w="4310" w:type="dxa"/>
            <w:vAlign w:val="center"/>
          </w:tcPr>
          <w:p>
            <w:pPr>
              <w:snapToGrid w:val="0"/>
              <w:spacing w:before="120" w:line="260" w:lineRule="atLeast"/>
              <w:jc w:val="center"/>
              <w:rPr>
                <w:rFonts w:ascii="宋体" w:hAnsi="宋体"/>
                <w:i/>
                <w:szCs w:val="21"/>
              </w:rPr>
            </w:pPr>
            <w:r>
              <w:rPr>
                <w:rFonts w:ascii="宋体" w:hAnsi="宋体"/>
                <w:i/>
                <w:szCs w:val="21"/>
              </w:rPr>
              <w:drawing>
                <wp:inline distT="0" distB="0" distL="114300" distR="114300">
                  <wp:extent cx="1873885" cy="2499360"/>
                  <wp:effectExtent l="0" t="0" r="12065" b="15240"/>
                  <wp:docPr id="10" name="图片 10" descr="IMG_20181023_13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0181023_131124"/>
                          <pic:cNvPicPr>
                            <a:picLocks noChangeAspect="1"/>
                          </pic:cNvPicPr>
                        </pic:nvPicPr>
                        <pic:blipFill>
                          <a:blip r:embed="rId28"/>
                          <a:stretch>
                            <a:fillRect/>
                          </a:stretch>
                        </pic:blipFill>
                        <pic:spPr>
                          <a:xfrm>
                            <a:off x="0" y="0"/>
                            <a:ext cx="1873885" cy="249936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99" w:hRule="atLeast"/>
          <w:jc w:val="center"/>
        </w:trPr>
        <w:tc>
          <w:tcPr>
            <w:tcW w:w="4411" w:type="dxa"/>
            <w:vAlign w:val="center"/>
          </w:tcPr>
          <w:p>
            <w:pPr>
              <w:snapToGrid w:val="0"/>
              <w:spacing w:before="120" w:line="260" w:lineRule="atLeast"/>
              <w:jc w:val="center"/>
              <w:rPr>
                <w:rFonts w:ascii="宋体" w:hAnsi="宋体"/>
                <w:iCs/>
                <w:szCs w:val="21"/>
              </w:rPr>
            </w:pPr>
            <w:r>
              <w:rPr>
                <w:rFonts w:hint="eastAsia" w:ascii="宋体" w:hAnsi="宋体"/>
                <w:iCs/>
                <w:szCs w:val="21"/>
              </w:rPr>
              <w:t>房间</w:t>
            </w:r>
          </w:p>
        </w:tc>
        <w:tc>
          <w:tcPr>
            <w:tcW w:w="4310" w:type="dxa"/>
            <w:vAlign w:val="center"/>
          </w:tcPr>
          <w:p>
            <w:pPr>
              <w:snapToGrid w:val="0"/>
              <w:spacing w:before="120" w:line="260" w:lineRule="atLeast"/>
              <w:jc w:val="center"/>
              <w:rPr>
                <w:rFonts w:ascii="宋体" w:hAnsi="宋体"/>
                <w:iCs/>
                <w:szCs w:val="21"/>
              </w:rPr>
            </w:pPr>
            <w:r>
              <w:rPr>
                <w:rFonts w:hint="eastAsia" w:ascii="宋体" w:hAnsi="宋体"/>
                <w:iCs/>
                <w:szCs w:val="21"/>
              </w:rPr>
              <w:t>卫生间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237" w:hRule="atLeast"/>
          <w:jc w:val="center"/>
        </w:trPr>
        <w:tc>
          <w:tcPr>
            <w:tcW w:w="4411" w:type="dxa"/>
            <w:vAlign w:val="center"/>
          </w:tcPr>
          <w:p>
            <w:pPr>
              <w:snapToGrid w:val="0"/>
              <w:spacing w:before="120" w:line="260" w:lineRule="atLeast"/>
              <w:jc w:val="center"/>
              <w:rPr>
                <w:rFonts w:ascii="宋体" w:hAnsi="宋体"/>
                <w:i/>
                <w:szCs w:val="21"/>
              </w:rPr>
            </w:pPr>
            <w:r>
              <w:rPr>
                <w:rFonts w:hint="eastAsia" w:ascii="宋体" w:hAnsi="宋体"/>
                <w:i/>
                <w:szCs w:val="21"/>
              </w:rPr>
              <w:drawing>
                <wp:inline distT="0" distB="0" distL="114300" distR="114300">
                  <wp:extent cx="1724660" cy="2299970"/>
                  <wp:effectExtent l="0" t="0" r="8890" b="5080"/>
                  <wp:docPr id="16" name="图片 16" descr="IMG_20181023_13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0181023_131246"/>
                          <pic:cNvPicPr>
                            <a:picLocks noChangeAspect="1"/>
                          </pic:cNvPicPr>
                        </pic:nvPicPr>
                        <pic:blipFill>
                          <a:blip r:embed="rId29"/>
                          <a:stretch>
                            <a:fillRect/>
                          </a:stretch>
                        </pic:blipFill>
                        <pic:spPr>
                          <a:xfrm>
                            <a:off x="0" y="0"/>
                            <a:ext cx="1724660" cy="2299970"/>
                          </a:xfrm>
                          <a:prstGeom prst="rect">
                            <a:avLst/>
                          </a:prstGeom>
                        </pic:spPr>
                      </pic:pic>
                    </a:graphicData>
                  </a:graphic>
                </wp:inline>
              </w:drawing>
            </w:r>
          </w:p>
        </w:tc>
        <w:tc>
          <w:tcPr>
            <w:tcW w:w="4310" w:type="dxa"/>
            <w:vAlign w:val="center"/>
          </w:tcPr>
          <w:p>
            <w:pPr>
              <w:snapToGrid w:val="0"/>
              <w:spacing w:before="120" w:line="260" w:lineRule="atLeast"/>
              <w:jc w:val="center"/>
              <w:rPr>
                <w:rFonts w:ascii="宋体" w:hAnsi="宋体"/>
                <w:i/>
                <w:szCs w:val="21"/>
              </w:rPr>
            </w:pPr>
            <w:r>
              <w:rPr>
                <w:rFonts w:hint="eastAsia" w:ascii="宋体" w:hAnsi="宋体"/>
                <w:i/>
                <w:szCs w:val="21"/>
              </w:rPr>
              <w:drawing>
                <wp:inline distT="0" distB="0" distL="114300" distR="114300">
                  <wp:extent cx="1750695" cy="2334260"/>
                  <wp:effectExtent l="0" t="0" r="1905" b="8890"/>
                  <wp:docPr id="17" name="图片 17" descr="IMG_20181023_13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0181023_131236"/>
                          <pic:cNvPicPr>
                            <a:picLocks noChangeAspect="1"/>
                          </pic:cNvPicPr>
                        </pic:nvPicPr>
                        <pic:blipFill>
                          <a:blip r:embed="rId30"/>
                          <a:stretch>
                            <a:fillRect/>
                          </a:stretch>
                        </pic:blipFill>
                        <pic:spPr>
                          <a:xfrm>
                            <a:off x="0" y="0"/>
                            <a:ext cx="1750695" cy="233426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0" w:hRule="atLeast"/>
          <w:jc w:val="center"/>
        </w:trPr>
        <w:tc>
          <w:tcPr>
            <w:tcW w:w="4411" w:type="dxa"/>
            <w:vAlign w:val="center"/>
          </w:tcPr>
          <w:p>
            <w:pPr>
              <w:snapToGrid w:val="0"/>
              <w:spacing w:before="120" w:line="260" w:lineRule="atLeast"/>
              <w:jc w:val="center"/>
              <w:rPr>
                <w:rFonts w:ascii="宋体" w:hAnsi="宋体"/>
                <w:iCs/>
                <w:szCs w:val="21"/>
              </w:rPr>
            </w:pPr>
            <w:r>
              <w:rPr>
                <w:rFonts w:hint="eastAsia" w:ascii="宋体" w:hAnsi="宋体"/>
                <w:iCs/>
                <w:szCs w:val="21"/>
              </w:rPr>
              <w:t>阳台</w:t>
            </w:r>
          </w:p>
        </w:tc>
        <w:tc>
          <w:tcPr>
            <w:tcW w:w="4310" w:type="dxa"/>
            <w:vAlign w:val="center"/>
          </w:tcPr>
          <w:p>
            <w:pPr>
              <w:snapToGrid w:val="0"/>
              <w:spacing w:before="120" w:line="260" w:lineRule="atLeast"/>
              <w:jc w:val="center"/>
              <w:rPr>
                <w:rFonts w:ascii="宋体" w:hAnsi="宋体"/>
                <w:iCs/>
                <w:szCs w:val="21"/>
              </w:rPr>
            </w:pPr>
            <w:r>
              <w:rPr>
                <w:rFonts w:hint="eastAsia" w:ascii="宋体" w:hAnsi="宋体"/>
                <w:iCs/>
                <w:szCs w:val="21"/>
              </w:rPr>
              <w:t>厨房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237" w:hRule="atLeast"/>
          <w:jc w:val="center"/>
        </w:trPr>
        <w:tc>
          <w:tcPr>
            <w:tcW w:w="4411" w:type="dxa"/>
            <w:vAlign w:val="center"/>
          </w:tcPr>
          <w:p>
            <w:pPr>
              <w:widowControl/>
              <w:spacing w:before="120" w:line="260" w:lineRule="atLeast"/>
              <w:jc w:val="center"/>
              <w:rPr>
                <w:rFonts w:ascii="宋体" w:hAnsi="宋体"/>
                <w:i/>
                <w:szCs w:val="21"/>
              </w:rPr>
            </w:pPr>
            <w:r>
              <w:rPr>
                <w:rFonts w:ascii="宋体" w:hAnsi="宋体" w:cs="宋体"/>
                <w:kern w:val="0"/>
                <w:szCs w:val="21"/>
              </w:rPr>
              <w:drawing>
                <wp:inline distT="0" distB="0" distL="114300" distR="114300">
                  <wp:extent cx="2627630" cy="1971675"/>
                  <wp:effectExtent l="0" t="0" r="1270" b="9525"/>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31"/>
                          <a:stretch>
                            <a:fillRect/>
                          </a:stretch>
                        </pic:blipFill>
                        <pic:spPr>
                          <a:xfrm>
                            <a:off x="0" y="0"/>
                            <a:ext cx="2627630" cy="1971675"/>
                          </a:xfrm>
                          <a:prstGeom prst="rect">
                            <a:avLst/>
                          </a:prstGeom>
                          <a:noFill/>
                          <a:ln w="9525">
                            <a:noFill/>
                          </a:ln>
                        </pic:spPr>
                      </pic:pic>
                    </a:graphicData>
                  </a:graphic>
                </wp:inline>
              </w:drawing>
            </w:r>
          </w:p>
        </w:tc>
        <w:tc>
          <w:tcPr>
            <w:tcW w:w="4310" w:type="dxa"/>
            <w:vAlign w:val="center"/>
          </w:tcPr>
          <w:p>
            <w:pPr>
              <w:widowControl/>
              <w:spacing w:before="120" w:line="260" w:lineRule="atLeast"/>
              <w:jc w:val="center"/>
              <w:rPr>
                <w:rFonts w:ascii="宋体" w:hAnsi="宋体"/>
                <w:i/>
                <w:szCs w:val="21"/>
              </w:rPr>
            </w:pPr>
            <w:r>
              <w:rPr>
                <w:rFonts w:ascii="宋体" w:hAnsi="宋体" w:cs="宋体"/>
                <w:kern w:val="0"/>
                <w:szCs w:val="21"/>
              </w:rPr>
              <w:drawing>
                <wp:inline distT="0" distB="0" distL="114300" distR="114300">
                  <wp:extent cx="2550160" cy="1912620"/>
                  <wp:effectExtent l="0" t="0" r="2540" b="11430"/>
                  <wp:docPr id="1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56"/>
                          <pic:cNvPicPr>
                            <a:picLocks noChangeAspect="1"/>
                          </pic:cNvPicPr>
                        </pic:nvPicPr>
                        <pic:blipFill>
                          <a:blip r:embed="rId32"/>
                          <a:stretch>
                            <a:fillRect/>
                          </a:stretch>
                        </pic:blipFill>
                        <pic:spPr>
                          <a:xfrm>
                            <a:off x="0" y="0"/>
                            <a:ext cx="2550160" cy="191262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47" w:hRule="atLeast"/>
          <w:jc w:val="center"/>
        </w:trPr>
        <w:tc>
          <w:tcPr>
            <w:tcW w:w="4411" w:type="dxa"/>
            <w:vAlign w:val="center"/>
          </w:tcPr>
          <w:p>
            <w:pPr>
              <w:widowControl/>
              <w:spacing w:before="120" w:line="260" w:lineRule="atLeast"/>
              <w:jc w:val="center"/>
              <w:rPr>
                <w:rFonts w:ascii="宋体" w:hAnsi="宋体"/>
                <w:iCs/>
                <w:szCs w:val="21"/>
              </w:rPr>
            </w:pPr>
            <w:r>
              <w:rPr>
                <w:rFonts w:hint="eastAsia" w:ascii="宋体" w:hAnsi="宋体"/>
                <w:iCs/>
                <w:szCs w:val="21"/>
              </w:rPr>
              <w:t>电工管</w:t>
            </w:r>
          </w:p>
        </w:tc>
        <w:tc>
          <w:tcPr>
            <w:tcW w:w="4310" w:type="dxa"/>
            <w:vAlign w:val="center"/>
          </w:tcPr>
          <w:p>
            <w:pPr>
              <w:snapToGrid w:val="0"/>
              <w:spacing w:before="120" w:line="260" w:lineRule="atLeast"/>
              <w:jc w:val="center"/>
              <w:rPr>
                <w:rFonts w:ascii="宋体" w:hAnsi="宋体"/>
                <w:iCs/>
                <w:szCs w:val="21"/>
              </w:rPr>
            </w:pPr>
            <w:r>
              <w:rPr>
                <w:rFonts w:hint="eastAsia" w:ascii="宋体" w:hAnsi="宋体"/>
                <w:iCs/>
                <w:szCs w:val="21"/>
              </w:rPr>
              <w:t>瓷砖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237" w:hRule="atLeast"/>
          <w:jc w:val="center"/>
        </w:trPr>
        <w:tc>
          <w:tcPr>
            <w:tcW w:w="4411" w:type="dxa"/>
            <w:vAlign w:val="center"/>
          </w:tcPr>
          <w:p>
            <w:pPr>
              <w:widowControl/>
              <w:spacing w:before="0" w:line="240" w:lineRule="auto"/>
              <w:jc w:val="center"/>
              <w:rPr>
                <w:rFonts w:ascii="宋体" w:hAnsi="宋体"/>
                <w:i/>
                <w:szCs w:val="21"/>
              </w:rPr>
            </w:pPr>
            <w:r>
              <w:rPr>
                <w:rFonts w:ascii="宋体" w:hAnsi="宋体" w:cs="宋体"/>
                <w:kern w:val="0"/>
                <w:szCs w:val="21"/>
              </w:rPr>
              <w:drawing>
                <wp:inline distT="0" distB="0" distL="114300" distR="114300">
                  <wp:extent cx="1732280" cy="2611755"/>
                  <wp:effectExtent l="0" t="0" r="1270" b="17145"/>
                  <wp:docPr id="2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IMG_256"/>
                          <pic:cNvPicPr>
                            <a:picLocks noChangeAspect="1"/>
                          </pic:cNvPicPr>
                        </pic:nvPicPr>
                        <pic:blipFill>
                          <a:blip r:embed="rId33"/>
                          <a:stretch>
                            <a:fillRect/>
                          </a:stretch>
                        </pic:blipFill>
                        <pic:spPr>
                          <a:xfrm>
                            <a:off x="0" y="0"/>
                            <a:ext cx="1732280" cy="2611755"/>
                          </a:xfrm>
                          <a:prstGeom prst="rect">
                            <a:avLst/>
                          </a:prstGeom>
                          <a:noFill/>
                          <a:ln w="9525">
                            <a:noFill/>
                          </a:ln>
                        </pic:spPr>
                      </pic:pic>
                    </a:graphicData>
                  </a:graphic>
                </wp:inline>
              </w:drawing>
            </w:r>
          </w:p>
        </w:tc>
        <w:tc>
          <w:tcPr>
            <w:tcW w:w="4310" w:type="dxa"/>
            <w:vAlign w:val="center"/>
          </w:tcPr>
          <w:p>
            <w:pPr>
              <w:widowControl/>
              <w:spacing w:before="0" w:line="240" w:lineRule="auto"/>
              <w:jc w:val="center"/>
              <w:rPr>
                <w:rFonts w:ascii="宋体" w:hAnsi="宋体"/>
                <w:i/>
                <w:szCs w:val="21"/>
              </w:rPr>
            </w:pPr>
            <w:r>
              <w:rPr>
                <w:rFonts w:ascii="宋体" w:hAnsi="宋体" w:cs="宋体"/>
                <w:kern w:val="0"/>
                <w:szCs w:val="21"/>
              </w:rPr>
              <w:drawing>
                <wp:inline distT="0" distB="0" distL="114300" distR="114300">
                  <wp:extent cx="1971675" cy="2632075"/>
                  <wp:effectExtent l="0" t="0" r="9525" b="15875"/>
                  <wp:docPr id="2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IMG_256"/>
                          <pic:cNvPicPr>
                            <a:picLocks noChangeAspect="1"/>
                          </pic:cNvPicPr>
                        </pic:nvPicPr>
                        <pic:blipFill>
                          <a:blip r:embed="rId34"/>
                          <a:stretch>
                            <a:fillRect/>
                          </a:stretch>
                        </pic:blipFill>
                        <pic:spPr>
                          <a:xfrm>
                            <a:off x="0" y="0"/>
                            <a:ext cx="1971675" cy="263207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74" w:hRule="atLeast"/>
          <w:jc w:val="center"/>
        </w:trPr>
        <w:tc>
          <w:tcPr>
            <w:tcW w:w="4411" w:type="dxa"/>
            <w:vAlign w:val="center"/>
          </w:tcPr>
          <w:p>
            <w:pPr>
              <w:widowControl/>
              <w:spacing w:before="0" w:line="240" w:lineRule="auto"/>
              <w:jc w:val="center"/>
              <w:rPr>
                <w:rFonts w:ascii="宋体" w:hAnsi="宋体" w:cs="宋体"/>
                <w:kern w:val="0"/>
                <w:szCs w:val="21"/>
              </w:rPr>
            </w:pPr>
            <w:r>
              <w:rPr>
                <w:rFonts w:hint="eastAsia" w:ascii="宋体" w:hAnsi="宋体" w:cs="宋体"/>
                <w:kern w:val="0"/>
                <w:szCs w:val="21"/>
              </w:rPr>
              <w:t>瓷砖</w:t>
            </w:r>
          </w:p>
        </w:tc>
        <w:tc>
          <w:tcPr>
            <w:tcW w:w="4310" w:type="dxa"/>
            <w:vAlign w:val="center"/>
          </w:tcPr>
          <w:p>
            <w:pPr>
              <w:widowControl/>
              <w:spacing w:before="0" w:line="240" w:lineRule="auto"/>
              <w:jc w:val="center"/>
              <w:rPr>
                <w:rFonts w:ascii="宋体" w:hAnsi="宋体" w:cs="宋体"/>
                <w:kern w:val="0"/>
                <w:szCs w:val="21"/>
              </w:rPr>
            </w:pPr>
            <w:r>
              <w:rPr>
                <w:rFonts w:hint="eastAsia" w:ascii="宋体" w:hAnsi="宋体" w:cs="宋体"/>
                <w:kern w:val="0"/>
                <w:szCs w:val="21"/>
              </w:rPr>
              <w:t>瓷砖</w:t>
            </w:r>
          </w:p>
        </w:tc>
      </w:tr>
    </w:tbl>
    <w:p>
      <w:pPr>
        <w:snapToGrid w:val="0"/>
        <w:spacing w:line="500" w:lineRule="exact"/>
        <w:rPr>
          <w:rFonts w:ascii="宋体" w:hAnsi="宋体"/>
          <w:i/>
          <w:color w:val="FF00FF"/>
          <w:szCs w:val="21"/>
        </w:rPr>
      </w:pPr>
    </w:p>
    <w:sectPr>
      <w:headerReference r:id="rId17" w:type="default"/>
      <w:footerReference r:id="rId18" w:type="default"/>
      <w:pgSz w:w="11907" w:h="16840"/>
      <w:pgMar w:top="2268" w:right="1588" w:bottom="1440" w:left="1797" w:header="1021" w:footer="851" w:gutter="0"/>
      <w:cols w:equalWidth="0" w:num="1">
        <w:col w:w="850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Arial Unicode MS">
    <w:panose1 w:val="020B0604020202020204"/>
    <w:charset w:val="86"/>
    <w:family w:val="swiss"/>
    <w:pitch w:val="default"/>
    <w:sig w:usb0="FFFFFFFF" w:usb1="E9FFFFFF" w:usb2="0000003F" w:usb3="00000000" w:csb0="603F01FF" w:csb1="FFFF0000"/>
  </w:font>
  <w:font w:name="monospace">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Cambria Math">
    <w:panose1 w:val="02040503050406030204"/>
    <w:charset w:val="00"/>
    <w:family w:val="roman"/>
    <w:pitch w:val="default"/>
    <w:sig w:usb0="E00002FF" w:usb1="420024FF" w:usb2="00000000" w:usb3="00000000" w:csb0="2000019F"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top w:val="none" w:color="auto" w:sz="0" w:space="1"/>
      </w:pBdr>
      <w:ind w:left="210" w:right="2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210" w:right="210"/>
      <w:rPr>
        <w:rStyle w:val="27"/>
      </w:rPr>
    </w:pPr>
    <w:r>
      <w:rPr>
        <w:rStyle w:val="27"/>
      </w:rPr>
      <w:fldChar w:fldCharType="begin"/>
    </w:r>
    <w:r>
      <w:rPr>
        <w:rStyle w:val="27"/>
      </w:rPr>
      <w:instrText xml:space="preserve">PAGE  </w:instrText>
    </w:r>
    <w:r>
      <w:rPr>
        <w:rStyle w:val="27"/>
      </w:rPr>
      <w:fldChar w:fldCharType="end"/>
    </w:r>
  </w:p>
  <w:p>
    <w:pPr>
      <w:pStyle w:val="17"/>
      <w:ind w:left="210" w:right="2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210" w:right="2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Chars="0" w:right="210" w:firstLine="0" w:firstLineChars="0"/>
    </w:pPr>
    <w:r>
      <w:rPr>
        <w:rFonts w:hint="eastAsia"/>
      </w:rPr>
      <w:t xml:space="preserve">天源资产评估有限公司                                                               </w:t>
    </w:r>
  </w:p>
  <w:p>
    <w:pPr>
      <w:pStyle w:val="17"/>
      <w:ind w:leftChars="0" w:right="210" w:firstLine="0" w:firstLineChars="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Chars="0" w:right="210" w:firstLine="0" w:firstLineChars="0"/>
      <w:rPr>
        <w:b w:val="0"/>
      </w:rPr>
    </w:pPr>
    <w:r>
      <w:rPr>
        <w:rFonts w:hint="eastAsia"/>
        <w:b w:val="0"/>
      </w:rPr>
      <w:t xml:space="preserve">天源资产评估有限公司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Chars="0" w:right="210" w:firstLine="0" w:firstLineChars="0"/>
      <w:rPr>
        <w:b w:val="0"/>
      </w:rPr>
    </w:pPr>
    <w:r>
      <w:rPr>
        <w:rFonts w:hint="eastAsia"/>
        <w:b w:val="0"/>
      </w:rPr>
      <w:t xml:space="preserve">天源资产评估有限公司                                                               </w:t>
    </w:r>
    <w:r>
      <w:rPr>
        <w:b w:val="0"/>
      </w:rPr>
      <w:fldChar w:fldCharType="begin"/>
    </w:r>
    <w:r>
      <w:rPr>
        <w:b w:val="0"/>
      </w:rPr>
      <w:instrText xml:space="preserve">PAGE   \* MERGEFORMAT</w:instrText>
    </w:r>
    <w:r>
      <w:rPr>
        <w:b w:val="0"/>
      </w:rPr>
      <w:fldChar w:fldCharType="separate"/>
    </w:r>
    <w:r>
      <w:rPr>
        <w:b w:val="0"/>
        <w:lang w:val="zh-CN"/>
      </w:rPr>
      <w:t>15</w:t>
    </w:r>
    <w:r>
      <w:rPr>
        <w:b w:val="0"/>
        <w:lang w:val="zh-CN"/>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rFonts w:hint="eastAsia" w:ascii="宋体" w:hAnsi="宋体"/>
        <w:b/>
        <w:bCs/>
      </w:rPr>
      <w:t>*****有限公司股权转让项目资产评估报告书·目录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rFonts w:hint="eastAsia" w:ascii="宋体" w:hAnsi="宋体"/>
        <w:b/>
        <w:bCs/>
      </w:rPr>
      <w:t>杭州浦太阀门有限公司部分机器和原材料司法拍卖项目评估报告·声明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left" w:pos="0"/>
      </w:tabs>
      <w:ind w:firstLine="13" w:firstLineChars="7"/>
      <w:jc w:val="center"/>
      <w:rPr>
        <w:rFonts w:hAnsi="宋体"/>
        <w:b/>
        <w:bCs/>
        <w:sz w:val="18"/>
        <w:szCs w:val="18"/>
      </w:rPr>
    </w:pPr>
  </w:p>
  <w:p>
    <w:pPr>
      <w:pStyle w:val="18"/>
      <w:pBdr>
        <w:bottom w:val="single" w:color="auto" w:sz="4" w:space="1"/>
      </w:pBdr>
      <w:jc w:val="right"/>
    </w:pPr>
    <w:r>
      <w:rPr>
        <w:rFonts w:hint="eastAsia" w:hAnsi="宋体"/>
        <w:bCs/>
      </w:rPr>
      <w:t>杭州市余杭区仁和街道清合嘉园西区房地产及室内装修材料司法拍卖项目资产评估报告</w:t>
    </w:r>
    <w:r>
      <w:rPr>
        <w:rFonts w:hint="eastAsia" w:ascii="宋体" w:hAnsi="宋体"/>
        <w:bCs/>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left" w:pos="0"/>
      </w:tabs>
      <w:ind w:firstLine="13" w:firstLineChars="7"/>
      <w:jc w:val="center"/>
      <w:rPr>
        <w:rFonts w:hAnsi="宋体"/>
        <w:b/>
        <w:bCs/>
        <w:sz w:val="18"/>
        <w:szCs w:val="18"/>
      </w:rPr>
    </w:pPr>
  </w:p>
  <w:p>
    <w:pPr>
      <w:pStyle w:val="18"/>
      <w:pBdr>
        <w:bottom w:val="single" w:color="auto" w:sz="4" w:space="1"/>
      </w:pBdr>
      <w:jc w:val="right"/>
    </w:pPr>
    <w:r>
      <w:rPr>
        <w:rFonts w:hint="eastAsia" w:hAnsi="宋体"/>
        <w:bCs/>
      </w:rPr>
      <w:t>杭州市余杭区仁和街道清合嘉园西区房地产及室内装修材料司法拍卖项目资产评估报告</w:t>
    </w:r>
    <w:r>
      <w:rPr>
        <w:rFonts w:hint="eastAsia" w:ascii="宋体" w:hAnsi="宋体"/>
        <w:bCs/>
      </w:rPr>
      <w:t>·声明</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left" w:pos="0"/>
      </w:tabs>
      <w:ind w:firstLine="12" w:firstLineChars="7"/>
      <w:jc w:val="center"/>
      <w:rPr>
        <w:rFonts w:hAnsi="宋体"/>
        <w:bCs/>
        <w:sz w:val="18"/>
        <w:szCs w:val="18"/>
      </w:rPr>
    </w:pPr>
  </w:p>
  <w:p>
    <w:pPr>
      <w:pStyle w:val="15"/>
      <w:pBdr>
        <w:bottom w:val="single" w:color="auto" w:sz="4" w:space="1"/>
      </w:pBdr>
      <w:tabs>
        <w:tab w:val="left" w:pos="0"/>
      </w:tabs>
      <w:ind w:firstLine="12" w:firstLineChars="7"/>
      <w:jc w:val="right"/>
    </w:pPr>
    <w:r>
      <w:rPr>
        <w:rFonts w:hint="eastAsia" w:hAnsi="宋体"/>
        <w:bCs/>
        <w:sz w:val="18"/>
        <w:szCs w:val="18"/>
      </w:rPr>
      <w:t>杭州市余杭区仁和街道清合嘉园西区房地产及室内装修材料司法拍卖项目资产评估报告•摘要</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left" w:pos="0"/>
      </w:tabs>
      <w:ind w:firstLine="12" w:firstLineChars="7"/>
      <w:jc w:val="center"/>
      <w:rPr>
        <w:rFonts w:hAnsi="宋体"/>
        <w:bCs/>
        <w:sz w:val="18"/>
        <w:szCs w:val="18"/>
      </w:rPr>
    </w:pPr>
  </w:p>
  <w:p>
    <w:pPr>
      <w:pStyle w:val="15"/>
      <w:pBdr>
        <w:bottom w:val="single" w:color="auto" w:sz="4" w:space="1"/>
      </w:pBdr>
      <w:tabs>
        <w:tab w:val="left" w:pos="0"/>
      </w:tabs>
      <w:ind w:firstLine="12" w:firstLineChars="7"/>
      <w:jc w:val="right"/>
    </w:pPr>
    <w:r>
      <w:rPr>
        <w:rFonts w:hint="eastAsia" w:hAnsi="宋体"/>
        <w:bCs/>
        <w:sz w:val="18"/>
        <w:szCs w:val="18"/>
      </w:rPr>
      <w:t>杭州市余杭区仁和街道清合嘉园西区房地产及室内装修材料司法拍卖项目资产评估报告•正文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pPr>
      <w:pStyle w:val="15"/>
      <w:pBdr>
        <w:bottom w:val="single" w:color="auto" w:sz="4" w:space="1"/>
      </w:pBdr>
      <w:tabs>
        <w:tab w:val="left" w:pos="0"/>
      </w:tabs>
      <w:ind w:firstLine="12" w:firstLineChars="7"/>
      <w:jc w:val="right"/>
      <w:rPr>
        <w:rFonts w:hAnsi="宋体"/>
        <w:bCs/>
      </w:rPr>
    </w:pPr>
    <w:r>
      <w:rPr>
        <w:rFonts w:hint="eastAsia" w:hAnsi="宋体"/>
        <w:bCs/>
        <w:sz w:val="18"/>
        <w:szCs w:val="18"/>
      </w:rPr>
      <w:t>杭州市余杭区仁和街道清合嘉园西区房地产及室内装修材料司法拍卖项目资产评估报告</w:t>
    </w:r>
    <w:r>
      <w:rPr>
        <w:rFonts w:hint="eastAsia" w:ascii="Times New Roman" w:hAnsi="宋体"/>
        <w:bCs/>
        <w:sz w:val="18"/>
        <w:szCs w:val="18"/>
      </w:rPr>
      <w:t>˙附件</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AB5A32"/>
    <w:multiLevelType w:val="multilevel"/>
    <w:tmpl w:val="28AB5A32"/>
    <w:lvl w:ilvl="0" w:tentative="0">
      <w:start w:val="1"/>
      <w:numFmt w:val="decimal"/>
      <w:lvlText w:val="%1."/>
      <w:lvlJc w:val="left"/>
      <w:pPr>
        <w:tabs>
          <w:tab w:val="left" w:pos="568"/>
        </w:tabs>
        <w:ind w:left="114" w:firstLine="454"/>
      </w:pPr>
      <w:rPr>
        <w:rFonts w:hint="eastAsia" w:eastAsia="宋体"/>
      </w:rPr>
    </w:lvl>
    <w:lvl w:ilvl="1" w:tentative="0">
      <w:start w:val="1"/>
      <w:numFmt w:val="lowerLetter"/>
      <w:lvlText w:val="%2)"/>
      <w:lvlJc w:val="left"/>
      <w:pPr>
        <w:tabs>
          <w:tab w:val="left" w:pos="332"/>
        </w:tabs>
        <w:ind w:left="332" w:hanging="420"/>
      </w:pPr>
    </w:lvl>
    <w:lvl w:ilvl="2" w:tentative="0">
      <w:start w:val="1"/>
      <w:numFmt w:val="lowerRoman"/>
      <w:lvlText w:val="%3."/>
      <w:lvlJc w:val="right"/>
      <w:pPr>
        <w:tabs>
          <w:tab w:val="left" w:pos="752"/>
        </w:tabs>
        <w:ind w:left="752" w:hanging="420"/>
      </w:pPr>
    </w:lvl>
    <w:lvl w:ilvl="3" w:tentative="0">
      <w:start w:val="1"/>
      <w:numFmt w:val="decimal"/>
      <w:lvlText w:val="%4."/>
      <w:lvlJc w:val="left"/>
      <w:pPr>
        <w:tabs>
          <w:tab w:val="left" w:pos="1172"/>
        </w:tabs>
        <w:ind w:left="1172" w:hanging="420"/>
      </w:pPr>
    </w:lvl>
    <w:lvl w:ilvl="4" w:tentative="0">
      <w:start w:val="1"/>
      <w:numFmt w:val="lowerLetter"/>
      <w:lvlText w:val="%5)"/>
      <w:lvlJc w:val="left"/>
      <w:pPr>
        <w:tabs>
          <w:tab w:val="left" w:pos="1592"/>
        </w:tabs>
        <w:ind w:left="1592" w:hanging="420"/>
      </w:pPr>
    </w:lvl>
    <w:lvl w:ilvl="5" w:tentative="0">
      <w:start w:val="1"/>
      <w:numFmt w:val="lowerRoman"/>
      <w:lvlText w:val="%6."/>
      <w:lvlJc w:val="right"/>
      <w:pPr>
        <w:tabs>
          <w:tab w:val="left" w:pos="2012"/>
        </w:tabs>
        <w:ind w:left="2012" w:hanging="420"/>
      </w:pPr>
    </w:lvl>
    <w:lvl w:ilvl="6" w:tentative="0">
      <w:start w:val="1"/>
      <w:numFmt w:val="decimal"/>
      <w:lvlText w:val="%7."/>
      <w:lvlJc w:val="left"/>
      <w:pPr>
        <w:tabs>
          <w:tab w:val="left" w:pos="2432"/>
        </w:tabs>
        <w:ind w:left="2432" w:hanging="420"/>
      </w:pPr>
    </w:lvl>
    <w:lvl w:ilvl="7" w:tentative="0">
      <w:start w:val="1"/>
      <w:numFmt w:val="lowerLetter"/>
      <w:lvlText w:val="%8)"/>
      <w:lvlJc w:val="left"/>
      <w:pPr>
        <w:tabs>
          <w:tab w:val="left" w:pos="2852"/>
        </w:tabs>
        <w:ind w:left="2852" w:hanging="420"/>
      </w:pPr>
    </w:lvl>
    <w:lvl w:ilvl="8" w:tentative="0">
      <w:start w:val="1"/>
      <w:numFmt w:val="lowerRoman"/>
      <w:lvlText w:val="%9."/>
      <w:lvlJc w:val="right"/>
      <w:pPr>
        <w:tabs>
          <w:tab w:val="left" w:pos="3272"/>
        </w:tabs>
        <w:ind w:left="3272" w:hanging="420"/>
      </w:pPr>
    </w:lvl>
  </w:abstractNum>
  <w:abstractNum w:abstractNumId="1">
    <w:nsid w:val="3F9E49FE"/>
    <w:multiLevelType w:val="multilevel"/>
    <w:tmpl w:val="3F9E49FE"/>
    <w:lvl w:ilvl="0" w:tentative="0">
      <w:start w:val="1"/>
      <w:numFmt w:val="decimal"/>
      <w:lvlText w:val="%1."/>
      <w:lvlJc w:val="left"/>
      <w:pPr>
        <w:tabs>
          <w:tab w:val="left" w:pos="504"/>
        </w:tabs>
        <w:ind w:left="50" w:firstLine="454"/>
      </w:pPr>
      <w:rPr>
        <w:rFonts w:hint="eastAsia" w:eastAsia="宋体"/>
      </w:rPr>
    </w:lvl>
    <w:lvl w:ilvl="1" w:tentative="0">
      <w:start w:val="1"/>
      <w:numFmt w:val="lowerLetter"/>
      <w:lvlText w:val="%2)"/>
      <w:lvlJc w:val="left"/>
      <w:pPr>
        <w:tabs>
          <w:tab w:val="left" w:pos="410"/>
        </w:tabs>
        <w:ind w:left="410" w:hanging="420"/>
      </w:pPr>
    </w:lvl>
    <w:lvl w:ilvl="2" w:tentative="0">
      <w:start w:val="1"/>
      <w:numFmt w:val="lowerRoman"/>
      <w:lvlText w:val="%3."/>
      <w:lvlJc w:val="right"/>
      <w:pPr>
        <w:tabs>
          <w:tab w:val="left" w:pos="830"/>
        </w:tabs>
        <w:ind w:left="830" w:hanging="420"/>
      </w:pPr>
    </w:lvl>
    <w:lvl w:ilvl="3" w:tentative="0">
      <w:start w:val="1"/>
      <w:numFmt w:val="decimal"/>
      <w:lvlText w:val="%4."/>
      <w:lvlJc w:val="left"/>
      <w:pPr>
        <w:tabs>
          <w:tab w:val="left" w:pos="1250"/>
        </w:tabs>
        <w:ind w:left="1250" w:hanging="420"/>
      </w:pPr>
    </w:lvl>
    <w:lvl w:ilvl="4" w:tentative="0">
      <w:start w:val="1"/>
      <w:numFmt w:val="lowerLetter"/>
      <w:lvlText w:val="%5)"/>
      <w:lvlJc w:val="left"/>
      <w:pPr>
        <w:tabs>
          <w:tab w:val="left" w:pos="1670"/>
        </w:tabs>
        <w:ind w:left="1670" w:hanging="420"/>
      </w:pPr>
    </w:lvl>
    <w:lvl w:ilvl="5" w:tentative="0">
      <w:start w:val="1"/>
      <w:numFmt w:val="lowerRoman"/>
      <w:lvlText w:val="%6."/>
      <w:lvlJc w:val="right"/>
      <w:pPr>
        <w:tabs>
          <w:tab w:val="left" w:pos="2090"/>
        </w:tabs>
        <w:ind w:left="2090" w:hanging="420"/>
      </w:pPr>
    </w:lvl>
    <w:lvl w:ilvl="6" w:tentative="0">
      <w:start w:val="1"/>
      <w:numFmt w:val="decimal"/>
      <w:lvlText w:val="%7."/>
      <w:lvlJc w:val="left"/>
      <w:pPr>
        <w:tabs>
          <w:tab w:val="left" w:pos="2510"/>
        </w:tabs>
        <w:ind w:left="2510" w:hanging="420"/>
      </w:pPr>
    </w:lvl>
    <w:lvl w:ilvl="7" w:tentative="0">
      <w:start w:val="1"/>
      <w:numFmt w:val="lowerLetter"/>
      <w:lvlText w:val="%8)"/>
      <w:lvlJc w:val="left"/>
      <w:pPr>
        <w:tabs>
          <w:tab w:val="left" w:pos="2930"/>
        </w:tabs>
        <w:ind w:left="2930" w:hanging="420"/>
      </w:pPr>
    </w:lvl>
    <w:lvl w:ilvl="8" w:tentative="0">
      <w:start w:val="1"/>
      <w:numFmt w:val="lowerRoman"/>
      <w:lvlText w:val="%9."/>
      <w:lvlJc w:val="right"/>
      <w:pPr>
        <w:tabs>
          <w:tab w:val="left" w:pos="3350"/>
        </w:tabs>
        <w:ind w:left="3350" w:hanging="420"/>
      </w:pPr>
    </w:lvl>
  </w:abstractNum>
  <w:abstractNum w:abstractNumId="2">
    <w:nsid w:val="570F1EBF"/>
    <w:multiLevelType w:val="multilevel"/>
    <w:tmpl w:val="570F1EBF"/>
    <w:lvl w:ilvl="0" w:tentative="0">
      <w:start w:val="1"/>
      <w:numFmt w:val="decimal"/>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
    <w:nsid w:val="604B7A04"/>
    <w:multiLevelType w:val="multilevel"/>
    <w:tmpl w:val="604B7A04"/>
    <w:lvl w:ilvl="0" w:tentative="0">
      <w:start w:val="1"/>
      <w:numFmt w:val="decimal"/>
      <w:lvlText w:val="%1."/>
      <w:lvlJc w:val="left"/>
      <w:pPr>
        <w:ind w:left="1320" w:hanging="420"/>
      </w:pPr>
    </w:lvl>
    <w:lvl w:ilvl="1" w:tentative="0">
      <w:start w:val="1"/>
      <w:numFmt w:val="lowerLetter"/>
      <w:lvlText w:val="%2)"/>
      <w:lvlJc w:val="left"/>
      <w:pPr>
        <w:ind w:left="1740" w:hanging="420"/>
      </w:pPr>
    </w:lvl>
    <w:lvl w:ilvl="2" w:tentative="0">
      <w:start w:val="1"/>
      <w:numFmt w:val="lowerRoman"/>
      <w:lvlText w:val="%3."/>
      <w:lvlJc w:val="right"/>
      <w:pPr>
        <w:ind w:left="2160" w:hanging="420"/>
      </w:pPr>
    </w:lvl>
    <w:lvl w:ilvl="3" w:tentative="0">
      <w:start w:val="1"/>
      <w:numFmt w:val="decimal"/>
      <w:lvlText w:val="%4."/>
      <w:lvlJc w:val="left"/>
      <w:pPr>
        <w:ind w:left="2580" w:hanging="420"/>
      </w:pPr>
    </w:lvl>
    <w:lvl w:ilvl="4" w:tentative="0">
      <w:start w:val="1"/>
      <w:numFmt w:val="lowerLetter"/>
      <w:lvlText w:val="%5)"/>
      <w:lvlJc w:val="left"/>
      <w:pPr>
        <w:ind w:left="3000" w:hanging="420"/>
      </w:pPr>
    </w:lvl>
    <w:lvl w:ilvl="5" w:tentative="0">
      <w:start w:val="1"/>
      <w:numFmt w:val="lowerRoman"/>
      <w:lvlText w:val="%6."/>
      <w:lvlJc w:val="right"/>
      <w:pPr>
        <w:ind w:left="3420" w:hanging="420"/>
      </w:pPr>
    </w:lvl>
    <w:lvl w:ilvl="6" w:tentative="0">
      <w:start w:val="1"/>
      <w:numFmt w:val="decimal"/>
      <w:lvlText w:val="%7."/>
      <w:lvlJc w:val="left"/>
      <w:pPr>
        <w:ind w:left="3840" w:hanging="420"/>
      </w:pPr>
    </w:lvl>
    <w:lvl w:ilvl="7" w:tentative="0">
      <w:start w:val="1"/>
      <w:numFmt w:val="lowerLetter"/>
      <w:lvlText w:val="%8)"/>
      <w:lvlJc w:val="left"/>
      <w:pPr>
        <w:ind w:left="4260" w:hanging="420"/>
      </w:pPr>
    </w:lvl>
    <w:lvl w:ilvl="8" w:tentative="0">
      <w:start w:val="1"/>
      <w:numFmt w:val="lowerRoman"/>
      <w:lvlText w:val="%9."/>
      <w:lvlJc w:val="right"/>
      <w:pPr>
        <w:ind w:left="4680" w:hanging="420"/>
      </w:pPr>
    </w:lvl>
  </w:abstractNum>
  <w:abstractNum w:abstractNumId="4">
    <w:nsid w:val="77FE15B7"/>
    <w:multiLevelType w:val="multilevel"/>
    <w:tmpl w:val="77FE15B7"/>
    <w:lvl w:ilvl="0" w:tentative="0">
      <w:start w:val="1"/>
      <w:numFmt w:val="chineseCountingThousand"/>
      <w:lvlText w:val="(%1)"/>
      <w:lvlJc w:val="left"/>
      <w:pPr>
        <w:ind w:left="1980" w:hanging="420"/>
      </w:pPr>
    </w:lvl>
    <w:lvl w:ilvl="1" w:tentative="0">
      <w:start w:val="1"/>
      <w:numFmt w:val="lowerLetter"/>
      <w:lvlText w:val="%2)"/>
      <w:lvlJc w:val="left"/>
      <w:pPr>
        <w:ind w:left="2400" w:hanging="420"/>
      </w:pPr>
    </w:lvl>
    <w:lvl w:ilvl="2" w:tentative="0">
      <w:start w:val="1"/>
      <w:numFmt w:val="lowerRoman"/>
      <w:lvlText w:val="%3."/>
      <w:lvlJc w:val="right"/>
      <w:pPr>
        <w:ind w:left="2820" w:hanging="420"/>
      </w:pPr>
    </w:lvl>
    <w:lvl w:ilvl="3" w:tentative="0">
      <w:start w:val="1"/>
      <w:numFmt w:val="decimal"/>
      <w:lvlText w:val="%4."/>
      <w:lvlJc w:val="left"/>
      <w:pPr>
        <w:ind w:left="3240" w:hanging="420"/>
      </w:pPr>
    </w:lvl>
    <w:lvl w:ilvl="4" w:tentative="0">
      <w:start w:val="1"/>
      <w:numFmt w:val="lowerLetter"/>
      <w:lvlText w:val="%5)"/>
      <w:lvlJc w:val="left"/>
      <w:pPr>
        <w:ind w:left="3660" w:hanging="420"/>
      </w:pPr>
    </w:lvl>
    <w:lvl w:ilvl="5" w:tentative="0">
      <w:start w:val="1"/>
      <w:numFmt w:val="lowerRoman"/>
      <w:lvlText w:val="%6."/>
      <w:lvlJc w:val="right"/>
      <w:pPr>
        <w:ind w:left="4080" w:hanging="420"/>
      </w:pPr>
    </w:lvl>
    <w:lvl w:ilvl="6" w:tentative="0">
      <w:start w:val="1"/>
      <w:numFmt w:val="decimal"/>
      <w:lvlText w:val="%7."/>
      <w:lvlJc w:val="left"/>
      <w:pPr>
        <w:ind w:left="4500" w:hanging="420"/>
      </w:pPr>
    </w:lvl>
    <w:lvl w:ilvl="7" w:tentative="0">
      <w:start w:val="1"/>
      <w:numFmt w:val="lowerLetter"/>
      <w:lvlText w:val="%8)"/>
      <w:lvlJc w:val="left"/>
      <w:pPr>
        <w:ind w:left="4920" w:hanging="420"/>
      </w:pPr>
    </w:lvl>
    <w:lvl w:ilvl="8" w:tentative="0">
      <w:start w:val="1"/>
      <w:numFmt w:val="lowerRoman"/>
      <w:lvlText w:val="%9."/>
      <w:lvlJc w:val="right"/>
      <w:pPr>
        <w:ind w:left="5340" w:hanging="42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attachedTemplate r:id="rId1"/>
  <w:trackRevisions w:val="1"/>
  <w:documentProtection w:enforcement="0"/>
  <w:defaultTabStop w:val="50"/>
  <w:drawingGridHorizontalSpacing w:val="2"/>
  <w:drawingGridVerticalSpacing w:val="3"/>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D4B"/>
    <w:rsid w:val="0000037C"/>
    <w:rsid w:val="00001E6C"/>
    <w:rsid w:val="0000277F"/>
    <w:rsid w:val="00005534"/>
    <w:rsid w:val="00005BFC"/>
    <w:rsid w:val="00006FF3"/>
    <w:rsid w:val="00007D22"/>
    <w:rsid w:val="00010657"/>
    <w:rsid w:val="00011DE0"/>
    <w:rsid w:val="0001283F"/>
    <w:rsid w:val="00012FCD"/>
    <w:rsid w:val="00021C46"/>
    <w:rsid w:val="00022363"/>
    <w:rsid w:val="00023E4E"/>
    <w:rsid w:val="00025320"/>
    <w:rsid w:val="00025974"/>
    <w:rsid w:val="000262DF"/>
    <w:rsid w:val="00027646"/>
    <w:rsid w:val="00030066"/>
    <w:rsid w:val="000315CE"/>
    <w:rsid w:val="000319D3"/>
    <w:rsid w:val="000322F0"/>
    <w:rsid w:val="000338F0"/>
    <w:rsid w:val="00034084"/>
    <w:rsid w:val="0003620D"/>
    <w:rsid w:val="00036B8B"/>
    <w:rsid w:val="00036DB5"/>
    <w:rsid w:val="00036F3C"/>
    <w:rsid w:val="00037160"/>
    <w:rsid w:val="00037759"/>
    <w:rsid w:val="00037A73"/>
    <w:rsid w:val="0004087B"/>
    <w:rsid w:val="00041BF5"/>
    <w:rsid w:val="00043901"/>
    <w:rsid w:val="000441FF"/>
    <w:rsid w:val="000443D6"/>
    <w:rsid w:val="00051AB8"/>
    <w:rsid w:val="000527CA"/>
    <w:rsid w:val="0005321F"/>
    <w:rsid w:val="00053513"/>
    <w:rsid w:val="00053C30"/>
    <w:rsid w:val="00054D5A"/>
    <w:rsid w:val="00055024"/>
    <w:rsid w:val="00056A7B"/>
    <w:rsid w:val="00060462"/>
    <w:rsid w:val="00060DAC"/>
    <w:rsid w:val="0006152A"/>
    <w:rsid w:val="00062497"/>
    <w:rsid w:val="000632B9"/>
    <w:rsid w:val="00063A11"/>
    <w:rsid w:val="00063CDD"/>
    <w:rsid w:val="00064222"/>
    <w:rsid w:val="0006729F"/>
    <w:rsid w:val="00070380"/>
    <w:rsid w:val="00070CE9"/>
    <w:rsid w:val="000717A7"/>
    <w:rsid w:val="00072A57"/>
    <w:rsid w:val="000748C7"/>
    <w:rsid w:val="000755D2"/>
    <w:rsid w:val="00075756"/>
    <w:rsid w:val="00075F95"/>
    <w:rsid w:val="000806F5"/>
    <w:rsid w:val="00081148"/>
    <w:rsid w:val="000813DA"/>
    <w:rsid w:val="00081651"/>
    <w:rsid w:val="0008391F"/>
    <w:rsid w:val="00085022"/>
    <w:rsid w:val="000871E5"/>
    <w:rsid w:val="00090D73"/>
    <w:rsid w:val="00092092"/>
    <w:rsid w:val="00092148"/>
    <w:rsid w:val="00095897"/>
    <w:rsid w:val="00095952"/>
    <w:rsid w:val="000960A0"/>
    <w:rsid w:val="00096F2B"/>
    <w:rsid w:val="00097073"/>
    <w:rsid w:val="000A02B6"/>
    <w:rsid w:val="000A13A3"/>
    <w:rsid w:val="000A5014"/>
    <w:rsid w:val="000A6FF1"/>
    <w:rsid w:val="000A7B0C"/>
    <w:rsid w:val="000B0AAA"/>
    <w:rsid w:val="000B1A17"/>
    <w:rsid w:val="000B2824"/>
    <w:rsid w:val="000B6596"/>
    <w:rsid w:val="000B6E67"/>
    <w:rsid w:val="000B7671"/>
    <w:rsid w:val="000B7B6B"/>
    <w:rsid w:val="000B7CD4"/>
    <w:rsid w:val="000C0023"/>
    <w:rsid w:val="000C0EBF"/>
    <w:rsid w:val="000C2D32"/>
    <w:rsid w:val="000C6540"/>
    <w:rsid w:val="000C77AE"/>
    <w:rsid w:val="000D03D0"/>
    <w:rsid w:val="000D0EB0"/>
    <w:rsid w:val="000D4054"/>
    <w:rsid w:val="000E0838"/>
    <w:rsid w:val="000E0B5E"/>
    <w:rsid w:val="000E1B92"/>
    <w:rsid w:val="000E3690"/>
    <w:rsid w:val="000E3874"/>
    <w:rsid w:val="000E3FE2"/>
    <w:rsid w:val="000E5F2C"/>
    <w:rsid w:val="000E715E"/>
    <w:rsid w:val="000F0B8D"/>
    <w:rsid w:val="000F3CC5"/>
    <w:rsid w:val="000F423B"/>
    <w:rsid w:val="000F45C6"/>
    <w:rsid w:val="000F4D03"/>
    <w:rsid w:val="000F50DC"/>
    <w:rsid w:val="000F514B"/>
    <w:rsid w:val="000F5658"/>
    <w:rsid w:val="000F62D0"/>
    <w:rsid w:val="000F7E79"/>
    <w:rsid w:val="0010037A"/>
    <w:rsid w:val="00100C9D"/>
    <w:rsid w:val="001017A0"/>
    <w:rsid w:val="00102341"/>
    <w:rsid w:val="00102527"/>
    <w:rsid w:val="0010364C"/>
    <w:rsid w:val="001063E5"/>
    <w:rsid w:val="00107523"/>
    <w:rsid w:val="00114C21"/>
    <w:rsid w:val="001150FB"/>
    <w:rsid w:val="00116911"/>
    <w:rsid w:val="00116BA1"/>
    <w:rsid w:val="00121281"/>
    <w:rsid w:val="00121CD8"/>
    <w:rsid w:val="001223D1"/>
    <w:rsid w:val="00122DF3"/>
    <w:rsid w:val="00127464"/>
    <w:rsid w:val="001311C8"/>
    <w:rsid w:val="00132117"/>
    <w:rsid w:val="001329AA"/>
    <w:rsid w:val="00134FB4"/>
    <w:rsid w:val="001362EE"/>
    <w:rsid w:val="00136E77"/>
    <w:rsid w:val="001370EE"/>
    <w:rsid w:val="0014017E"/>
    <w:rsid w:val="001402F6"/>
    <w:rsid w:val="00140D81"/>
    <w:rsid w:val="00141AA5"/>
    <w:rsid w:val="001436F2"/>
    <w:rsid w:val="0014469B"/>
    <w:rsid w:val="001446E2"/>
    <w:rsid w:val="001468AD"/>
    <w:rsid w:val="00152E9C"/>
    <w:rsid w:val="0015390E"/>
    <w:rsid w:val="0015402A"/>
    <w:rsid w:val="001551A2"/>
    <w:rsid w:val="00156F71"/>
    <w:rsid w:val="00160407"/>
    <w:rsid w:val="00162D5E"/>
    <w:rsid w:val="00162EA3"/>
    <w:rsid w:val="0016535A"/>
    <w:rsid w:val="00166087"/>
    <w:rsid w:val="0016652D"/>
    <w:rsid w:val="00167721"/>
    <w:rsid w:val="00170239"/>
    <w:rsid w:val="00170E81"/>
    <w:rsid w:val="001711C0"/>
    <w:rsid w:val="00172076"/>
    <w:rsid w:val="00172559"/>
    <w:rsid w:val="00172B29"/>
    <w:rsid w:val="00173FAB"/>
    <w:rsid w:val="001744BE"/>
    <w:rsid w:val="00174879"/>
    <w:rsid w:val="0017539F"/>
    <w:rsid w:val="00175CC7"/>
    <w:rsid w:val="0017704F"/>
    <w:rsid w:val="001773D5"/>
    <w:rsid w:val="001824F9"/>
    <w:rsid w:val="001845E0"/>
    <w:rsid w:val="00184FAA"/>
    <w:rsid w:val="00190B81"/>
    <w:rsid w:val="00191886"/>
    <w:rsid w:val="00191B16"/>
    <w:rsid w:val="00192422"/>
    <w:rsid w:val="0019253F"/>
    <w:rsid w:val="0019257F"/>
    <w:rsid w:val="00192BC8"/>
    <w:rsid w:val="00195A32"/>
    <w:rsid w:val="001970F6"/>
    <w:rsid w:val="001A2793"/>
    <w:rsid w:val="001A2819"/>
    <w:rsid w:val="001A3008"/>
    <w:rsid w:val="001A52DF"/>
    <w:rsid w:val="001A5F2F"/>
    <w:rsid w:val="001A650C"/>
    <w:rsid w:val="001A7892"/>
    <w:rsid w:val="001A7AE6"/>
    <w:rsid w:val="001B391C"/>
    <w:rsid w:val="001B449B"/>
    <w:rsid w:val="001B474A"/>
    <w:rsid w:val="001B56CE"/>
    <w:rsid w:val="001B56E7"/>
    <w:rsid w:val="001B61B9"/>
    <w:rsid w:val="001B6452"/>
    <w:rsid w:val="001B7C0B"/>
    <w:rsid w:val="001C02A8"/>
    <w:rsid w:val="001C0A01"/>
    <w:rsid w:val="001C1B7B"/>
    <w:rsid w:val="001C2706"/>
    <w:rsid w:val="001C28A4"/>
    <w:rsid w:val="001C2A64"/>
    <w:rsid w:val="001C3C13"/>
    <w:rsid w:val="001C3E40"/>
    <w:rsid w:val="001C7AFB"/>
    <w:rsid w:val="001C7B3C"/>
    <w:rsid w:val="001D00E3"/>
    <w:rsid w:val="001D12D8"/>
    <w:rsid w:val="001D3847"/>
    <w:rsid w:val="001D4052"/>
    <w:rsid w:val="001D5567"/>
    <w:rsid w:val="001D6049"/>
    <w:rsid w:val="001D62EC"/>
    <w:rsid w:val="001E02B7"/>
    <w:rsid w:val="001E19B1"/>
    <w:rsid w:val="001E19F0"/>
    <w:rsid w:val="001E1F66"/>
    <w:rsid w:val="001E225E"/>
    <w:rsid w:val="001E3172"/>
    <w:rsid w:val="001E3219"/>
    <w:rsid w:val="001E4506"/>
    <w:rsid w:val="001E4536"/>
    <w:rsid w:val="001E5537"/>
    <w:rsid w:val="001E5EFA"/>
    <w:rsid w:val="001E60BB"/>
    <w:rsid w:val="001F2BF1"/>
    <w:rsid w:val="001F38A9"/>
    <w:rsid w:val="00200B41"/>
    <w:rsid w:val="0020219F"/>
    <w:rsid w:val="002029F7"/>
    <w:rsid w:val="00202A13"/>
    <w:rsid w:val="00212BFD"/>
    <w:rsid w:val="002133EE"/>
    <w:rsid w:val="00213BE2"/>
    <w:rsid w:val="002150F7"/>
    <w:rsid w:val="00217D84"/>
    <w:rsid w:val="00221F55"/>
    <w:rsid w:val="00223D4B"/>
    <w:rsid w:val="00226BC4"/>
    <w:rsid w:val="002311A2"/>
    <w:rsid w:val="0024004A"/>
    <w:rsid w:val="00240B9E"/>
    <w:rsid w:val="00242B62"/>
    <w:rsid w:val="00243FF1"/>
    <w:rsid w:val="002463CE"/>
    <w:rsid w:val="002477A3"/>
    <w:rsid w:val="002511FA"/>
    <w:rsid w:val="002512EC"/>
    <w:rsid w:val="00251BBD"/>
    <w:rsid w:val="00253900"/>
    <w:rsid w:val="00253CA2"/>
    <w:rsid w:val="00255400"/>
    <w:rsid w:val="00257E62"/>
    <w:rsid w:val="00260527"/>
    <w:rsid w:val="002633CF"/>
    <w:rsid w:val="0026562C"/>
    <w:rsid w:val="002663F5"/>
    <w:rsid w:val="002706DF"/>
    <w:rsid w:val="00272276"/>
    <w:rsid w:val="0027310D"/>
    <w:rsid w:val="00273922"/>
    <w:rsid w:val="0027586C"/>
    <w:rsid w:val="002770C2"/>
    <w:rsid w:val="00277100"/>
    <w:rsid w:val="002800CB"/>
    <w:rsid w:val="002808C4"/>
    <w:rsid w:val="0028263C"/>
    <w:rsid w:val="00283E62"/>
    <w:rsid w:val="00286282"/>
    <w:rsid w:val="00290BCD"/>
    <w:rsid w:val="00292CA4"/>
    <w:rsid w:val="002938C0"/>
    <w:rsid w:val="00294199"/>
    <w:rsid w:val="00297953"/>
    <w:rsid w:val="00297D45"/>
    <w:rsid w:val="002A2BA6"/>
    <w:rsid w:val="002A5AFE"/>
    <w:rsid w:val="002B191A"/>
    <w:rsid w:val="002B2CB6"/>
    <w:rsid w:val="002B4449"/>
    <w:rsid w:val="002B48A2"/>
    <w:rsid w:val="002B6899"/>
    <w:rsid w:val="002B6EB7"/>
    <w:rsid w:val="002B75A4"/>
    <w:rsid w:val="002C2A78"/>
    <w:rsid w:val="002C485B"/>
    <w:rsid w:val="002C5955"/>
    <w:rsid w:val="002C62D3"/>
    <w:rsid w:val="002C77A6"/>
    <w:rsid w:val="002C7AE2"/>
    <w:rsid w:val="002D17AC"/>
    <w:rsid w:val="002D2B68"/>
    <w:rsid w:val="002D2E4B"/>
    <w:rsid w:val="002D3009"/>
    <w:rsid w:val="002D3C17"/>
    <w:rsid w:val="002D3FE0"/>
    <w:rsid w:val="002D6B8E"/>
    <w:rsid w:val="002D7F06"/>
    <w:rsid w:val="002E148D"/>
    <w:rsid w:val="002E196B"/>
    <w:rsid w:val="002E1B2E"/>
    <w:rsid w:val="002E2BC2"/>
    <w:rsid w:val="002E436D"/>
    <w:rsid w:val="002E46E8"/>
    <w:rsid w:val="002E4A6D"/>
    <w:rsid w:val="002E4F18"/>
    <w:rsid w:val="002E6BC4"/>
    <w:rsid w:val="002F0BF4"/>
    <w:rsid w:val="002F34E8"/>
    <w:rsid w:val="002F5152"/>
    <w:rsid w:val="002F66D3"/>
    <w:rsid w:val="002F79F7"/>
    <w:rsid w:val="00300D48"/>
    <w:rsid w:val="00301292"/>
    <w:rsid w:val="00303A32"/>
    <w:rsid w:val="00305CA2"/>
    <w:rsid w:val="003068BC"/>
    <w:rsid w:val="00306CBA"/>
    <w:rsid w:val="00311332"/>
    <w:rsid w:val="0031352F"/>
    <w:rsid w:val="003158B8"/>
    <w:rsid w:val="0031706F"/>
    <w:rsid w:val="00320C52"/>
    <w:rsid w:val="00323362"/>
    <w:rsid w:val="00325044"/>
    <w:rsid w:val="0032648F"/>
    <w:rsid w:val="00326F80"/>
    <w:rsid w:val="00327B94"/>
    <w:rsid w:val="003308FA"/>
    <w:rsid w:val="003317C9"/>
    <w:rsid w:val="00337EBA"/>
    <w:rsid w:val="00340CC8"/>
    <w:rsid w:val="00341EE7"/>
    <w:rsid w:val="00342E74"/>
    <w:rsid w:val="003442FE"/>
    <w:rsid w:val="0034587A"/>
    <w:rsid w:val="00346D53"/>
    <w:rsid w:val="00347336"/>
    <w:rsid w:val="003474C2"/>
    <w:rsid w:val="00352243"/>
    <w:rsid w:val="00353867"/>
    <w:rsid w:val="00357CE8"/>
    <w:rsid w:val="00362EE5"/>
    <w:rsid w:val="00363152"/>
    <w:rsid w:val="00363929"/>
    <w:rsid w:val="0036406F"/>
    <w:rsid w:val="003648E3"/>
    <w:rsid w:val="00366B8F"/>
    <w:rsid w:val="00366DC4"/>
    <w:rsid w:val="003733B5"/>
    <w:rsid w:val="00376914"/>
    <w:rsid w:val="00377EBF"/>
    <w:rsid w:val="0038236E"/>
    <w:rsid w:val="0038291D"/>
    <w:rsid w:val="00383200"/>
    <w:rsid w:val="00383359"/>
    <w:rsid w:val="00384D2C"/>
    <w:rsid w:val="00385289"/>
    <w:rsid w:val="00386445"/>
    <w:rsid w:val="00386D8E"/>
    <w:rsid w:val="00387306"/>
    <w:rsid w:val="003909D9"/>
    <w:rsid w:val="00392267"/>
    <w:rsid w:val="003924B7"/>
    <w:rsid w:val="00392B39"/>
    <w:rsid w:val="003937A6"/>
    <w:rsid w:val="00393867"/>
    <w:rsid w:val="003942EB"/>
    <w:rsid w:val="00394CC7"/>
    <w:rsid w:val="00394DA1"/>
    <w:rsid w:val="003951A8"/>
    <w:rsid w:val="003A2BBD"/>
    <w:rsid w:val="003A320C"/>
    <w:rsid w:val="003A3A16"/>
    <w:rsid w:val="003A3AA6"/>
    <w:rsid w:val="003A4B0B"/>
    <w:rsid w:val="003A4EAE"/>
    <w:rsid w:val="003A5124"/>
    <w:rsid w:val="003A74AE"/>
    <w:rsid w:val="003A7A5C"/>
    <w:rsid w:val="003B0F45"/>
    <w:rsid w:val="003B2319"/>
    <w:rsid w:val="003B4053"/>
    <w:rsid w:val="003B4CAC"/>
    <w:rsid w:val="003B564B"/>
    <w:rsid w:val="003C07AA"/>
    <w:rsid w:val="003C1B91"/>
    <w:rsid w:val="003C28A7"/>
    <w:rsid w:val="003C41A1"/>
    <w:rsid w:val="003C48BB"/>
    <w:rsid w:val="003C4E46"/>
    <w:rsid w:val="003C5389"/>
    <w:rsid w:val="003C6B90"/>
    <w:rsid w:val="003D34C8"/>
    <w:rsid w:val="003D63A5"/>
    <w:rsid w:val="003E0442"/>
    <w:rsid w:val="003E0E90"/>
    <w:rsid w:val="003E2827"/>
    <w:rsid w:val="003E2B3F"/>
    <w:rsid w:val="003E336D"/>
    <w:rsid w:val="003E6E5F"/>
    <w:rsid w:val="003E712E"/>
    <w:rsid w:val="003E7DE5"/>
    <w:rsid w:val="003F1E70"/>
    <w:rsid w:val="003F1E98"/>
    <w:rsid w:val="003F55DC"/>
    <w:rsid w:val="003F7AB0"/>
    <w:rsid w:val="003F7CBA"/>
    <w:rsid w:val="004007D7"/>
    <w:rsid w:val="004011B1"/>
    <w:rsid w:val="00401D6A"/>
    <w:rsid w:val="004035DE"/>
    <w:rsid w:val="00404547"/>
    <w:rsid w:val="004056BD"/>
    <w:rsid w:val="00405E0A"/>
    <w:rsid w:val="0040604C"/>
    <w:rsid w:val="00406DC8"/>
    <w:rsid w:val="00406FA4"/>
    <w:rsid w:val="00407F36"/>
    <w:rsid w:val="0041083A"/>
    <w:rsid w:val="0041326C"/>
    <w:rsid w:val="00413AFC"/>
    <w:rsid w:val="004149FC"/>
    <w:rsid w:val="0041732F"/>
    <w:rsid w:val="004205FC"/>
    <w:rsid w:val="00424241"/>
    <w:rsid w:val="004262FD"/>
    <w:rsid w:val="00430B52"/>
    <w:rsid w:val="00431ABE"/>
    <w:rsid w:val="00432440"/>
    <w:rsid w:val="004330D8"/>
    <w:rsid w:val="0043322D"/>
    <w:rsid w:val="004333D7"/>
    <w:rsid w:val="004335F0"/>
    <w:rsid w:val="00434EC3"/>
    <w:rsid w:val="00435727"/>
    <w:rsid w:val="00435BE1"/>
    <w:rsid w:val="00435FF0"/>
    <w:rsid w:val="00436685"/>
    <w:rsid w:val="00437B7B"/>
    <w:rsid w:val="0044195C"/>
    <w:rsid w:val="00442B4D"/>
    <w:rsid w:val="00442F3F"/>
    <w:rsid w:val="00443385"/>
    <w:rsid w:val="004435E4"/>
    <w:rsid w:val="00445C41"/>
    <w:rsid w:val="004510CB"/>
    <w:rsid w:val="00452694"/>
    <w:rsid w:val="0045475A"/>
    <w:rsid w:val="0045557F"/>
    <w:rsid w:val="00456E04"/>
    <w:rsid w:val="004579D4"/>
    <w:rsid w:val="00461109"/>
    <w:rsid w:val="00462F9A"/>
    <w:rsid w:val="00463401"/>
    <w:rsid w:val="004637A7"/>
    <w:rsid w:val="004651DE"/>
    <w:rsid w:val="004655D2"/>
    <w:rsid w:val="004661F4"/>
    <w:rsid w:val="0046660F"/>
    <w:rsid w:val="00466E98"/>
    <w:rsid w:val="00467688"/>
    <w:rsid w:val="004704DE"/>
    <w:rsid w:val="00470DA2"/>
    <w:rsid w:val="00471AE4"/>
    <w:rsid w:val="00472709"/>
    <w:rsid w:val="004728CF"/>
    <w:rsid w:val="00473F74"/>
    <w:rsid w:val="004750F9"/>
    <w:rsid w:val="00477836"/>
    <w:rsid w:val="00477DD0"/>
    <w:rsid w:val="004808FD"/>
    <w:rsid w:val="004819DF"/>
    <w:rsid w:val="00482538"/>
    <w:rsid w:val="0048261F"/>
    <w:rsid w:val="004832DD"/>
    <w:rsid w:val="004848A7"/>
    <w:rsid w:val="0048609C"/>
    <w:rsid w:val="0048682A"/>
    <w:rsid w:val="00486C8C"/>
    <w:rsid w:val="00487925"/>
    <w:rsid w:val="00487951"/>
    <w:rsid w:val="004906B3"/>
    <w:rsid w:val="0049118B"/>
    <w:rsid w:val="00491284"/>
    <w:rsid w:val="004915A6"/>
    <w:rsid w:val="00491926"/>
    <w:rsid w:val="00492879"/>
    <w:rsid w:val="004965AC"/>
    <w:rsid w:val="004A0867"/>
    <w:rsid w:val="004A1FB7"/>
    <w:rsid w:val="004A24F2"/>
    <w:rsid w:val="004A3BC9"/>
    <w:rsid w:val="004A4862"/>
    <w:rsid w:val="004A4E0D"/>
    <w:rsid w:val="004A522C"/>
    <w:rsid w:val="004A5563"/>
    <w:rsid w:val="004A6D97"/>
    <w:rsid w:val="004B69B1"/>
    <w:rsid w:val="004C0286"/>
    <w:rsid w:val="004C286B"/>
    <w:rsid w:val="004C286C"/>
    <w:rsid w:val="004C5843"/>
    <w:rsid w:val="004C6519"/>
    <w:rsid w:val="004D0EAA"/>
    <w:rsid w:val="004D1518"/>
    <w:rsid w:val="004D217F"/>
    <w:rsid w:val="004D2311"/>
    <w:rsid w:val="004D271F"/>
    <w:rsid w:val="004D4CC9"/>
    <w:rsid w:val="004D5286"/>
    <w:rsid w:val="004D6ABF"/>
    <w:rsid w:val="004E1A6E"/>
    <w:rsid w:val="004E4415"/>
    <w:rsid w:val="004E53AC"/>
    <w:rsid w:val="004F001A"/>
    <w:rsid w:val="004F05C3"/>
    <w:rsid w:val="004F0E12"/>
    <w:rsid w:val="004F160B"/>
    <w:rsid w:val="004F1928"/>
    <w:rsid w:val="004F3A63"/>
    <w:rsid w:val="004F43CC"/>
    <w:rsid w:val="004F4AF8"/>
    <w:rsid w:val="004F6539"/>
    <w:rsid w:val="004F6613"/>
    <w:rsid w:val="004F67A2"/>
    <w:rsid w:val="00500D10"/>
    <w:rsid w:val="00501CB1"/>
    <w:rsid w:val="00504A5E"/>
    <w:rsid w:val="00504D06"/>
    <w:rsid w:val="005053F7"/>
    <w:rsid w:val="0050668D"/>
    <w:rsid w:val="00507C87"/>
    <w:rsid w:val="00510AF2"/>
    <w:rsid w:val="00510F3A"/>
    <w:rsid w:val="005117F5"/>
    <w:rsid w:val="0051274A"/>
    <w:rsid w:val="00512F1A"/>
    <w:rsid w:val="00513163"/>
    <w:rsid w:val="00514973"/>
    <w:rsid w:val="00514C0D"/>
    <w:rsid w:val="0051553B"/>
    <w:rsid w:val="00515BBC"/>
    <w:rsid w:val="005201C4"/>
    <w:rsid w:val="00520A28"/>
    <w:rsid w:val="00520FB4"/>
    <w:rsid w:val="005212AF"/>
    <w:rsid w:val="005241D1"/>
    <w:rsid w:val="005241DA"/>
    <w:rsid w:val="00525BA4"/>
    <w:rsid w:val="00526D9A"/>
    <w:rsid w:val="00526F01"/>
    <w:rsid w:val="00527C73"/>
    <w:rsid w:val="00527EED"/>
    <w:rsid w:val="00530F5C"/>
    <w:rsid w:val="00531324"/>
    <w:rsid w:val="00534294"/>
    <w:rsid w:val="005343E4"/>
    <w:rsid w:val="00534A27"/>
    <w:rsid w:val="00535308"/>
    <w:rsid w:val="00535DC7"/>
    <w:rsid w:val="0054048D"/>
    <w:rsid w:val="0054079C"/>
    <w:rsid w:val="00540946"/>
    <w:rsid w:val="005445E7"/>
    <w:rsid w:val="00545F96"/>
    <w:rsid w:val="00550B66"/>
    <w:rsid w:val="00551EBC"/>
    <w:rsid w:val="00551F60"/>
    <w:rsid w:val="005544FD"/>
    <w:rsid w:val="00554933"/>
    <w:rsid w:val="00555681"/>
    <w:rsid w:val="005575D8"/>
    <w:rsid w:val="00561ECF"/>
    <w:rsid w:val="0056425E"/>
    <w:rsid w:val="00565559"/>
    <w:rsid w:val="00565A4B"/>
    <w:rsid w:val="005663DD"/>
    <w:rsid w:val="005676CE"/>
    <w:rsid w:val="00570E93"/>
    <w:rsid w:val="005720E3"/>
    <w:rsid w:val="0057218A"/>
    <w:rsid w:val="0057379F"/>
    <w:rsid w:val="00574057"/>
    <w:rsid w:val="005776B0"/>
    <w:rsid w:val="00580033"/>
    <w:rsid w:val="00581193"/>
    <w:rsid w:val="0058154A"/>
    <w:rsid w:val="005833EF"/>
    <w:rsid w:val="00584C75"/>
    <w:rsid w:val="0058593C"/>
    <w:rsid w:val="00587054"/>
    <w:rsid w:val="00590715"/>
    <w:rsid w:val="00591E8C"/>
    <w:rsid w:val="00594027"/>
    <w:rsid w:val="0059480B"/>
    <w:rsid w:val="0059534C"/>
    <w:rsid w:val="0059599D"/>
    <w:rsid w:val="00595B2F"/>
    <w:rsid w:val="0059643A"/>
    <w:rsid w:val="00597854"/>
    <w:rsid w:val="005A2424"/>
    <w:rsid w:val="005A3F6B"/>
    <w:rsid w:val="005A4317"/>
    <w:rsid w:val="005A4A90"/>
    <w:rsid w:val="005A4E55"/>
    <w:rsid w:val="005A5277"/>
    <w:rsid w:val="005A5FDA"/>
    <w:rsid w:val="005A649B"/>
    <w:rsid w:val="005A65EC"/>
    <w:rsid w:val="005B2C81"/>
    <w:rsid w:val="005B364B"/>
    <w:rsid w:val="005B4AFA"/>
    <w:rsid w:val="005B5B77"/>
    <w:rsid w:val="005B6E0C"/>
    <w:rsid w:val="005B6EF7"/>
    <w:rsid w:val="005B7296"/>
    <w:rsid w:val="005B7BBB"/>
    <w:rsid w:val="005C18E5"/>
    <w:rsid w:val="005C3838"/>
    <w:rsid w:val="005C601E"/>
    <w:rsid w:val="005C732C"/>
    <w:rsid w:val="005C76C1"/>
    <w:rsid w:val="005D044C"/>
    <w:rsid w:val="005D0B50"/>
    <w:rsid w:val="005D3566"/>
    <w:rsid w:val="005D3889"/>
    <w:rsid w:val="005D38CD"/>
    <w:rsid w:val="005D3DA4"/>
    <w:rsid w:val="005D3F5A"/>
    <w:rsid w:val="005D4803"/>
    <w:rsid w:val="005D48BB"/>
    <w:rsid w:val="005D67F9"/>
    <w:rsid w:val="005E2FAC"/>
    <w:rsid w:val="005E313E"/>
    <w:rsid w:val="005E405E"/>
    <w:rsid w:val="005E5F1C"/>
    <w:rsid w:val="005E6785"/>
    <w:rsid w:val="005E6888"/>
    <w:rsid w:val="005E6D17"/>
    <w:rsid w:val="005E70DA"/>
    <w:rsid w:val="005E7F18"/>
    <w:rsid w:val="005F1C1A"/>
    <w:rsid w:val="005F22AD"/>
    <w:rsid w:val="005F350E"/>
    <w:rsid w:val="005F5B46"/>
    <w:rsid w:val="005F5F93"/>
    <w:rsid w:val="005F6222"/>
    <w:rsid w:val="006023B0"/>
    <w:rsid w:val="0060423F"/>
    <w:rsid w:val="006046EB"/>
    <w:rsid w:val="0060485E"/>
    <w:rsid w:val="0060516E"/>
    <w:rsid w:val="00606AC3"/>
    <w:rsid w:val="00606E09"/>
    <w:rsid w:val="006103B6"/>
    <w:rsid w:val="0061076B"/>
    <w:rsid w:val="0061091F"/>
    <w:rsid w:val="006111D8"/>
    <w:rsid w:val="006112B5"/>
    <w:rsid w:val="006114A4"/>
    <w:rsid w:val="00611D34"/>
    <w:rsid w:val="006125A4"/>
    <w:rsid w:val="006133C0"/>
    <w:rsid w:val="00613A30"/>
    <w:rsid w:val="00614386"/>
    <w:rsid w:val="006158D7"/>
    <w:rsid w:val="006173BF"/>
    <w:rsid w:val="00617FBD"/>
    <w:rsid w:val="0062267B"/>
    <w:rsid w:val="00622B54"/>
    <w:rsid w:val="00623BD2"/>
    <w:rsid w:val="006249BA"/>
    <w:rsid w:val="00624C94"/>
    <w:rsid w:val="00624FA0"/>
    <w:rsid w:val="00624FEA"/>
    <w:rsid w:val="00625A1C"/>
    <w:rsid w:val="00627483"/>
    <w:rsid w:val="00632398"/>
    <w:rsid w:val="006324D6"/>
    <w:rsid w:val="00633180"/>
    <w:rsid w:val="00633FEA"/>
    <w:rsid w:val="00634150"/>
    <w:rsid w:val="006349A1"/>
    <w:rsid w:val="006352E0"/>
    <w:rsid w:val="00635C23"/>
    <w:rsid w:val="00635E30"/>
    <w:rsid w:val="006367BF"/>
    <w:rsid w:val="00636F8F"/>
    <w:rsid w:val="0064047F"/>
    <w:rsid w:val="0064093D"/>
    <w:rsid w:val="00646348"/>
    <w:rsid w:val="00651AE7"/>
    <w:rsid w:val="00651F54"/>
    <w:rsid w:val="006535D2"/>
    <w:rsid w:val="006538CA"/>
    <w:rsid w:val="00654EAB"/>
    <w:rsid w:val="00654F2C"/>
    <w:rsid w:val="00655148"/>
    <w:rsid w:val="00655CD3"/>
    <w:rsid w:val="0065616C"/>
    <w:rsid w:val="00656B1B"/>
    <w:rsid w:val="006573CD"/>
    <w:rsid w:val="00657C7B"/>
    <w:rsid w:val="00660763"/>
    <w:rsid w:val="00660E2E"/>
    <w:rsid w:val="00662E92"/>
    <w:rsid w:val="00664818"/>
    <w:rsid w:val="006663EA"/>
    <w:rsid w:val="006711E4"/>
    <w:rsid w:val="00671A2E"/>
    <w:rsid w:val="00673D87"/>
    <w:rsid w:val="00674513"/>
    <w:rsid w:val="00675C3E"/>
    <w:rsid w:val="006767D0"/>
    <w:rsid w:val="00676BA0"/>
    <w:rsid w:val="00680272"/>
    <w:rsid w:val="00680502"/>
    <w:rsid w:val="00680B40"/>
    <w:rsid w:val="0068156A"/>
    <w:rsid w:val="00681FF8"/>
    <w:rsid w:val="00682198"/>
    <w:rsid w:val="00682F18"/>
    <w:rsid w:val="00682F66"/>
    <w:rsid w:val="00682FC5"/>
    <w:rsid w:val="006832A8"/>
    <w:rsid w:val="00683382"/>
    <w:rsid w:val="00683EE5"/>
    <w:rsid w:val="00687828"/>
    <w:rsid w:val="00687E01"/>
    <w:rsid w:val="00691F3B"/>
    <w:rsid w:val="0069375C"/>
    <w:rsid w:val="00693CB6"/>
    <w:rsid w:val="006952F1"/>
    <w:rsid w:val="00697F58"/>
    <w:rsid w:val="006A1768"/>
    <w:rsid w:val="006A2250"/>
    <w:rsid w:val="006A3A5F"/>
    <w:rsid w:val="006A4493"/>
    <w:rsid w:val="006A5BEC"/>
    <w:rsid w:val="006B0740"/>
    <w:rsid w:val="006B1EDC"/>
    <w:rsid w:val="006B25B9"/>
    <w:rsid w:val="006B4861"/>
    <w:rsid w:val="006C0CC9"/>
    <w:rsid w:val="006C2E6C"/>
    <w:rsid w:val="006C45FC"/>
    <w:rsid w:val="006C6189"/>
    <w:rsid w:val="006C62B7"/>
    <w:rsid w:val="006C7693"/>
    <w:rsid w:val="006D0521"/>
    <w:rsid w:val="006D079C"/>
    <w:rsid w:val="006D09A4"/>
    <w:rsid w:val="006D0A17"/>
    <w:rsid w:val="006D21B2"/>
    <w:rsid w:val="006D32A8"/>
    <w:rsid w:val="006D3519"/>
    <w:rsid w:val="006D462C"/>
    <w:rsid w:val="006D60FB"/>
    <w:rsid w:val="006E01E7"/>
    <w:rsid w:val="006E30FF"/>
    <w:rsid w:val="006E43CF"/>
    <w:rsid w:val="006E544C"/>
    <w:rsid w:val="006E5714"/>
    <w:rsid w:val="006E6841"/>
    <w:rsid w:val="006E6A40"/>
    <w:rsid w:val="006E7AA8"/>
    <w:rsid w:val="006F004E"/>
    <w:rsid w:val="006F18C7"/>
    <w:rsid w:val="006F3595"/>
    <w:rsid w:val="006F3C24"/>
    <w:rsid w:val="006F4A26"/>
    <w:rsid w:val="006F4D04"/>
    <w:rsid w:val="006F522B"/>
    <w:rsid w:val="006F78FD"/>
    <w:rsid w:val="0070245B"/>
    <w:rsid w:val="007038BC"/>
    <w:rsid w:val="00705C71"/>
    <w:rsid w:val="00706FCA"/>
    <w:rsid w:val="00707538"/>
    <w:rsid w:val="0071042E"/>
    <w:rsid w:val="00710A31"/>
    <w:rsid w:val="00711424"/>
    <w:rsid w:val="00711FF7"/>
    <w:rsid w:val="00712493"/>
    <w:rsid w:val="00712CFB"/>
    <w:rsid w:val="00714767"/>
    <w:rsid w:val="0071598C"/>
    <w:rsid w:val="00717647"/>
    <w:rsid w:val="00722307"/>
    <w:rsid w:val="00722387"/>
    <w:rsid w:val="00723A92"/>
    <w:rsid w:val="00723DBA"/>
    <w:rsid w:val="007240E1"/>
    <w:rsid w:val="0073007C"/>
    <w:rsid w:val="0073096F"/>
    <w:rsid w:val="00731A15"/>
    <w:rsid w:val="00731D9E"/>
    <w:rsid w:val="00735916"/>
    <w:rsid w:val="007360DE"/>
    <w:rsid w:val="007405AD"/>
    <w:rsid w:val="00740F71"/>
    <w:rsid w:val="007410A8"/>
    <w:rsid w:val="00742194"/>
    <w:rsid w:val="00744704"/>
    <w:rsid w:val="00745D4D"/>
    <w:rsid w:val="007469D0"/>
    <w:rsid w:val="00747BF4"/>
    <w:rsid w:val="00747D46"/>
    <w:rsid w:val="00750C96"/>
    <w:rsid w:val="00753840"/>
    <w:rsid w:val="007544C0"/>
    <w:rsid w:val="00754DAF"/>
    <w:rsid w:val="00755320"/>
    <w:rsid w:val="00756AEE"/>
    <w:rsid w:val="0075796C"/>
    <w:rsid w:val="00757D07"/>
    <w:rsid w:val="00760BFB"/>
    <w:rsid w:val="007623C0"/>
    <w:rsid w:val="00762DB5"/>
    <w:rsid w:val="007630EB"/>
    <w:rsid w:val="0076381A"/>
    <w:rsid w:val="00764714"/>
    <w:rsid w:val="007650DE"/>
    <w:rsid w:val="00770024"/>
    <w:rsid w:val="007707E7"/>
    <w:rsid w:val="00770CF5"/>
    <w:rsid w:val="00771296"/>
    <w:rsid w:val="00771BED"/>
    <w:rsid w:val="00772A74"/>
    <w:rsid w:val="00773650"/>
    <w:rsid w:val="007736B8"/>
    <w:rsid w:val="00774E70"/>
    <w:rsid w:val="007752D6"/>
    <w:rsid w:val="00780BC4"/>
    <w:rsid w:val="00781559"/>
    <w:rsid w:val="007816F7"/>
    <w:rsid w:val="00782947"/>
    <w:rsid w:val="0078591C"/>
    <w:rsid w:val="00785E06"/>
    <w:rsid w:val="007879DB"/>
    <w:rsid w:val="007910B5"/>
    <w:rsid w:val="00791781"/>
    <w:rsid w:val="007941E2"/>
    <w:rsid w:val="00796B65"/>
    <w:rsid w:val="007A0AEB"/>
    <w:rsid w:val="007A1FA1"/>
    <w:rsid w:val="007A29C0"/>
    <w:rsid w:val="007A2DEC"/>
    <w:rsid w:val="007A4286"/>
    <w:rsid w:val="007A4C33"/>
    <w:rsid w:val="007A4DE3"/>
    <w:rsid w:val="007A6364"/>
    <w:rsid w:val="007A65A5"/>
    <w:rsid w:val="007B168D"/>
    <w:rsid w:val="007B3469"/>
    <w:rsid w:val="007B4488"/>
    <w:rsid w:val="007B6552"/>
    <w:rsid w:val="007B6BDD"/>
    <w:rsid w:val="007C1D32"/>
    <w:rsid w:val="007C1E49"/>
    <w:rsid w:val="007C1E82"/>
    <w:rsid w:val="007C25B7"/>
    <w:rsid w:val="007C5C87"/>
    <w:rsid w:val="007C670A"/>
    <w:rsid w:val="007C7049"/>
    <w:rsid w:val="007C7B72"/>
    <w:rsid w:val="007D1EA4"/>
    <w:rsid w:val="007D2CBE"/>
    <w:rsid w:val="007D37B4"/>
    <w:rsid w:val="007D780F"/>
    <w:rsid w:val="007E1747"/>
    <w:rsid w:val="007E1FEB"/>
    <w:rsid w:val="007E5778"/>
    <w:rsid w:val="007F0131"/>
    <w:rsid w:val="007F086A"/>
    <w:rsid w:val="007F10BF"/>
    <w:rsid w:val="007F11B1"/>
    <w:rsid w:val="007F1616"/>
    <w:rsid w:val="007F4735"/>
    <w:rsid w:val="007F56BF"/>
    <w:rsid w:val="007F6EC5"/>
    <w:rsid w:val="007F6FC5"/>
    <w:rsid w:val="007F6FFD"/>
    <w:rsid w:val="00800BBE"/>
    <w:rsid w:val="00800F08"/>
    <w:rsid w:val="0080212B"/>
    <w:rsid w:val="00802D48"/>
    <w:rsid w:val="0080423B"/>
    <w:rsid w:val="00804378"/>
    <w:rsid w:val="008045FF"/>
    <w:rsid w:val="00805551"/>
    <w:rsid w:val="008062FD"/>
    <w:rsid w:val="008063C2"/>
    <w:rsid w:val="00807A5B"/>
    <w:rsid w:val="0081036D"/>
    <w:rsid w:val="0081099E"/>
    <w:rsid w:val="00810F09"/>
    <w:rsid w:val="00811628"/>
    <w:rsid w:val="0081611C"/>
    <w:rsid w:val="00816B45"/>
    <w:rsid w:val="0081744B"/>
    <w:rsid w:val="00817984"/>
    <w:rsid w:val="00820FE7"/>
    <w:rsid w:val="00824152"/>
    <w:rsid w:val="008261CF"/>
    <w:rsid w:val="00826BE7"/>
    <w:rsid w:val="008277F6"/>
    <w:rsid w:val="0083227A"/>
    <w:rsid w:val="008326DD"/>
    <w:rsid w:val="008331D8"/>
    <w:rsid w:val="00833CDE"/>
    <w:rsid w:val="00835346"/>
    <w:rsid w:val="00835836"/>
    <w:rsid w:val="00837BDB"/>
    <w:rsid w:val="008402EA"/>
    <w:rsid w:val="00840878"/>
    <w:rsid w:val="00840939"/>
    <w:rsid w:val="00841D77"/>
    <w:rsid w:val="00842162"/>
    <w:rsid w:val="0084329D"/>
    <w:rsid w:val="0084625E"/>
    <w:rsid w:val="008469D3"/>
    <w:rsid w:val="0085218E"/>
    <w:rsid w:val="00853EF3"/>
    <w:rsid w:val="00855C70"/>
    <w:rsid w:val="008573D5"/>
    <w:rsid w:val="00861A6F"/>
    <w:rsid w:val="00862C8D"/>
    <w:rsid w:val="00862CE4"/>
    <w:rsid w:val="00863116"/>
    <w:rsid w:val="008649FE"/>
    <w:rsid w:val="0086529E"/>
    <w:rsid w:val="008657EB"/>
    <w:rsid w:val="00866F4A"/>
    <w:rsid w:val="0086762C"/>
    <w:rsid w:val="008710D0"/>
    <w:rsid w:val="0087165A"/>
    <w:rsid w:val="00871FCA"/>
    <w:rsid w:val="008751B2"/>
    <w:rsid w:val="00875FA8"/>
    <w:rsid w:val="00876183"/>
    <w:rsid w:val="00880E60"/>
    <w:rsid w:val="00881031"/>
    <w:rsid w:val="00881D51"/>
    <w:rsid w:val="00882390"/>
    <w:rsid w:val="008833D6"/>
    <w:rsid w:val="0088372F"/>
    <w:rsid w:val="008843D0"/>
    <w:rsid w:val="0089080F"/>
    <w:rsid w:val="00891166"/>
    <w:rsid w:val="008929D2"/>
    <w:rsid w:val="00892CE5"/>
    <w:rsid w:val="0089648A"/>
    <w:rsid w:val="008A0CF7"/>
    <w:rsid w:val="008A216D"/>
    <w:rsid w:val="008A30EC"/>
    <w:rsid w:val="008A4912"/>
    <w:rsid w:val="008A5022"/>
    <w:rsid w:val="008A77E7"/>
    <w:rsid w:val="008B0B64"/>
    <w:rsid w:val="008B42B5"/>
    <w:rsid w:val="008B5B21"/>
    <w:rsid w:val="008B6412"/>
    <w:rsid w:val="008B7176"/>
    <w:rsid w:val="008B71F6"/>
    <w:rsid w:val="008B79A5"/>
    <w:rsid w:val="008C0CBF"/>
    <w:rsid w:val="008C133C"/>
    <w:rsid w:val="008C20B9"/>
    <w:rsid w:val="008C2A95"/>
    <w:rsid w:val="008C3094"/>
    <w:rsid w:val="008C5F05"/>
    <w:rsid w:val="008C6241"/>
    <w:rsid w:val="008C7622"/>
    <w:rsid w:val="008D1061"/>
    <w:rsid w:val="008D298E"/>
    <w:rsid w:val="008D2B01"/>
    <w:rsid w:val="008D3093"/>
    <w:rsid w:val="008D6F72"/>
    <w:rsid w:val="008D74C7"/>
    <w:rsid w:val="008E05C4"/>
    <w:rsid w:val="008E0C7E"/>
    <w:rsid w:val="008E1B7D"/>
    <w:rsid w:val="008E1C9A"/>
    <w:rsid w:val="008E24D8"/>
    <w:rsid w:val="008E2739"/>
    <w:rsid w:val="008E4087"/>
    <w:rsid w:val="008E4309"/>
    <w:rsid w:val="008E619D"/>
    <w:rsid w:val="008F142E"/>
    <w:rsid w:val="008F2BF3"/>
    <w:rsid w:val="008F5D99"/>
    <w:rsid w:val="008F5DF1"/>
    <w:rsid w:val="00902201"/>
    <w:rsid w:val="009025EC"/>
    <w:rsid w:val="00902BFD"/>
    <w:rsid w:val="00902C75"/>
    <w:rsid w:val="00902DD0"/>
    <w:rsid w:val="00904452"/>
    <w:rsid w:val="00904878"/>
    <w:rsid w:val="00904EB0"/>
    <w:rsid w:val="00906761"/>
    <w:rsid w:val="009074BD"/>
    <w:rsid w:val="00907DDB"/>
    <w:rsid w:val="009108CA"/>
    <w:rsid w:val="009115D9"/>
    <w:rsid w:val="00913347"/>
    <w:rsid w:val="009133B6"/>
    <w:rsid w:val="009147F2"/>
    <w:rsid w:val="00915E79"/>
    <w:rsid w:val="0091771A"/>
    <w:rsid w:val="009209E4"/>
    <w:rsid w:val="00921CF4"/>
    <w:rsid w:val="00922EF5"/>
    <w:rsid w:val="0092308D"/>
    <w:rsid w:val="00923A13"/>
    <w:rsid w:val="00923C7C"/>
    <w:rsid w:val="009240CF"/>
    <w:rsid w:val="0092652B"/>
    <w:rsid w:val="00926A29"/>
    <w:rsid w:val="00926A33"/>
    <w:rsid w:val="00930C85"/>
    <w:rsid w:val="00931B5B"/>
    <w:rsid w:val="00932EE8"/>
    <w:rsid w:val="00933986"/>
    <w:rsid w:val="00934071"/>
    <w:rsid w:val="00935C85"/>
    <w:rsid w:val="009366D1"/>
    <w:rsid w:val="00937898"/>
    <w:rsid w:val="00937CA1"/>
    <w:rsid w:val="009427BF"/>
    <w:rsid w:val="00943A42"/>
    <w:rsid w:val="00944680"/>
    <w:rsid w:val="00944AE6"/>
    <w:rsid w:val="00944B31"/>
    <w:rsid w:val="00944DAD"/>
    <w:rsid w:val="0094628C"/>
    <w:rsid w:val="00953F01"/>
    <w:rsid w:val="00955B7B"/>
    <w:rsid w:val="00955B92"/>
    <w:rsid w:val="00955DDA"/>
    <w:rsid w:val="00957AFB"/>
    <w:rsid w:val="00960A24"/>
    <w:rsid w:val="00962FF7"/>
    <w:rsid w:val="0096301A"/>
    <w:rsid w:val="00966553"/>
    <w:rsid w:val="00966653"/>
    <w:rsid w:val="00966FDC"/>
    <w:rsid w:val="009673B4"/>
    <w:rsid w:val="00967F07"/>
    <w:rsid w:val="00970096"/>
    <w:rsid w:val="009705F4"/>
    <w:rsid w:val="00970ECC"/>
    <w:rsid w:val="00972A75"/>
    <w:rsid w:val="00974386"/>
    <w:rsid w:val="00976B35"/>
    <w:rsid w:val="00977161"/>
    <w:rsid w:val="00977676"/>
    <w:rsid w:val="009808F6"/>
    <w:rsid w:val="00981A94"/>
    <w:rsid w:val="00981B82"/>
    <w:rsid w:val="00981FDE"/>
    <w:rsid w:val="009827DC"/>
    <w:rsid w:val="0098505D"/>
    <w:rsid w:val="00985811"/>
    <w:rsid w:val="0098643A"/>
    <w:rsid w:val="00987DE5"/>
    <w:rsid w:val="00987ECF"/>
    <w:rsid w:val="009902A4"/>
    <w:rsid w:val="0099178E"/>
    <w:rsid w:val="0099235A"/>
    <w:rsid w:val="0099306C"/>
    <w:rsid w:val="00993AF1"/>
    <w:rsid w:val="00993CEF"/>
    <w:rsid w:val="00994C53"/>
    <w:rsid w:val="00995598"/>
    <w:rsid w:val="00996322"/>
    <w:rsid w:val="0099769F"/>
    <w:rsid w:val="009A1551"/>
    <w:rsid w:val="009A245B"/>
    <w:rsid w:val="009A3ECF"/>
    <w:rsid w:val="009A46ED"/>
    <w:rsid w:val="009A5739"/>
    <w:rsid w:val="009A6B95"/>
    <w:rsid w:val="009B0453"/>
    <w:rsid w:val="009B1491"/>
    <w:rsid w:val="009B4931"/>
    <w:rsid w:val="009B656C"/>
    <w:rsid w:val="009B6A04"/>
    <w:rsid w:val="009C0F4E"/>
    <w:rsid w:val="009C148E"/>
    <w:rsid w:val="009C1A14"/>
    <w:rsid w:val="009C5120"/>
    <w:rsid w:val="009C5C74"/>
    <w:rsid w:val="009C654B"/>
    <w:rsid w:val="009C6565"/>
    <w:rsid w:val="009C68ED"/>
    <w:rsid w:val="009D0AF5"/>
    <w:rsid w:val="009D2C43"/>
    <w:rsid w:val="009D5E7A"/>
    <w:rsid w:val="009D629D"/>
    <w:rsid w:val="009D6B4E"/>
    <w:rsid w:val="009D71FF"/>
    <w:rsid w:val="009D7928"/>
    <w:rsid w:val="009E2045"/>
    <w:rsid w:val="009E618E"/>
    <w:rsid w:val="009F0064"/>
    <w:rsid w:val="009F3364"/>
    <w:rsid w:val="009F672B"/>
    <w:rsid w:val="009F7340"/>
    <w:rsid w:val="00A00218"/>
    <w:rsid w:val="00A0154E"/>
    <w:rsid w:val="00A02593"/>
    <w:rsid w:val="00A055DF"/>
    <w:rsid w:val="00A10FCD"/>
    <w:rsid w:val="00A11B96"/>
    <w:rsid w:val="00A141EA"/>
    <w:rsid w:val="00A1470D"/>
    <w:rsid w:val="00A14803"/>
    <w:rsid w:val="00A14F93"/>
    <w:rsid w:val="00A155DC"/>
    <w:rsid w:val="00A1574E"/>
    <w:rsid w:val="00A16BE0"/>
    <w:rsid w:val="00A17414"/>
    <w:rsid w:val="00A20990"/>
    <w:rsid w:val="00A20A18"/>
    <w:rsid w:val="00A20E42"/>
    <w:rsid w:val="00A2139A"/>
    <w:rsid w:val="00A215B9"/>
    <w:rsid w:val="00A227D6"/>
    <w:rsid w:val="00A22DE1"/>
    <w:rsid w:val="00A235D9"/>
    <w:rsid w:val="00A24CA5"/>
    <w:rsid w:val="00A26FFF"/>
    <w:rsid w:val="00A313C6"/>
    <w:rsid w:val="00A34D15"/>
    <w:rsid w:val="00A3518E"/>
    <w:rsid w:val="00A36666"/>
    <w:rsid w:val="00A37FFE"/>
    <w:rsid w:val="00A40ADC"/>
    <w:rsid w:val="00A45FF6"/>
    <w:rsid w:val="00A47E5F"/>
    <w:rsid w:val="00A506A9"/>
    <w:rsid w:val="00A5304D"/>
    <w:rsid w:val="00A53D4A"/>
    <w:rsid w:val="00A5499C"/>
    <w:rsid w:val="00A574EB"/>
    <w:rsid w:val="00A62000"/>
    <w:rsid w:val="00A64A7E"/>
    <w:rsid w:val="00A66731"/>
    <w:rsid w:val="00A673E0"/>
    <w:rsid w:val="00A67702"/>
    <w:rsid w:val="00A677C9"/>
    <w:rsid w:val="00A67BB8"/>
    <w:rsid w:val="00A71431"/>
    <w:rsid w:val="00A73ACF"/>
    <w:rsid w:val="00A74300"/>
    <w:rsid w:val="00A74D19"/>
    <w:rsid w:val="00A74FAC"/>
    <w:rsid w:val="00A76414"/>
    <w:rsid w:val="00A77176"/>
    <w:rsid w:val="00A771FA"/>
    <w:rsid w:val="00A8016A"/>
    <w:rsid w:val="00A81978"/>
    <w:rsid w:val="00A854FD"/>
    <w:rsid w:val="00A86E1A"/>
    <w:rsid w:val="00A92401"/>
    <w:rsid w:val="00A94451"/>
    <w:rsid w:val="00A953D4"/>
    <w:rsid w:val="00A9655F"/>
    <w:rsid w:val="00AA02C0"/>
    <w:rsid w:val="00AA3D1B"/>
    <w:rsid w:val="00AA46B8"/>
    <w:rsid w:val="00AA4EF2"/>
    <w:rsid w:val="00AB0DA5"/>
    <w:rsid w:val="00AB16D6"/>
    <w:rsid w:val="00AB1796"/>
    <w:rsid w:val="00AB1AC2"/>
    <w:rsid w:val="00AB28C5"/>
    <w:rsid w:val="00AB396E"/>
    <w:rsid w:val="00AB4C66"/>
    <w:rsid w:val="00AB74AD"/>
    <w:rsid w:val="00AC1556"/>
    <w:rsid w:val="00AC25E2"/>
    <w:rsid w:val="00AC39DB"/>
    <w:rsid w:val="00AC59C9"/>
    <w:rsid w:val="00AC5B15"/>
    <w:rsid w:val="00AC5E13"/>
    <w:rsid w:val="00AC7825"/>
    <w:rsid w:val="00AD0B0C"/>
    <w:rsid w:val="00AD2591"/>
    <w:rsid w:val="00AD298D"/>
    <w:rsid w:val="00AD5139"/>
    <w:rsid w:val="00AD5140"/>
    <w:rsid w:val="00AD51CD"/>
    <w:rsid w:val="00AD5730"/>
    <w:rsid w:val="00AD6A11"/>
    <w:rsid w:val="00AD6D4A"/>
    <w:rsid w:val="00AE12A8"/>
    <w:rsid w:val="00AE1ECD"/>
    <w:rsid w:val="00AE4D50"/>
    <w:rsid w:val="00AE61BC"/>
    <w:rsid w:val="00AE78B7"/>
    <w:rsid w:val="00AF1CCF"/>
    <w:rsid w:val="00AF25CD"/>
    <w:rsid w:val="00AF2FDC"/>
    <w:rsid w:val="00AF3EFC"/>
    <w:rsid w:val="00AF5642"/>
    <w:rsid w:val="00AF59F7"/>
    <w:rsid w:val="00B0029B"/>
    <w:rsid w:val="00B00496"/>
    <w:rsid w:val="00B00E29"/>
    <w:rsid w:val="00B0330C"/>
    <w:rsid w:val="00B0492F"/>
    <w:rsid w:val="00B049DA"/>
    <w:rsid w:val="00B05723"/>
    <w:rsid w:val="00B05822"/>
    <w:rsid w:val="00B065A5"/>
    <w:rsid w:val="00B07125"/>
    <w:rsid w:val="00B122AF"/>
    <w:rsid w:val="00B13DFB"/>
    <w:rsid w:val="00B16767"/>
    <w:rsid w:val="00B16C36"/>
    <w:rsid w:val="00B16E0E"/>
    <w:rsid w:val="00B1793D"/>
    <w:rsid w:val="00B2187A"/>
    <w:rsid w:val="00B242EC"/>
    <w:rsid w:val="00B24EAE"/>
    <w:rsid w:val="00B2586A"/>
    <w:rsid w:val="00B2656B"/>
    <w:rsid w:val="00B3170C"/>
    <w:rsid w:val="00B33824"/>
    <w:rsid w:val="00B33B5C"/>
    <w:rsid w:val="00B34ABA"/>
    <w:rsid w:val="00B34F22"/>
    <w:rsid w:val="00B354BB"/>
    <w:rsid w:val="00B354FC"/>
    <w:rsid w:val="00B41506"/>
    <w:rsid w:val="00B42604"/>
    <w:rsid w:val="00B4434C"/>
    <w:rsid w:val="00B44609"/>
    <w:rsid w:val="00B44843"/>
    <w:rsid w:val="00B46569"/>
    <w:rsid w:val="00B46DD4"/>
    <w:rsid w:val="00B47F6C"/>
    <w:rsid w:val="00B518BB"/>
    <w:rsid w:val="00B53245"/>
    <w:rsid w:val="00B65D4A"/>
    <w:rsid w:val="00B66482"/>
    <w:rsid w:val="00B71B87"/>
    <w:rsid w:val="00B759C4"/>
    <w:rsid w:val="00B75A7E"/>
    <w:rsid w:val="00B76BAC"/>
    <w:rsid w:val="00B80C5D"/>
    <w:rsid w:val="00B86E93"/>
    <w:rsid w:val="00B91836"/>
    <w:rsid w:val="00B9183A"/>
    <w:rsid w:val="00B929DB"/>
    <w:rsid w:val="00B9406D"/>
    <w:rsid w:val="00B949A5"/>
    <w:rsid w:val="00B95FE0"/>
    <w:rsid w:val="00B9643D"/>
    <w:rsid w:val="00BA00F0"/>
    <w:rsid w:val="00BA0B51"/>
    <w:rsid w:val="00BA0B62"/>
    <w:rsid w:val="00BA1B8D"/>
    <w:rsid w:val="00BB00C1"/>
    <w:rsid w:val="00BB0B6E"/>
    <w:rsid w:val="00BB0BC2"/>
    <w:rsid w:val="00BB10A9"/>
    <w:rsid w:val="00BB1B56"/>
    <w:rsid w:val="00BB2033"/>
    <w:rsid w:val="00BB22D0"/>
    <w:rsid w:val="00BB270B"/>
    <w:rsid w:val="00BB2D8D"/>
    <w:rsid w:val="00BB3FFD"/>
    <w:rsid w:val="00BB6023"/>
    <w:rsid w:val="00BB6429"/>
    <w:rsid w:val="00BB67E1"/>
    <w:rsid w:val="00BB73A6"/>
    <w:rsid w:val="00BC02C7"/>
    <w:rsid w:val="00BC0F3A"/>
    <w:rsid w:val="00BC1269"/>
    <w:rsid w:val="00BC1475"/>
    <w:rsid w:val="00BC5BC1"/>
    <w:rsid w:val="00BC67D3"/>
    <w:rsid w:val="00BC7BB2"/>
    <w:rsid w:val="00BD0509"/>
    <w:rsid w:val="00BD0558"/>
    <w:rsid w:val="00BD08EE"/>
    <w:rsid w:val="00BD43F6"/>
    <w:rsid w:val="00BD527D"/>
    <w:rsid w:val="00BD58E8"/>
    <w:rsid w:val="00BD7039"/>
    <w:rsid w:val="00BD71F0"/>
    <w:rsid w:val="00BD7D10"/>
    <w:rsid w:val="00BE022D"/>
    <w:rsid w:val="00BE328C"/>
    <w:rsid w:val="00BE3DE9"/>
    <w:rsid w:val="00BE4F8D"/>
    <w:rsid w:val="00BE57C6"/>
    <w:rsid w:val="00BE5A30"/>
    <w:rsid w:val="00BE62FD"/>
    <w:rsid w:val="00BE6689"/>
    <w:rsid w:val="00BF01B5"/>
    <w:rsid w:val="00BF05B3"/>
    <w:rsid w:val="00BF0FC0"/>
    <w:rsid w:val="00BF13C0"/>
    <w:rsid w:val="00BF2501"/>
    <w:rsid w:val="00BF443A"/>
    <w:rsid w:val="00BF48A5"/>
    <w:rsid w:val="00BF5BAA"/>
    <w:rsid w:val="00BF6079"/>
    <w:rsid w:val="00BF6734"/>
    <w:rsid w:val="00C0063C"/>
    <w:rsid w:val="00C01264"/>
    <w:rsid w:val="00C020CA"/>
    <w:rsid w:val="00C04B0F"/>
    <w:rsid w:val="00C06DA8"/>
    <w:rsid w:val="00C070E0"/>
    <w:rsid w:val="00C10264"/>
    <w:rsid w:val="00C12D8E"/>
    <w:rsid w:val="00C142BD"/>
    <w:rsid w:val="00C147F7"/>
    <w:rsid w:val="00C15DB3"/>
    <w:rsid w:val="00C16116"/>
    <w:rsid w:val="00C2330C"/>
    <w:rsid w:val="00C24E9B"/>
    <w:rsid w:val="00C25DD6"/>
    <w:rsid w:val="00C26C4C"/>
    <w:rsid w:val="00C26E8E"/>
    <w:rsid w:val="00C271DE"/>
    <w:rsid w:val="00C27D9D"/>
    <w:rsid w:val="00C305B9"/>
    <w:rsid w:val="00C30BA6"/>
    <w:rsid w:val="00C315BA"/>
    <w:rsid w:val="00C33027"/>
    <w:rsid w:val="00C3327E"/>
    <w:rsid w:val="00C336FD"/>
    <w:rsid w:val="00C348C8"/>
    <w:rsid w:val="00C37269"/>
    <w:rsid w:val="00C3795F"/>
    <w:rsid w:val="00C41296"/>
    <w:rsid w:val="00C4168E"/>
    <w:rsid w:val="00C43718"/>
    <w:rsid w:val="00C47A54"/>
    <w:rsid w:val="00C50E11"/>
    <w:rsid w:val="00C512FE"/>
    <w:rsid w:val="00C51D28"/>
    <w:rsid w:val="00C524AD"/>
    <w:rsid w:val="00C536D6"/>
    <w:rsid w:val="00C546F2"/>
    <w:rsid w:val="00C55530"/>
    <w:rsid w:val="00C565C0"/>
    <w:rsid w:val="00C57320"/>
    <w:rsid w:val="00C605C4"/>
    <w:rsid w:val="00C61491"/>
    <w:rsid w:val="00C62031"/>
    <w:rsid w:val="00C6239F"/>
    <w:rsid w:val="00C62A15"/>
    <w:rsid w:val="00C643DA"/>
    <w:rsid w:val="00C65A38"/>
    <w:rsid w:val="00C6735A"/>
    <w:rsid w:val="00C679AF"/>
    <w:rsid w:val="00C7185A"/>
    <w:rsid w:val="00C72B23"/>
    <w:rsid w:val="00C7378C"/>
    <w:rsid w:val="00C7517D"/>
    <w:rsid w:val="00C7595C"/>
    <w:rsid w:val="00C76EEB"/>
    <w:rsid w:val="00C77AFA"/>
    <w:rsid w:val="00C827F2"/>
    <w:rsid w:val="00C82DB2"/>
    <w:rsid w:val="00C84953"/>
    <w:rsid w:val="00C9414C"/>
    <w:rsid w:val="00C959E0"/>
    <w:rsid w:val="00CA0C30"/>
    <w:rsid w:val="00CA1002"/>
    <w:rsid w:val="00CA2550"/>
    <w:rsid w:val="00CA3042"/>
    <w:rsid w:val="00CA3449"/>
    <w:rsid w:val="00CA4DFF"/>
    <w:rsid w:val="00CA5A85"/>
    <w:rsid w:val="00CB048A"/>
    <w:rsid w:val="00CB07E2"/>
    <w:rsid w:val="00CB1DD3"/>
    <w:rsid w:val="00CB28E5"/>
    <w:rsid w:val="00CB5315"/>
    <w:rsid w:val="00CB56F4"/>
    <w:rsid w:val="00CB5966"/>
    <w:rsid w:val="00CB5DD3"/>
    <w:rsid w:val="00CC1E9B"/>
    <w:rsid w:val="00CC3384"/>
    <w:rsid w:val="00CC6646"/>
    <w:rsid w:val="00CC7994"/>
    <w:rsid w:val="00CD034F"/>
    <w:rsid w:val="00CD0810"/>
    <w:rsid w:val="00CD0F43"/>
    <w:rsid w:val="00CD1E8C"/>
    <w:rsid w:val="00CD2DF6"/>
    <w:rsid w:val="00CD34DC"/>
    <w:rsid w:val="00CD51C5"/>
    <w:rsid w:val="00CE0430"/>
    <w:rsid w:val="00CE15A0"/>
    <w:rsid w:val="00CE1802"/>
    <w:rsid w:val="00CE5C64"/>
    <w:rsid w:val="00CE789B"/>
    <w:rsid w:val="00CF0E77"/>
    <w:rsid w:val="00CF2147"/>
    <w:rsid w:val="00CF3F65"/>
    <w:rsid w:val="00CF3F6A"/>
    <w:rsid w:val="00CF4CD6"/>
    <w:rsid w:val="00CF5552"/>
    <w:rsid w:val="00CF5F17"/>
    <w:rsid w:val="00D008DD"/>
    <w:rsid w:val="00D0237F"/>
    <w:rsid w:val="00D031F1"/>
    <w:rsid w:val="00D03461"/>
    <w:rsid w:val="00D03DEA"/>
    <w:rsid w:val="00D03F8D"/>
    <w:rsid w:val="00D0677C"/>
    <w:rsid w:val="00D06FBF"/>
    <w:rsid w:val="00D10570"/>
    <w:rsid w:val="00D11027"/>
    <w:rsid w:val="00D13559"/>
    <w:rsid w:val="00D143F3"/>
    <w:rsid w:val="00D14C92"/>
    <w:rsid w:val="00D1544C"/>
    <w:rsid w:val="00D16AD7"/>
    <w:rsid w:val="00D16B94"/>
    <w:rsid w:val="00D16CBD"/>
    <w:rsid w:val="00D17D61"/>
    <w:rsid w:val="00D17DA7"/>
    <w:rsid w:val="00D23968"/>
    <w:rsid w:val="00D25536"/>
    <w:rsid w:val="00D2664B"/>
    <w:rsid w:val="00D26B2A"/>
    <w:rsid w:val="00D31ECA"/>
    <w:rsid w:val="00D32CC1"/>
    <w:rsid w:val="00D33D71"/>
    <w:rsid w:val="00D35D6F"/>
    <w:rsid w:val="00D36649"/>
    <w:rsid w:val="00D40F06"/>
    <w:rsid w:val="00D41D99"/>
    <w:rsid w:val="00D41E8C"/>
    <w:rsid w:val="00D428D8"/>
    <w:rsid w:val="00D4462C"/>
    <w:rsid w:val="00D448E9"/>
    <w:rsid w:val="00D44D05"/>
    <w:rsid w:val="00D46844"/>
    <w:rsid w:val="00D47F3B"/>
    <w:rsid w:val="00D502D1"/>
    <w:rsid w:val="00D509E5"/>
    <w:rsid w:val="00D528EE"/>
    <w:rsid w:val="00D529FF"/>
    <w:rsid w:val="00D5524E"/>
    <w:rsid w:val="00D5551C"/>
    <w:rsid w:val="00D56D19"/>
    <w:rsid w:val="00D57965"/>
    <w:rsid w:val="00D610A3"/>
    <w:rsid w:val="00D625DB"/>
    <w:rsid w:val="00D63261"/>
    <w:rsid w:val="00D6548B"/>
    <w:rsid w:val="00D6582D"/>
    <w:rsid w:val="00D65C34"/>
    <w:rsid w:val="00D65CCB"/>
    <w:rsid w:val="00D66149"/>
    <w:rsid w:val="00D6650A"/>
    <w:rsid w:val="00D72A57"/>
    <w:rsid w:val="00D76E6F"/>
    <w:rsid w:val="00D77232"/>
    <w:rsid w:val="00D77BAC"/>
    <w:rsid w:val="00D84BD1"/>
    <w:rsid w:val="00D90361"/>
    <w:rsid w:val="00D91946"/>
    <w:rsid w:val="00DA0421"/>
    <w:rsid w:val="00DA179C"/>
    <w:rsid w:val="00DA1BD7"/>
    <w:rsid w:val="00DA1D9F"/>
    <w:rsid w:val="00DA4108"/>
    <w:rsid w:val="00DA607E"/>
    <w:rsid w:val="00DA65D4"/>
    <w:rsid w:val="00DA710F"/>
    <w:rsid w:val="00DA7AE3"/>
    <w:rsid w:val="00DB0094"/>
    <w:rsid w:val="00DB0490"/>
    <w:rsid w:val="00DB2571"/>
    <w:rsid w:val="00DB2B58"/>
    <w:rsid w:val="00DB3E24"/>
    <w:rsid w:val="00DB3F92"/>
    <w:rsid w:val="00DB4A10"/>
    <w:rsid w:val="00DB6AA3"/>
    <w:rsid w:val="00DB6C3F"/>
    <w:rsid w:val="00DC161D"/>
    <w:rsid w:val="00DC18A9"/>
    <w:rsid w:val="00DC325B"/>
    <w:rsid w:val="00DC3C6F"/>
    <w:rsid w:val="00DC4FB4"/>
    <w:rsid w:val="00DC5E5F"/>
    <w:rsid w:val="00DD0BB6"/>
    <w:rsid w:val="00DD1738"/>
    <w:rsid w:val="00DD198D"/>
    <w:rsid w:val="00DD1BFE"/>
    <w:rsid w:val="00DD27B6"/>
    <w:rsid w:val="00DD2DD2"/>
    <w:rsid w:val="00DD3205"/>
    <w:rsid w:val="00DD40EF"/>
    <w:rsid w:val="00DD64B6"/>
    <w:rsid w:val="00DD65CC"/>
    <w:rsid w:val="00DD7697"/>
    <w:rsid w:val="00DD7A51"/>
    <w:rsid w:val="00DE3338"/>
    <w:rsid w:val="00DE3B8D"/>
    <w:rsid w:val="00DE59FB"/>
    <w:rsid w:val="00DE5E32"/>
    <w:rsid w:val="00DE6999"/>
    <w:rsid w:val="00DE7FBE"/>
    <w:rsid w:val="00DF0BF3"/>
    <w:rsid w:val="00DF14D0"/>
    <w:rsid w:val="00DF1E6A"/>
    <w:rsid w:val="00DF2131"/>
    <w:rsid w:val="00DF2D99"/>
    <w:rsid w:val="00DF40A5"/>
    <w:rsid w:val="00DF4CE8"/>
    <w:rsid w:val="00DF54D2"/>
    <w:rsid w:val="00DF5D90"/>
    <w:rsid w:val="00DF6193"/>
    <w:rsid w:val="00DF6D9F"/>
    <w:rsid w:val="00E00068"/>
    <w:rsid w:val="00E006D4"/>
    <w:rsid w:val="00E00AC8"/>
    <w:rsid w:val="00E00CF4"/>
    <w:rsid w:val="00E017B9"/>
    <w:rsid w:val="00E01BF4"/>
    <w:rsid w:val="00E01E7F"/>
    <w:rsid w:val="00E03312"/>
    <w:rsid w:val="00E03FC6"/>
    <w:rsid w:val="00E055BD"/>
    <w:rsid w:val="00E07123"/>
    <w:rsid w:val="00E10956"/>
    <w:rsid w:val="00E126BE"/>
    <w:rsid w:val="00E128AF"/>
    <w:rsid w:val="00E13727"/>
    <w:rsid w:val="00E1507F"/>
    <w:rsid w:val="00E16F91"/>
    <w:rsid w:val="00E17306"/>
    <w:rsid w:val="00E17C21"/>
    <w:rsid w:val="00E22325"/>
    <w:rsid w:val="00E22A00"/>
    <w:rsid w:val="00E23C5F"/>
    <w:rsid w:val="00E277D1"/>
    <w:rsid w:val="00E31548"/>
    <w:rsid w:val="00E31B6E"/>
    <w:rsid w:val="00E320AC"/>
    <w:rsid w:val="00E32690"/>
    <w:rsid w:val="00E3513E"/>
    <w:rsid w:val="00E36B47"/>
    <w:rsid w:val="00E41025"/>
    <w:rsid w:val="00E41FC9"/>
    <w:rsid w:val="00E42412"/>
    <w:rsid w:val="00E42746"/>
    <w:rsid w:val="00E43B93"/>
    <w:rsid w:val="00E44911"/>
    <w:rsid w:val="00E453A2"/>
    <w:rsid w:val="00E4728D"/>
    <w:rsid w:val="00E50686"/>
    <w:rsid w:val="00E508A3"/>
    <w:rsid w:val="00E50989"/>
    <w:rsid w:val="00E50BB7"/>
    <w:rsid w:val="00E51BA9"/>
    <w:rsid w:val="00E532D4"/>
    <w:rsid w:val="00E53593"/>
    <w:rsid w:val="00E57AA6"/>
    <w:rsid w:val="00E57ACF"/>
    <w:rsid w:val="00E628FE"/>
    <w:rsid w:val="00E63632"/>
    <w:rsid w:val="00E636A0"/>
    <w:rsid w:val="00E64139"/>
    <w:rsid w:val="00E64184"/>
    <w:rsid w:val="00E66A2F"/>
    <w:rsid w:val="00E67AAE"/>
    <w:rsid w:val="00E67F40"/>
    <w:rsid w:val="00E73A1A"/>
    <w:rsid w:val="00E744EF"/>
    <w:rsid w:val="00E74B40"/>
    <w:rsid w:val="00E76A45"/>
    <w:rsid w:val="00E77C3C"/>
    <w:rsid w:val="00E80967"/>
    <w:rsid w:val="00E81527"/>
    <w:rsid w:val="00E83657"/>
    <w:rsid w:val="00E843C2"/>
    <w:rsid w:val="00E85D2D"/>
    <w:rsid w:val="00E86055"/>
    <w:rsid w:val="00E86553"/>
    <w:rsid w:val="00E86EAE"/>
    <w:rsid w:val="00E87637"/>
    <w:rsid w:val="00E928E5"/>
    <w:rsid w:val="00E9361B"/>
    <w:rsid w:val="00EA1409"/>
    <w:rsid w:val="00EA151A"/>
    <w:rsid w:val="00EA2BF7"/>
    <w:rsid w:val="00EA3FF7"/>
    <w:rsid w:val="00EA40BF"/>
    <w:rsid w:val="00EA45BF"/>
    <w:rsid w:val="00EA4804"/>
    <w:rsid w:val="00EB121A"/>
    <w:rsid w:val="00EB1421"/>
    <w:rsid w:val="00EB1C76"/>
    <w:rsid w:val="00EB2793"/>
    <w:rsid w:val="00EB3598"/>
    <w:rsid w:val="00EB4CC5"/>
    <w:rsid w:val="00EB52C9"/>
    <w:rsid w:val="00EB6341"/>
    <w:rsid w:val="00EB6F06"/>
    <w:rsid w:val="00EB7D5D"/>
    <w:rsid w:val="00EC3932"/>
    <w:rsid w:val="00EC41B2"/>
    <w:rsid w:val="00EC671A"/>
    <w:rsid w:val="00ED2292"/>
    <w:rsid w:val="00ED26F5"/>
    <w:rsid w:val="00ED44AC"/>
    <w:rsid w:val="00ED49E1"/>
    <w:rsid w:val="00ED5921"/>
    <w:rsid w:val="00ED66E1"/>
    <w:rsid w:val="00EE09A1"/>
    <w:rsid w:val="00EE5305"/>
    <w:rsid w:val="00EE5FDD"/>
    <w:rsid w:val="00EE6B02"/>
    <w:rsid w:val="00EF0BF0"/>
    <w:rsid w:val="00EF1922"/>
    <w:rsid w:val="00EF2F95"/>
    <w:rsid w:val="00EF5320"/>
    <w:rsid w:val="00EF5854"/>
    <w:rsid w:val="00F01E1F"/>
    <w:rsid w:val="00F0298A"/>
    <w:rsid w:val="00F03098"/>
    <w:rsid w:val="00F03952"/>
    <w:rsid w:val="00F077AB"/>
    <w:rsid w:val="00F10059"/>
    <w:rsid w:val="00F11352"/>
    <w:rsid w:val="00F1285D"/>
    <w:rsid w:val="00F13855"/>
    <w:rsid w:val="00F15157"/>
    <w:rsid w:val="00F15DD9"/>
    <w:rsid w:val="00F22C8B"/>
    <w:rsid w:val="00F2334C"/>
    <w:rsid w:val="00F23F5D"/>
    <w:rsid w:val="00F25D06"/>
    <w:rsid w:val="00F2785C"/>
    <w:rsid w:val="00F30316"/>
    <w:rsid w:val="00F303DC"/>
    <w:rsid w:val="00F330C7"/>
    <w:rsid w:val="00F349EF"/>
    <w:rsid w:val="00F36AC9"/>
    <w:rsid w:val="00F37017"/>
    <w:rsid w:val="00F403C8"/>
    <w:rsid w:val="00F42A76"/>
    <w:rsid w:val="00F43784"/>
    <w:rsid w:val="00F44CC5"/>
    <w:rsid w:val="00F44FF8"/>
    <w:rsid w:val="00F5069E"/>
    <w:rsid w:val="00F53243"/>
    <w:rsid w:val="00F536E2"/>
    <w:rsid w:val="00F546B1"/>
    <w:rsid w:val="00F54EB8"/>
    <w:rsid w:val="00F550A8"/>
    <w:rsid w:val="00F55406"/>
    <w:rsid w:val="00F572CC"/>
    <w:rsid w:val="00F578A4"/>
    <w:rsid w:val="00F616D8"/>
    <w:rsid w:val="00F61929"/>
    <w:rsid w:val="00F61D59"/>
    <w:rsid w:val="00F6217D"/>
    <w:rsid w:val="00F625EF"/>
    <w:rsid w:val="00F62720"/>
    <w:rsid w:val="00F636E7"/>
    <w:rsid w:val="00F641D6"/>
    <w:rsid w:val="00F65CFA"/>
    <w:rsid w:val="00F66A51"/>
    <w:rsid w:val="00F66BBC"/>
    <w:rsid w:val="00F67012"/>
    <w:rsid w:val="00F671EA"/>
    <w:rsid w:val="00F7094D"/>
    <w:rsid w:val="00F70A0F"/>
    <w:rsid w:val="00F70DB6"/>
    <w:rsid w:val="00F712CD"/>
    <w:rsid w:val="00F71DC3"/>
    <w:rsid w:val="00F72042"/>
    <w:rsid w:val="00F72642"/>
    <w:rsid w:val="00F72B70"/>
    <w:rsid w:val="00F75140"/>
    <w:rsid w:val="00F774C5"/>
    <w:rsid w:val="00F7774C"/>
    <w:rsid w:val="00F817EA"/>
    <w:rsid w:val="00F82A15"/>
    <w:rsid w:val="00F82EB3"/>
    <w:rsid w:val="00F83CD2"/>
    <w:rsid w:val="00F8453E"/>
    <w:rsid w:val="00F85D77"/>
    <w:rsid w:val="00F865DE"/>
    <w:rsid w:val="00F866C3"/>
    <w:rsid w:val="00F870D3"/>
    <w:rsid w:val="00F903F6"/>
    <w:rsid w:val="00F904A6"/>
    <w:rsid w:val="00F915D4"/>
    <w:rsid w:val="00F925E0"/>
    <w:rsid w:val="00F92D82"/>
    <w:rsid w:val="00F93F36"/>
    <w:rsid w:val="00F941C0"/>
    <w:rsid w:val="00FA0536"/>
    <w:rsid w:val="00FA0BD3"/>
    <w:rsid w:val="00FA0CBC"/>
    <w:rsid w:val="00FA2294"/>
    <w:rsid w:val="00FA3A19"/>
    <w:rsid w:val="00FA43E9"/>
    <w:rsid w:val="00FA4C5B"/>
    <w:rsid w:val="00FA4E05"/>
    <w:rsid w:val="00FA674F"/>
    <w:rsid w:val="00FB1535"/>
    <w:rsid w:val="00FB1D9F"/>
    <w:rsid w:val="00FB3146"/>
    <w:rsid w:val="00FB3756"/>
    <w:rsid w:val="00FB3FAB"/>
    <w:rsid w:val="00FB4332"/>
    <w:rsid w:val="00FB52E5"/>
    <w:rsid w:val="00FC0C9E"/>
    <w:rsid w:val="00FC172D"/>
    <w:rsid w:val="00FC2326"/>
    <w:rsid w:val="00FC242F"/>
    <w:rsid w:val="00FC2B26"/>
    <w:rsid w:val="00FC2C67"/>
    <w:rsid w:val="00FC3C9A"/>
    <w:rsid w:val="00FC58AE"/>
    <w:rsid w:val="00FC67C6"/>
    <w:rsid w:val="00FC6C71"/>
    <w:rsid w:val="00FC7D71"/>
    <w:rsid w:val="00FD0811"/>
    <w:rsid w:val="00FD1669"/>
    <w:rsid w:val="00FD243D"/>
    <w:rsid w:val="00FD2C0D"/>
    <w:rsid w:val="00FD3C61"/>
    <w:rsid w:val="00FD4D8D"/>
    <w:rsid w:val="00FD61C2"/>
    <w:rsid w:val="00FD7A5D"/>
    <w:rsid w:val="00FE052C"/>
    <w:rsid w:val="00FE10CF"/>
    <w:rsid w:val="00FE1200"/>
    <w:rsid w:val="00FE1430"/>
    <w:rsid w:val="00FE20E8"/>
    <w:rsid w:val="00FE3821"/>
    <w:rsid w:val="00FE54D5"/>
    <w:rsid w:val="00FE5793"/>
    <w:rsid w:val="00FE61C7"/>
    <w:rsid w:val="00FF0FEC"/>
    <w:rsid w:val="00FF14B1"/>
    <w:rsid w:val="00FF59BF"/>
    <w:rsid w:val="00FF605E"/>
    <w:rsid w:val="017E7EE3"/>
    <w:rsid w:val="01B9014A"/>
    <w:rsid w:val="02564182"/>
    <w:rsid w:val="03FA210C"/>
    <w:rsid w:val="05097B2F"/>
    <w:rsid w:val="06E55DF1"/>
    <w:rsid w:val="07D12E99"/>
    <w:rsid w:val="0A7D0A9A"/>
    <w:rsid w:val="0BC30510"/>
    <w:rsid w:val="0C5A5999"/>
    <w:rsid w:val="105A2633"/>
    <w:rsid w:val="11E96A48"/>
    <w:rsid w:val="178B7688"/>
    <w:rsid w:val="1C576DBD"/>
    <w:rsid w:val="1D3F72D1"/>
    <w:rsid w:val="201857BE"/>
    <w:rsid w:val="20D14807"/>
    <w:rsid w:val="21A1098C"/>
    <w:rsid w:val="224A0A3A"/>
    <w:rsid w:val="27F51B54"/>
    <w:rsid w:val="28402269"/>
    <w:rsid w:val="29370942"/>
    <w:rsid w:val="29C6379B"/>
    <w:rsid w:val="2CBA6A52"/>
    <w:rsid w:val="2E5F4279"/>
    <w:rsid w:val="2E622F82"/>
    <w:rsid w:val="335A128A"/>
    <w:rsid w:val="34FB3B7C"/>
    <w:rsid w:val="35AE26E3"/>
    <w:rsid w:val="389131F0"/>
    <w:rsid w:val="3AE529B9"/>
    <w:rsid w:val="3B93079B"/>
    <w:rsid w:val="3D7065D4"/>
    <w:rsid w:val="3E234564"/>
    <w:rsid w:val="42025492"/>
    <w:rsid w:val="42724C2F"/>
    <w:rsid w:val="427A0903"/>
    <w:rsid w:val="427E7F14"/>
    <w:rsid w:val="43803E90"/>
    <w:rsid w:val="46602FE1"/>
    <w:rsid w:val="469850B2"/>
    <w:rsid w:val="47363F2D"/>
    <w:rsid w:val="48903A9E"/>
    <w:rsid w:val="4D4048A2"/>
    <w:rsid w:val="51E576C9"/>
    <w:rsid w:val="5213717F"/>
    <w:rsid w:val="52F20F1C"/>
    <w:rsid w:val="56CF2651"/>
    <w:rsid w:val="59683A81"/>
    <w:rsid w:val="5C86378D"/>
    <w:rsid w:val="61C35807"/>
    <w:rsid w:val="685D720E"/>
    <w:rsid w:val="6C8E2263"/>
    <w:rsid w:val="6CF45264"/>
    <w:rsid w:val="6D382C1E"/>
    <w:rsid w:val="6F692CC7"/>
    <w:rsid w:val="704433E7"/>
    <w:rsid w:val="71C13845"/>
    <w:rsid w:val="71F2659A"/>
    <w:rsid w:val="73657DE3"/>
    <w:rsid w:val="73F60E85"/>
    <w:rsid w:val="747810D4"/>
    <w:rsid w:val="771B16A9"/>
    <w:rsid w:val="7A1C0052"/>
    <w:rsid w:val="7BEB4684"/>
    <w:rsid w:val="7BF3191B"/>
    <w:rsid w:val="7F512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0" w:semiHidden="0" w:name="Normal (Web)"/>
    <w:lsdException w:qFormat="1" w:unhideWhenUsed="0" w:uiPriority="0" w:semiHidden="0" w:name="HTML Acronym"/>
    <w:lsdException w:uiPriority="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iPriority="99" w:semiHidden="0" w:name="HTML Preformatted"/>
    <w:lsdException w:qFormat="1" w:unhideWhenUsed="0" w:uiPriority="0" w:semiHidden="0" w:name="HTML Sample"/>
    <w:lsdException w:uiPriority="0" w:name="HTML Typewriter"/>
    <w:lsdException w:qFormat="1"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6"/>
    <w:basedOn w:val="1"/>
    <w:next w:val="1"/>
    <w:link w:val="58"/>
    <w:qFormat/>
    <w:uiPriority w:val="0"/>
    <w:pPr>
      <w:keepNext/>
      <w:keepLines/>
      <w:spacing w:before="240" w:after="64" w:line="320" w:lineRule="auto"/>
      <w:outlineLvl w:val="5"/>
    </w:pPr>
    <w:rPr>
      <w:rFonts w:ascii="Cambria" w:hAnsi="Cambria"/>
      <w:b/>
      <w:bCs/>
      <w:sz w:val="24"/>
    </w:rPr>
  </w:style>
  <w:style w:type="paragraph" w:styleId="6">
    <w:name w:val="heading 7"/>
    <w:basedOn w:val="1"/>
    <w:next w:val="1"/>
    <w:link w:val="68"/>
    <w:unhideWhenUsed/>
    <w:qFormat/>
    <w:uiPriority w:val="0"/>
    <w:pPr>
      <w:keepNext/>
      <w:keepLines/>
      <w:spacing w:before="240" w:after="64" w:line="320" w:lineRule="auto"/>
      <w:outlineLvl w:val="6"/>
    </w:pPr>
    <w:rPr>
      <w:b/>
      <w:bCs/>
      <w:sz w:val="24"/>
    </w:rPr>
  </w:style>
  <w:style w:type="character" w:default="1" w:styleId="25">
    <w:name w:val="Default Paragraph Font"/>
    <w:semiHidden/>
    <w:unhideWhenUsed/>
    <w:uiPriority w:val="1"/>
  </w:style>
  <w:style w:type="table" w:default="1" w:styleId="39">
    <w:name w:val="Normal Table"/>
    <w:semiHidden/>
    <w:unhideWhenUsed/>
    <w:uiPriority w:val="99"/>
    <w:tblPr>
      <w:tblLayout w:type="fixed"/>
      <w:tblCellMar>
        <w:top w:w="0" w:type="dxa"/>
        <w:left w:w="108" w:type="dxa"/>
        <w:bottom w:w="0" w:type="dxa"/>
        <w:right w:w="108" w:type="dxa"/>
      </w:tblCellMar>
    </w:tblPr>
  </w:style>
  <w:style w:type="paragraph" w:styleId="7">
    <w:name w:val="annotation subject"/>
    <w:basedOn w:val="8"/>
    <w:next w:val="8"/>
    <w:semiHidden/>
    <w:qFormat/>
    <w:uiPriority w:val="0"/>
    <w:rPr>
      <w:b/>
      <w:bCs/>
    </w:rPr>
  </w:style>
  <w:style w:type="paragraph" w:styleId="8">
    <w:name w:val="annotation text"/>
    <w:basedOn w:val="1"/>
    <w:link w:val="69"/>
    <w:semiHidden/>
    <w:qFormat/>
    <w:uiPriority w:val="0"/>
    <w:pPr>
      <w:jc w:val="left"/>
    </w:pPr>
  </w:style>
  <w:style w:type="paragraph" w:styleId="9">
    <w:name w:val="Normal Indent"/>
    <w:basedOn w:val="1"/>
    <w:qFormat/>
    <w:uiPriority w:val="0"/>
    <w:pPr>
      <w:autoSpaceDE w:val="0"/>
      <w:autoSpaceDN w:val="0"/>
      <w:adjustRightInd w:val="0"/>
      <w:spacing w:line="300" w:lineRule="atLeast"/>
      <w:ind w:firstLine="556"/>
    </w:pPr>
    <w:rPr>
      <w:rFonts w:ascii="仿宋_GB2312" w:eastAsia="仿宋_GB2312"/>
      <w:kern w:val="0"/>
      <w:sz w:val="28"/>
      <w:szCs w:val="20"/>
    </w:rPr>
  </w:style>
  <w:style w:type="paragraph" w:styleId="10">
    <w:name w:val="Document Map"/>
    <w:basedOn w:val="1"/>
    <w:semiHidden/>
    <w:qFormat/>
    <w:uiPriority w:val="0"/>
    <w:pPr>
      <w:shd w:val="clear" w:color="auto" w:fill="000080"/>
    </w:pPr>
  </w:style>
  <w:style w:type="paragraph" w:styleId="11">
    <w:name w:val="Body Text"/>
    <w:basedOn w:val="1"/>
    <w:qFormat/>
    <w:uiPriority w:val="0"/>
    <w:pPr>
      <w:spacing w:after="120"/>
    </w:pPr>
  </w:style>
  <w:style w:type="paragraph" w:styleId="12">
    <w:name w:val="Body Text Indent"/>
    <w:basedOn w:val="1"/>
    <w:link w:val="42"/>
    <w:qFormat/>
    <w:uiPriority w:val="0"/>
    <w:pPr>
      <w:spacing w:line="360" w:lineRule="auto"/>
      <w:ind w:firstLine="527"/>
    </w:pPr>
    <w:rPr>
      <w:rFonts w:ascii="宋体" w:hAnsi="宋体"/>
      <w:sz w:val="24"/>
    </w:rPr>
  </w:style>
  <w:style w:type="paragraph" w:styleId="13">
    <w:name w:val="Block Text"/>
    <w:basedOn w:val="1"/>
    <w:qFormat/>
    <w:uiPriority w:val="0"/>
    <w:pPr>
      <w:spacing w:after="120"/>
      <w:ind w:left="1440" w:leftChars="700" w:right="1440" w:rightChars="700"/>
    </w:pPr>
  </w:style>
  <w:style w:type="paragraph" w:styleId="14">
    <w:name w:val="toc 3"/>
    <w:basedOn w:val="1"/>
    <w:next w:val="1"/>
    <w:qFormat/>
    <w:uiPriority w:val="39"/>
    <w:pPr>
      <w:ind w:left="840" w:leftChars="400"/>
    </w:pPr>
  </w:style>
  <w:style w:type="paragraph" w:styleId="15">
    <w:name w:val="Plain Text"/>
    <w:basedOn w:val="1"/>
    <w:link w:val="43"/>
    <w:qFormat/>
    <w:uiPriority w:val="0"/>
    <w:rPr>
      <w:rFonts w:ascii="宋体" w:hAnsi="Courier New"/>
      <w:szCs w:val="21"/>
    </w:rPr>
  </w:style>
  <w:style w:type="paragraph" w:styleId="16">
    <w:name w:val="Balloon Text"/>
    <w:basedOn w:val="1"/>
    <w:semiHidden/>
    <w:qFormat/>
    <w:uiPriority w:val="0"/>
    <w:rPr>
      <w:sz w:val="18"/>
      <w:szCs w:val="18"/>
    </w:rPr>
  </w:style>
  <w:style w:type="paragraph" w:styleId="17">
    <w:name w:val="footer"/>
    <w:basedOn w:val="1"/>
    <w:link w:val="62"/>
    <w:qFormat/>
    <w:uiPriority w:val="99"/>
    <w:pPr>
      <w:pBdr>
        <w:top w:val="single" w:color="auto" w:sz="6" w:space="1"/>
      </w:pBdr>
      <w:tabs>
        <w:tab w:val="center" w:pos="4153"/>
        <w:tab w:val="right" w:pos="8306"/>
      </w:tabs>
      <w:snapToGrid w:val="0"/>
      <w:ind w:left="100" w:leftChars="100" w:right="360" w:rightChars="100" w:firstLine="795" w:firstLineChars="440"/>
      <w:jc w:val="left"/>
    </w:pPr>
    <w:rPr>
      <w:rFonts w:ascii="宋体" w:hAnsi="宋体"/>
      <w:b/>
      <w:bCs/>
      <w:sz w:val="18"/>
      <w:szCs w:val="18"/>
    </w:rPr>
  </w:style>
  <w:style w:type="paragraph" w:styleId="18">
    <w:name w:val="header"/>
    <w:basedOn w:val="1"/>
    <w:link w:val="70"/>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tabs>
        <w:tab w:val="right" w:leader="dot" w:pos="8511"/>
      </w:tabs>
      <w:spacing w:line="460" w:lineRule="exact"/>
    </w:pPr>
    <w:rPr>
      <w:rFonts w:eastAsia="黑体"/>
      <w:sz w:val="24"/>
    </w:rPr>
  </w:style>
  <w:style w:type="paragraph" w:styleId="20">
    <w:name w:val="Body Text Indent 3"/>
    <w:basedOn w:val="1"/>
    <w:qFormat/>
    <w:uiPriority w:val="0"/>
    <w:pPr>
      <w:spacing w:after="120"/>
      <w:ind w:left="420" w:leftChars="200"/>
    </w:pPr>
    <w:rPr>
      <w:sz w:val="16"/>
      <w:szCs w:val="16"/>
    </w:rPr>
  </w:style>
  <w:style w:type="paragraph" w:styleId="21">
    <w:name w:val="toc 2"/>
    <w:basedOn w:val="1"/>
    <w:next w:val="1"/>
    <w:qFormat/>
    <w:uiPriority w:val="39"/>
    <w:pPr>
      <w:tabs>
        <w:tab w:val="left" w:pos="858"/>
        <w:tab w:val="left" w:pos="1020"/>
        <w:tab w:val="right" w:leader="dot" w:pos="8511"/>
      </w:tabs>
      <w:spacing w:line="460" w:lineRule="exact"/>
      <w:ind w:left="420" w:leftChars="200"/>
    </w:pPr>
    <w:rPr>
      <w:sz w:val="24"/>
    </w:rPr>
  </w:style>
  <w:style w:type="paragraph" w:styleId="22">
    <w:name w:val="HTML Preformatted"/>
    <w:basedOn w:val="1"/>
    <w:link w:val="6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3">
    <w:name w:val="Normal (Web)"/>
    <w:basedOn w:val="1"/>
    <w:qFormat/>
    <w:uiPriority w:val="0"/>
    <w:pPr>
      <w:widowControl/>
      <w:spacing w:before="100" w:beforeAutospacing="1" w:after="100" w:afterAutospacing="1"/>
      <w:jc w:val="left"/>
    </w:pPr>
    <w:rPr>
      <w:rFonts w:ascii="Arial Unicode MS" w:hAnsi="Arial Unicode MS" w:eastAsia="Arial Unicode MS" w:cs="仿宋_GB2312"/>
      <w:kern w:val="0"/>
      <w:sz w:val="24"/>
    </w:rPr>
  </w:style>
  <w:style w:type="paragraph" w:styleId="24">
    <w:name w:val="Title"/>
    <w:basedOn w:val="1"/>
    <w:qFormat/>
    <w:uiPriority w:val="0"/>
    <w:pPr>
      <w:spacing w:before="240" w:after="60"/>
      <w:jc w:val="center"/>
      <w:outlineLvl w:val="0"/>
    </w:pPr>
    <w:rPr>
      <w:rFonts w:ascii="Arial" w:hAnsi="Arial" w:cs="Arial"/>
      <w:b/>
      <w:bCs/>
      <w:sz w:val="32"/>
      <w:szCs w:val="32"/>
    </w:rPr>
  </w:style>
  <w:style w:type="character" w:styleId="26">
    <w:name w:val="Strong"/>
    <w:basedOn w:val="25"/>
    <w:qFormat/>
    <w:uiPriority w:val="22"/>
    <w:rPr>
      <w:b/>
      <w:bCs/>
    </w:rPr>
  </w:style>
  <w:style w:type="character" w:styleId="27">
    <w:name w:val="page number"/>
    <w:basedOn w:val="25"/>
    <w:qFormat/>
    <w:uiPriority w:val="0"/>
  </w:style>
  <w:style w:type="character" w:styleId="28">
    <w:name w:val="FollowedHyperlink"/>
    <w:basedOn w:val="25"/>
    <w:qFormat/>
    <w:uiPriority w:val="0"/>
    <w:rPr>
      <w:color w:val="338DE6"/>
      <w:u w:val="none"/>
    </w:rPr>
  </w:style>
  <w:style w:type="character" w:styleId="29">
    <w:name w:val="Emphasis"/>
    <w:basedOn w:val="25"/>
    <w:qFormat/>
    <w:uiPriority w:val="0"/>
  </w:style>
  <w:style w:type="character" w:styleId="30">
    <w:name w:val="HTML Definition"/>
    <w:basedOn w:val="25"/>
    <w:qFormat/>
    <w:uiPriority w:val="0"/>
  </w:style>
  <w:style w:type="character" w:styleId="31">
    <w:name w:val="HTML Acronym"/>
    <w:basedOn w:val="25"/>
    <w:qFormat/>
    <w:uiPriority w:val="0"/>
  </w:style>
  <w:style w:type="character" w:styleId="32">
    <w:name w:val="HTML Variable"/>
    <w:basedOn w:val="25"/>
    <w:qFormat/>
    <w:uiPriority w:val="0"/>
  </w:style>
  <w:style w:type="character" w:styleId="33">
    <w:name w:val="Hyperlink"/>
    <w:basedOn w:val="25"/>
    <w:qFormat/>
    <w:uiPriority w:val="99"/>
    <w:rPr>
      <w:color w:val="338DE6"/>
      <w:u w:val="none"/>
    </w:rPr>
  </w:style>
  <w:style w:type="character" w:styleId="34">
    <w:name w:val="HTML Code"/>
    <w:basedOn w:val="25"/>
    <w:qFormat/>
    <w:uiPriority w:val="0"/>
    <w:rPr>
      <w:rFonts w:hint="default" w:ascii="monospace" w:hAnsi="monospace" w:eastAsia="monospace" w:cs="monospace"/>
      <w:sz w:val="21"/>
      <w:szCs w:val="21"/>
    </w:rPr>
  </w:style>
  <w:style w:type="character" w:styleId="35">
    <w:name w:val="annotation reference"/>
    <w:basedOn w:val="25"/>
    <w:semiHidden/>
    <w:qFormat/>
    <w:uiPriority w:val="0"/>
    <w:rPr>
      <w:sz w:val="21"/>
      <w:szCs w:val="21"/>
    </w:rPr>
  </w:style>
  <w:style w:type="character" w:styleId="36">
    <w:name w:val="HTML Cite"/>
    <w:basedOn w:val="25"/>
    <w:qFormat/>
    <w:uiPriority w:val="0"/>
  </w:style>
  <w:style w:type="character" w:styleId="37">
    <w:name w:val="HTML Keyboard"/>
    <w:basedOn w:val="25"/>
    <w:qFormat/>
    <w:uiPriority w:val="0"/>
    <w:rPr>
      <w:rFonts w:hint="default" w:ascii="monospace" w:hAnsi="monospace" w:eastAsia="monospace" w:cs="monospace"/>
      <w:sz w:val="21"/>
      <w:szCs w:val="21"/>
    </w:rPr>
  </w:style>
  <w:style w:type="character" w:styleId="38">
    <w:name w:val="HTML Sample"/>
    <w:basedOn w:val="25"/>
    <w:qFormat/>
    <w:uiPriority w:val="0"/>
    <w:rPr>
      <w:rFonts w:ascii="monospace" w:hAnsi="monospace" w:eastAsia="monospace" w:cs="monospace"/>
      <w:sz w:val="21"/>
      <w:szCs w:val="21"/>
    </w:rPr>
  </w:style>
  <w:style w:type="table" w:styleId="40">
    <w:name w:val="Table Grid"/>
    <w:basedOn w:val="39"/>
    <w:qFormat/>
    <w:uiPriority w:val="0"/>
    <w:pPr>
      <w:spacing w:before="120" w:line="26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customStyle="1" w:styleId="41">
    <w:name w:val="默认段落字体 Para Char Char Char Char Char Char Char"/>
    <w:basedOn w:val="1"/>
    <w:qFormat/>
    <w:uiPriority w:val="0"/>
    <w:rPr>
      <w:rFonts w:ascii="Tahoma" w:hAnsi="Tahoma"/>
      <w:sz w:val="24"/>
      <w:szCs w:val="20"/>
    </w:rPr>
  </w:style>
  <w:style w:type="character" w:customStyle="1" w:styleId="42">
    <w:name w:val="正文文本缩进 Char"/>
    <w:basedOn w:val="25"/>
    <w:link w:val="12"/>
    <w:qFormat/>
    <w:uiPriority w:val="0"/>
    <w:rPr>
      <w:rFonts w:ascii="宋体" w:hAnsi="宋体" w:eastAsia="宋体"/>
      <w:kern w:val="2"/>
      <w:sz w:val="24"/>
      <w:szCs w:val="24"/>
      <w:lang w:val="en-US" w:eastAsia="zh-CN" w:bidi="ar-SA"/>
    </w:rPr>
  </w:style>
  <w:style w:type="character" w:customStyle="1" w:styleId="43">
    <w:name w:val="纯文本 Char"/>
    <w:basedOn w:val="25"/>
    <w:link w:val="15"/>
    <w:qFormat/>
    <w:uiPriority w:val="0"/>
    <w:rPr>
      <w:rFonts w:ascii="宋体" w:hAnsi="Courier New" w:eastAsia="宋体"/>
      <w:kern w:val="2"/>
      <w:sz w:val="21"/>
      <w:szCs w:val="21"/>
      <w:lang w:val="en-US" w:eastAsia="zh-CN" w:bidi="ar-SA"/>
    </w:rPr>
  </w:style>
  <w:style w:type="paragraph" w:customStyle="1" w:styleId="44">
    <w:name w:val="图表文字"/>
    <w:basedOn w:val="1"/>
    <w:qFormat/>
    <w:uiPriority w:val="0"/>
    <w:pPr>
      <w:adjustRightInd w:val="0"/>
      <w:snapToGrid w:val="0"/>
      <w:spacing w:line="240" w:lineRule="atLeast"/>
      <w:jc w:val="center"/>
      <w:outlineLvl w:val="4"/>
    </w:pPr>
  </w:style>
  <w:style w:type="paragraph" w:customStyle="1" w:styleId="45">
    <w:name w:val="zw"/>
    <w:basedOn w:val="1"/>
    <w:link w:val="46"/>
    <w:qFormat/>
    <w:uiPriority w:val="0"/>
    <w:pPr>
      <w:autoSpaceDE w:val="0"/>
      <w:autoSpaceDN w:val="0"/>
      <w:adjustRightInd w:val="0"/>
      <w:spacing w:line="360" w:lineRule="auto"/>
      <w:ind w:firstLine="482"/>
      <w:textAlignment w:val="bottom"/>
    </w:pPr>
    <w:rPr>
      <w:rFonts w:ascii="Arial Narrow" w:hAnsi="Arial Narrow" w:eastAsia="仿宋_GB2312"/>
      <w:kern w:val="0"/>
      <w:sz w:val="24"/>
      <w:szCs w:val="20"/>
    </w:rPr>
  </w:style>
  <w:style w:type="character" w:customStyle="1" w:styleId="46">
    <w:name w:val="zw Char"/>
    <w:basedOn w:val="25"/>
    <w:link w:val="45"/>
    <w:qFormat/>
    <w:uiPriority w:val="0"/>
    <w:rPr>
      <w:rFonts w:ascii="Arial Narrow" w:hAnsi="Arial Narrow" w:eastAsia="仿宋_GB2312"/>
      <w:sz w:val="24"/>
      <w:lang w:val="en-US" w:eastAsia="zh-CN" w:bidi="ar-SA"/>
    </w:rPr>
  </w:style>
  <w:style w:type="paragraph" w:customStyle="1" w:styleId="47">
    <w:name w:val="Char"/>
    <w:basedOn w:val="1"/>
    <w:qFormat/>
    <w:uiPriority w:val="0"/>
  </w:style>
  <w:style w:type="paragraph" w:customStyle="1" w:styleId="48">
    <w:name w:val="Char1"/>
    <w:basedOn w:val="1"/>
    <w:qFormat/>
    <w:uiPriority w:val="0"/>
    <w:rPr>
      <w:rFonts w:ascii="Tahoma" w:hAnsi="Tahoma"/>
      <w:sz w:val="24"/>
      <w:szCs w:val="20"/>
    </w:rPr>
  </w:style>
  <w:style w:type="paragraph" w:customStyle="1" w:styleId="49">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0">
    <w:name w:val="Char Char4"/>
    <w:basedOn w:val="25"/>
    <w:qFormat/>
    <w:uiPriority w:val="0"/>
    <w:rPr>
      <w:rFonts w:ascii="宋体" w:hAnsi="宋体" w:eastAsia="宋体"/>
      <w:kern w:val="2"/>
      <w:sz w:val="24"/>
      <w:szCs w:val="24"/>
      <w:lang w:val="en-US" w:eastAsia="zh-CN" w:bidi="ar-SA"/>
    </w:rPr>
  </w:style>
  <w:style w:type="character" w:customStyle="1" w:styleId="51">
    <w:name w:val="普通文字 Char"/>
    <w:basedOn w:val="25"/>
    <w:qFormat/>
    <w:uiPriority w:val="0"/>
    <w:rPr>
      <w:rFonts w:ascii="宋体" w:hAnsi="Courier New" w:eastAsia="宋体"/>
      <w:kern w:val="2"/>
      <w:sz w:val="21"/>
      <w:szCs w:val="21"/>
      <w:lang w:val="en-US" w:eastAsia="zh-CN" w:bidi="ar-SA"/>
    </w:rPr>
  </w:style>
  <w:style w:type="paragraph" w:customStyle="1" w:styleId="52">
    <w:name w:val="纯文本1"/>
    <w:basedOn w:val="1"/>
    <w:qFormat/>
    <w:uiPriority w:val="0"/>
    <w:pPr>
      <w:adjustRightInd w:val="0"/>
    </w:pPr>
    <w:rPr>
      <w:rFonts w:hint="eastAsia" w:ascii="宋体"/>
      <w:kern w:val="0"/>
      <w:szCs w:val="20"/>
    </w:rPr>
  </w:style>
  <w:style w:type="paragraph" w:customStyle="1" w:styleId="53">
    <w:name w:val="样式1"/>
    <w:basedOn w:val="1"/>
    <w:qFormat/>
    <w:uiPriority w:val="0"/>
    <w:rPr>
      <w:szCs w:val="20"/>
    </w:rPr>
  </w:style>
  <w:style w:type="character" w:customStyle="1" w:styleId="54">
    <w:name w:val="Char Char2"/>
    <w:basedOn w:val="25"/>
    <w:qFormat/>
    <w:uiPriority w:val="0"/>
    <w:rPr>
      <w:rFonts w:ascii="宋体" w:hAnsi="Courier New" w:eastAsia="宋体" w:cs="宋体"/>
      <w:kern w:val="2"/>
      <w:sz w:val="21"/>
      <w:szCs w:val="21"/>
      <w:lang w:val="en-US" w:eastAsia="zh-CN" w:bidi="ar-SA"/>
    </w:rPr>
  </w:style>
  <w:style w:type="character" w:customStyle="1" w:styleId="55">
    <w:name w:val="普通文字 Char1"/>
    <w:basedOn w:val="25"/>
    <w:qFormat/>
    <w:uiPriority w:val="0"/>
    <w:rPr>
      <w:rFonts w:ascii="宋体" w:hAnsi="Courier New" w:eastAsia="宋体"/>
      <w:kern w:val="2"/>
      <w:sz w:val="21"/>
      <w:szCs w:val="21"/>
      <w:lang w:val="en-US" w:eastAsia="zh-CN" w:bidi="ar-SA"/>
    </w:rPr>
  </w:style>
  <w:style w:type="character" w:customStyle="1" w:styleId="56">
    <w:name w:val="普通文字 Char2"/>
    <w:basedOn w:val="25"/>
    <w:qFormat/>
    <w:uiPriority w:val="0"/>
    <w:rPr>
      <w:rFonts w:ascii="宋体" w:hAnsi="Courier New" w:eastAsia="宋体"/>
      <w:kern w:val="2"/>
      <w:sz w:val="21"/>
      <w:szCs w:val="21"/>
      <w:lang w:val="en-US" w:eastAsia="zh-CN" w:bidi="ar-SA"/>
    </w:rPr>
  </w:style>
  <w:style w:type="paragraph" w:customStyle="1" w:styleId="57">
    <w:name w:val="纯文本11"/>
    <w:basedOn w:val="1"/>
    <w:qFormat/>
    <w:uiPriority w:val="0"/>
    <w:pPr>
      <w:adjustRightInd w:val="0"/>
      <w:jc w:val="left"/>
      <w:textAlignment w:val="baseline"/>
    </w:pPr>
    <w:rPr>
      <w:rFonts w:ascii="宋体"/>
      <w:kern w:val="0"/>
      <w:sz w:val="24"/>
      <w:szCs w:val="20"/>
    </w:rPr>
  </w:style>
  <w:style w:type="character" w:customStyle="1" w:styleId="58">
    <w:name w:val="标题 6 Char"/>
    <w:basedOn w:val="25"/>
    <w:link w:val="5"/>
    <w:qFormat/>
    <w:uiPriority w:val="0"/>
    <w:rPr>
      <w:rFonts w:ascii="Cambria" w:hAnsi="Cambria" w:eastAsia="宋体" w:cs="Times New Roman"/>
      <w:b/>
      <w:bCs/>
      <w:kern w:val="2"/>
      <w:sz w:val="24"/>
      <w:szCs w:val="24"/>
    </w:rPr>
  </w:style>
  <w:style w:type="character" w:customStyle="1" w:styleId="59">
    <w:name w:val="blue14_16b1"/>
    <w:basedOn w:val="25"/>
    <w:qFormat/>
    <w:uiPriority w:val="0"/>
    <w:rPr>
      <w:b/>
      <w:bCs/>
      <w:color w:val="4361A1"/>
      <w:sz w:val="21"/>
      <w:szCs w:val="21"/>
      <w:u w:val="none"/>
    </w:rPr>
  </w:style>
  <w:style w:type="paragraph" w:customStyle="1" w:styleId="60">
    <w:name w:val="列出段落1"/>
    <w:basedOn w:val="1"/>
    <w:qFormat/>
    <w:uiPriority w:val="34"/>
    <w:pPr>
      <w:ind w:firstLine="420" w:firstLineChars="200"/>
    </w:pPr>
  </w:style>
  <w:style w:type="character" w:customStyle="1" w:styleId="61">
    <w:name w:val="HTML 预设格式 Char"/>
    <w:basedOn w:val="25"/>
    <w:link w:val="22"/>
    <w:qFormat/>
    <w:uiPriority w:val="99"/>
    <w:rPr>
      <w:rFonts w:ascii="宋体" w:hAnsi="宋体" w:cs="宋体"/>
      <w:sz w:val="24"/>
      <w:szCs w:val="24"/>
    </w:rPr>
  </w:style>
  <w:style w:type="character" w:customStyle="1" w:styleId="62">
    <w:name w:val="页脚 Char"/>
    <w:basedOn w:val="25"/>
    <w:link w:val="17"/>
    <w:qFormat/>
    <w:uiPriority w:val="99"/>
    <w:rPr>
      <w:rFonts w:ascii="宋体" w:hAnsi="宋体"/>
      <w:b/>
      <w:bCs/>
      <w:kern w:val="2"/>
      <w:sz w:val="18"/>
      <w:szCs w:val="18"/>
    </w:rPr>
  </w:style>
  <w:style w:type="paragraph" w:customStyle="1" w:styleId="63">
    <w:name w:val="列出段落2"/>
    <w:basedOn w:val="1"/>
    <w:unhideWhenUsed/>
    <w:qFormat/>
    <w:uiPriority w:val="99"/>
    <w:pPr>
      <w:ind w:firstLine="420" w:firstLineChars="200"/>
    </w:pPr>
  </w:style>
  <w:style w:type="paragraph" w:customStyle="1" w:styleId="64">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65">
    <w:name w:val="fontstrikethrough"/>
    <w:basedOn w:val="25"/>
    <w:qFormat/>
    <w:uiPriority w:val="0"/>
    <w:rPr>
      <w:strike/>
    </w:rPr>
  </w:style>
  <w:style w:type="character" w:customStyle="1" w:styleId="66">
    <w:name w:val="fontborder"/>
    <w:basedOn w:val="25"/>
    <w:qFormat/>
    <w:uiPriority w:val="0"/>
    <w:rPr>
      <w:bdr w:val="single" w:color="000000" w:sz="6" w:space="0"/>
    </w:rPr>
  </w:style>
  <w:style w:type="paragraph" w:styleId="67">
    <w:name w:val="List Paragraph"/>
    <w:basedOn w:val="1"/>
    <w:unhideWhenUsed/>
    <w:qFormat/>
    <w:uiPriority w:val="99"/>
    <w:pPr>
      <w:ind w:firstLine="420" w:firstLineChars="200"/>
    </w:pPr>
  </w:style>
  <w:style w:type="character" w:customStyle="1" w:styleId="68">
    <w:name w:val="标题 7 Char"/>
    <w:basedOn w:val="25"/>
    <w:link w:val="6"/>
    <w:qFormat/>
    <w:uiPriority w:val="0"/>
    <w:rPr>
      <w:b/>
      <w:bCs/>
      <w:kern w:val="2"/>
      <w:sz w:val="24"/>
      <w:szCs w:val="24"/>
    </w:rPr>
  </w:style>
  <w:style w:type="character" w:customStyle="1" w:styleId="69">
    <w:name w:val="批注文字 Char"/>
    <w:basedOn w:val="25"/>
    <w:link w:val="8"/>
    <w:semiHidden/>
    <w:qFormat/>
    <w:uiPriority w:val="0"/>
    <w:rPr>
      <w:kern w:val="2"/>
      <w:sz w:val="21"/>
      <w:szCs w:val="24"/>
    </w:rPr>
  </w:style>
  <w:style w:type="character" w:customStyle="1" w:styleId="70">
    <w:name w:val="页眉 Char"/>
    <w:basedOn w:val="25"/>
    <w:link w:val="18"/>
    <w:qFormat/>
    <w:uiPriority w:val="99"/>
    <w:rPr>
      <w:kern w:val="2"/>
      <w:sz w:val="18"/>
      <w:szCs w:val="18"/>
    </w:rPr>
  </w:style>
  <w:style w:type="paragraph" w:customStyle="1" w:styleId="71">
    <w:name w:val="修订3"/>
    <w:hidden/>
    <w:semiHidden/>
    <w:qFormat/>
    <w:uiPriority w:val="99"/>
    <w:rPr>
      <w:rFonts w:ascii="Times New Roman" w:hAnsi="Times New Roman" w:eastAsia="宋体" w:cs="Times New Roman"/>
      <w:kern w:val="2"/>
      <w:sz w:val="21"/>
      <w:szCs w:val="24"/>
      <w:lang w:val="en-US" w:eastAsia="zh-CN" w:bidi="ar-SA"/>
    </w:rPr>
  </w:style>
  <w:style w:type="character" w:customStyle="1" w:styleId="72">
    <w:name w:val="明显参考1"/>
    <w:basedOn w:val="25"/>
    <w:qFormat/>
    <w:uiPriority w:val="32"/>
    <w:rPr>
      <w:b/>
      <w:bCs/>
      <w:smallCaps/>
      <w:color w:val="C0504D" w:themeColor="accent2"/>
      <w:spacing w:val="5"/>
      <w:u w:val="single"/>
      <w14:textFill>
        <w14:solidFill>
          <w14:schemeClr w14:val="accent2"/>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4.jpeg"/><Relationship Id="rId33" Type="http://schemas.openxmlformats.org/officeDocument/2006/relationships/image" Target="media/image13.jpeg"/><Relationship Id="rId32" Type="http://schemas.openxmlformats.org/officeDocument/2006/relationships/image" Target="media/image12.jpeg"/><Relationship Id="rId31" Type="http://schemas.openxmlformats.org/officeDocument/2006/relationships/image" Target="media/image11.jpeg"/><Relationship Id="rId30" Type="http://schemas.openxmlformats.org/officeDocument/2006/relationships/image" Target="media/image10.jpeg"/><Relationship Id="rId3" Type="http://schemas.openxmlformats.org/officeDocument/2006/relationships/header" Target="header1.xml"/><Relationship Id="rId29" Type="http://schemas.openxmlformats.org/officeDocument/2006/relationships/image" Target="media/image9.jpeg"/><Relationship Id="rId28" Type="http://schemas.openxmlformats.org/officeDocument/2006/relationships/image" Target="media/image8.jpeg"/><Relationship Id="rId27" Type="http://schemas.openxmlformats.org/officeDocument/2006/relationships/image" Target="media/image7.jpeg"/><Relationship Id="rId26" Type="http://schemas.openxmlformats.org/officeDocument/2006/relationships/image" Target="media/image6.jpeg"/><Relationship Id="rId25" Type="http://schemas.openxmlformats.org/officeDocument/2006/relationships/image" Target="media/image5.jpeg"/><Relationship Id="rId24" Type="http://schemas.openxmlformats.org/officeDocument/2006/relationships/image" Target="media/image4.jpeg"/><Relationship Id="rId23" Type="http://schemas.openxmlformats.org/officeDocument/2006/relationships/image" Target="media/image3.jpeg"/><Relationship Id="rId22" Type="http://schemas.openxmlformats.org/officeDocument/2006/relationships/image" Target="media/image2.wmf"/><Relationship Id="rId21" Type="http://schemas.openxmlformats.org/officeDocument/2006/relationships/oleObject" Target="embeddings/oleObject1.bin"/><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4037;&#20316;\&#20844;&#21496;&#19987;&#19994;&#26631;&#20934;\&#35780;&#20272;&#25253;&#21578;&#21450;&#35828;&#26126;&#26684;&#24335;2010\&#25253;&#21578;&#26694;&#26550;\&#38750;&#22269;&#36164;&#25253;&#21578;&#26694;&#26550;-201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9E4107-E6AC-4DCC-BF64-43C04E7F7A89}">
  <ds:schemaRefs/>
</ds:datastoreItem>
</file>

<file path=docProps/app.xml><?xml version="1.0" encoding="utf-8"?>
<Properties xmlns="http://schemas.openxmlformats.org/officeDocument/2006/extended-properties" xmlns:vt="http://schemas.openxmlformats.org/officeDocument/2006/docPropsVTypes">
  <Template>非国资报告框架-2010</Template>
  <Company>ZHCPA</Company>
  <Pages>20</Pages>
  <Words>1451</Words>
  <Characters>8275</Characters>
  <Lines>68</Lines>
  <Paragraphs>19</Paragraphs>
  <TotalTime>45</TotalTime>
  <ScaleCrop>false</ScaleCrop>
  <LinksUpToDate>false</LinksUpToDate>
  <CharactersWithSpaces>9707</CharactersWithSpaces>
  <Application>WPS Office_11.1.0.7932_F1E327BC-269C-435d-A152-05C5408002CA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2018-08-01T01:24:00Z</dcterms:created>
  <dc:creator>lli</dc:creator>
  <cp:lastModifiedBy>大斌Wallace</cp:lastModifiedBy>
  <cp:lastPrinted>2018-11-13T06:14:38Z</cp:lastPrinted>
  <dcterms:modified xsi:type="dcterms:W3CDTF">2018-11-13T06:17:15Z</dcterms:modified>
  <dc:title>按&lt;资产评估报告准则&gt;要求编制的报告框架(试行4)</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2052-11.1.0.7932</vt:lpwstr>
  </property>
</Properties>
</file>