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r>
        <w:rPr>
          <w:rFonts w:hint="eastAsia" w:eastAsiaTheme="minorEastAsia"/>
          <w:lang w:eastAsia="zh-CN"/>
        </w:rPr>
        <w:drawing>
          <wp:inline distT="0" distB="0" distL="114300" distR="114300">
            <wp:extent cx="5267960" cy="7248525"/>
            <wp:effectExtent l="0" t="0" r="8890" b="9525"/>
            <wp:docPr id="1" name="图片 1" descr="250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50_1(0)"/>
                    <pic:cNvPicPr>
                      <a:picLocks noChangeAspect="1"/>
                    </pic:cNvPicPr>
                  </pic:nvPicPr>
                  <pic:blipFill>
                    <a:blip r:embed="rId8"/>
                    <a:stretch>
                      <a:fillRect/>
                    </a:stretch>
                  </pic:blipFill>
                  <pic:spPr>
                    <a:xfrm>
                      <a:off x="0" y="0"/>
                      <a:ext cx="5267960" cy="7248525"/>
                    </a:xfrm>
                    <a:prstGeom prst="rect">
                      <a:avLst/>
                    </a:prstGeom>
                  </pic:spPr>
                </pic:pic>
              </a:graphicData>
            </a:graphic>
          </wp:inline>
        </w:drawing>
      </w:r>
      <w:r>
        <w:rPr>
          <w:rFonts w:hint="eastAsia" w:eastAsiaTheme="minorEastAsia"/>
          <w:lang w:eastAsia="zh-CN"/>
        </w:rPr>
        <w:drawing>
          <wp:inline distT="0" distB="0" distL="114300" distR="114300">
            <wp:extent cx="5268595" cy="3732530"/>
            <wp:effectExtent l="0" t="0" r="8255" b="1270"/>
            <wp:docPr id="2" name="图片 2" descr="25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50_1"/>
                    <pic:cNvPicPr>
                      <a:picLocks noChangeAspect="1"/>
                    </pic:cNvPicPr>
                  </pic:nvPicPr>
                  <pic:blipFill>
                    <a:blip r:embed="rId9"/>
                    <a:stretch>
                      <a:fillRect/>
                    </a:stretch>
                  </pic:blipFill>
                  <pic:spPr>
                    <a:xfrm>
                      <a:off x="0" y="0"/>
                      <a:ext cx="5268595" cy="3732530"/>
                    </a:xfrm>
                    <a:prstGeom prst="rect">
                      <a:avLst/>
                    </a:prstGeom>
                  </pic:spPr>
                </pic:pic>
              </a:graphicData>
            </a:graphic>
          </wp:inline>
        </w:drawing>
      </w:r>
    </w:p>
    <w:p>
      <w:pPr>
        <w:spacing w:line="360" w:lineRule="auto"/>
        <w:jc w:val="center"/>
        <w:rPr>
          <w:rFonts w:ascii="微软雅黑" w:hAnsi="微软雅黑" w:eastAsia="微软雅黑" w:cs="仿宋_GB2312"/>
          <w:b/>
          <w:bCs/>
          <w:snapToGrid w:val="0"/>
          <w:kern w:val="0"/>
          <w:sz w:val="32"/>
          <w:szCs w:val="32"/>
        </w:rPr>
      </w:pPr>
      <w:r>
        <w:rPr>
          <w:rFonts w:hint="eastAsia" w:ascii="微软雅黑" w:hAnsi="微软雅黑" w:eastAsia="微软雅黑" w:cs="仿宋_GB2312"/>
          <w:b/>
          <w:bCs/>
          <w:snapToGrid w:val="0"/>
          <w:kern w:val="0"/>
          <w:sz w:val="32"/>
          <w:szCs w:val="32"/>
        </w:rPr>
        <w:t>致估价委托人函</w:t>
      </w:r>
    </w:p>
    <w:p>
      <w:pPr>
        <w:spacing w:line="288" w:lineRule="auto"/>
        <w:jc w:val="center"/>
        <w:rPr>
          <w:rFonts w:ascii="仿宋_GB2312" w:hAnsi="仿宋" w:eastAsia="仿宋_GB2312" w:cs="仿宋_GB2312"/>
          <w:b/>
          <w:bCs/>
          <w:snapToGrid w:val="0"/>
          <w:kern w:val="0"/>
          <w:sz w:val="24"/>
          <w:szCs w:val="24"/>
        </w:rPr>
      </w:pPr>
    </w:p>
    <w:p>
      <w:pPr>
        <w:adjustRightInd w:val="0"/>
        <w:snapToGrid w:val="0"/>
        <w:spacing w:line="360" w:lineRule="auto"/>
        <w:ind w:firstLine="905" w:firstLineChars="377"/>
        <w:jc w:val="left"/>
        <w:rPr>
          <w:rFonts w:ascii="微软雅黑" w:hAnsi="微软雅黑" w:eastAsia="微软雅黑" w:cs="仿宋_GB2312"/>
          <w:b/>
          <w:sz w:val="24"/>
          <w:szCs w:val="24"/>
        </w:rPr>
      </w:pPr>
      <w:r>
        <w:rPr>
          <w:rFonts w:hint="eastAsia" w:ascii="微软雅黑" w:hAnsi="微软雅黑" w:eastAsia="微软雅黑" w:cs="仿宋_GB2312"/>
          <w:b/>
          <w:sz w:val="24"/>
          <w:szCs w:val="24"/>
        </w:rPr>
        <w:t>杭州市西湖区人民法院：</w:t>
      </w:r>
    </w:p>
    <w:p>
      <w:pPr>
        <w:pStyle w:val="8"/>
        <w:adjustRightInd w:val="0"/>
        <w:snapToGrid w:val="0"/>
        <w:spacing w:line="288" w:lineRule="auto"/>
        <w:ind w:left="851" w:firstLine="0" w:firstLineChars="0"/>
        <w:rPr>
          <w:rFonts w:ascii="微软雅黑" w:hAnsi="微软雅黑" w:eastAsia="微软雅黑" w:cs="仿宋_GB2312"/>
        </w:rPr>
      </w:pPr>
      <w:r>
        <w:rPr>
          <w:rFonts w:hint="eastAsia" w:ascii="微软雅黑" w:hAnsi="微软雅黑" w:eastAsia="微软雅黑" w:cs="仿宋_GB2312"/>
        </w:rPr>
        <w:t>承蒙委托，我公司对位于杭州市余杭区仁和镇仁和金鼎公寓3幢2单元1702室住宅房地产市场价值进行了评估。估价对象如下：</w:t>
      </w:r>
    </w:p>
    <w:p>
      <w:pPr>
        <w:pStyle w:val="9"/>
        <w:numPr>
          <w:ilvl w:val="0"/>
          <w:numId w:val="1"/>
        </w:numPr>
        <w:adjustRightInd w:val="0"/>
        <w:snapToGrid w:val="0"/>
        <w:spacing w:before="240" w:beforeLines="100" w:after="120" w:afterLines="50"/>
        <w:ind w:left="567" w:hanging="413" w:firstLineChars="0"/>
        <w:jc w:val="left"/>
        <w:rPr>
          <w:rFonts w:ascii="微软雅黑" w:hAnsi="微软雅黑" w:eastAsia="微软雅黑" w:cs="仿宋_GB2312"/>
          <w:b/>
          <w:sz w:val="24"/>
        </w:rPr>
      </w:pPr>
      <w:r>
        <w:rPr>
          <w:rFonts w:hint="eastAsia" w:ascii="微软雅黑" w:hAnsi="微软雅黑" w:eastAsia="微软雅黑" w:cs="仿宋_GB2312"/>
          <w:b/>
          <w:sz w:val="24"/>
        </w:rPr>
        <w:t>估价对象状况</w:t>
      </w:r>
    </w:p>
    <w:tbl>
      <w:tblPr>
        <w:tblStyle w:val="6"/>
        <w:tblW w:w="8369" w:type="dxa"/>
        <w:jc w:val="right"/>
        <w:tblInd w:w="0" w:type="dxa"/>
        <w:tblLayout w:type="fixed"/>
        <w:tblCellMar>
          <w:top w:w="0" w:type="dxa"/>
          <w:left w:w="108" w:type="dxa"/>
          <w:bottom w:w="0" w:type="dxa"/>
          <w:right w:w="108" w:type="dxa"/>
        </w:tblCellMar>
      </w:tblPr>
      <w:tblGrid>
        <w:gridCol w:w="1855"/>
        <w:gridCol w:w="1984"/>
        <w:gridCol w:w="2127"/>
        <w:gridCol w:w="2403"/>
      </w:tblGrid>
      <w:tr>
        <w:tblPrEx>
          <w:tblLayout w:type="fixed"/>
          <w:tblCellMar>
            <w:top w:w="0" w:type="dxa"/>
            <w:left w:w="108" w:type="dxa"/>
            <w:bottom w:w="0" w:type="dxa"/>
            <w:right w:w="108" w:type="dxa"/>
          </w:tblCellMar>
        </w:tblPrEx>
        <w:trPr>
          <w:trHeight w:val="397" w:hRule="atLeast"/>
          <w:jc w:val="right"/>
        </w:trPr>
        <w:tc>
          <w:tcPr>
            <w:tcW w:w="1855" w:type="dxa"/>
            <w:tcBorders>
              <w:top w:val="single" w:color="auto" w:sz="12" w:space="0"/>
              <w:left w:val="single" w:color="auto" w:sz="12" w:space="0"/>
              <w:bottom w:val="dotted" w:color="auto" w:sz="4" w:space="0"/>
              <w:right w:val="dotted" w:color="auto" w:sz="4" w:space="0"/>
            </w:tcBorders>
            <w:shd w:val="clear" w:color="auto" w:fill="auto"/>
            <w:vAlign w:val="center"/>
          </w:tcPr>
          <w:p>
            <w:pPr>
              <w:widowControl/>
              <w:ind w:left="586" w:hanging="586" w:hangingChars="293"/>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权利人</w:t>
            </w:r>
          </w:p>
        </w:tc>
        <w:tc>
          <w:tcPr>
            <w:tcW w:w="6514" w:type="dxa"/>
            <w:gridSpan w:val="3"/>
            <w:tcBorders>
              <w:top w:val="single" w:color="auto" w:sz="12" w:space="0"/>
              <w:left w:val="nil"/>
              <w:bottom w:val="dotted" w:color="auto" w:sz="4" w:space="0"/>
              <w:right w:val="single" w:color="auto" w:sz="12"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董遐、黄跃速</w:t>
            </w:r>
          </w:p>
        </w:tc>
      </w:tr>
      <w:tr>
        <w:tblPrEx>
          <w:tblLayout w:type="fixed"/>
          <w:tblCellMar>
            <w:top w:w="0" w:type="dxa"/>
            <w:left w:w="108" w:type="dxa"/>
            <w:bottom w:w="0" w:type="dxa"/>
            <w:right w:w="108" w:type="dxa"/>
          </w:tblCellMar>
        </w:tblPrEx>
        <w:trPr>
          <w:trHeight w:val="397" w:hRule="atLeast"/>
          <w:jc w:val="right"/>
        </w:trPr>
        <w:tc>
          <w:tcPr>
            <w:tcW w:w="1855" w:type="dxa"/>
            <w:tcBorders>
              <w:top w:val="nil"/>
              <w:left w:val="single" w:color="auto" w:sz="12" w:space="0"/>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权证号（证明号）</w:t>
            </w:r>
          </w:p>
        </w:tc>
        <w:tc>
          <w:tcPr>
            <w:tcW w:w="6514" w:type="dxa"/>
            <w:gridSpan w:val="3"/>
            <w:tcBorders>
              <w:top w:val="dotted" w:color="auto" w:sz="4" w:space="0"/>
              <w:left w:val="nil"/>
              <w:bottom w:val="dotted" w:color="auto" w:sz="4" w:space="0"/>
              <w:right w:val="single" w:color="auto" w:sz="12"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余房权证仁移字第11023891号、余房权证仁移字第11132074号</w:t>
            </w:r>
          </w:p>
        </w:tc>
      </w:tr>
      <w:tr>
        <w:tblPrEx>
          <w:tblLayout w:type="fixed"/>
          <w:tblCellMar>
            <w:top w:w="0" w:type="dxa"/>
            <w:left w:w="108" w:type="dxa"/>
            <w:bottom w:w="0" w:type="dxa"/>
            <w:right w:w="108" w:type="dxa"/>
          </w:tblCellMar>
        </w:tblPrEx>
        <w:trPr>
          <w:trHeight w:val="397" w:hRule="atLeast"/>
          <w:jc w:val="right"/>
        </w:trPr>
        <w:tc>
          <w:tcPr>
            <w:tcW w:w="1855" w:type="dxa"/>
            <w:tcBorders>
              <w:top w:val="nil"/>
              <w:left w:val="single" w:color="auto" w:sz="12" w:space="0"/>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不动产坐落</w:t>
            </w:r>
          </w:p>
        </w:tc>
        <w:tc>
          <w:tcPr>
            <w:tcW w:w="6514" w:type="dxa"/>
            <w:gridSpan w:val="3"/>
            <w:tcBorders>
              <w:top w:val="dotted" w:color="auto" w:sz="4" w:space="0"/>
              <w:left w:val="nil"/>
              <w:bottom w:val="dotted" w:color="auto" w:sz="4" w:space="0"/>
              <w:right w:val="single" w:color="auto" w:sz="12"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杭州市余杭区仁和镇仁和金鼎公寓3幢2单元1702室</w:t>
            </w:r>
          </w:p>
        </w:tc>
      </w:tr>
      <w:tr>
        <w:tblPrEx>
          <w:tblLayout w:type="fixed"/>
          <w:tblCellMar>
            <w:top w:w="0" w:type="dxa"/>
            <w:left w:w="108" w:type="dxa"/>
            <w:bottom w:w="0" w:type="dxa"/>
            <w:right w:w="108" w:type="dxa"/>
          </w:tblCellMar>
        </w:tblPrEx>
        <w:trPr>
          <w:trHeight w:val="397" w:hRule="atLeast"/>
          <w:jc w:val="right"/>
        </w:trPr>
        <w:tc>
          <w:tcPr>
            <w:tcW w:w="1855" w:type="dxa"/>
            <w:tcBorders>
              <w:top w:val="nil"/>
              <w:left w:val="single" w:color="auto" w:sz="12" w:space="0"/>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建筑面积（</w:t>
            </w:r>
            <w:r>
              <w:rPr>
                <w:rFonts w:hint="eastAsia" w:ascii="微软雅黑" w:hAnsi="宋体" w:cs="宋体"/>
                <w:color w:val="000000"/>
                <w:kern w:val="0"/>
                <w:sz w:val="20"/>
                <w:szCs w:val="20"/>
              </w:rPr>
              <w:t>㎡</w:t>
            </w:r>
            <w:r>
              <w:rPr>
                <w:rFonts w:hint="eastAsia" w:ascii="微软雅黑" w:hAnsi="微软雅黑" w:eastAsia="微软雅黑" w:cs="仿宋_GB2312"/>
                <w:color w:val="000000"/>
                <w:kern w:val="0"/>
                <w:sz w:val="20"/>
                <w:szCs w:val="20"/>
              </w:rPr>
              <w:t>）</w:t>
            </w:r>
          </w:p>
        </w:tc>
        <w:tc>
          <w:tcPr>
            <w:tcW w:w="1984" w:type="dxa"/>
            <w:tcBorders>
              <w:top w:val="nil"/>
              <w:left w:val="nil"/>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294.11</w:t>
            </w:r>
          </w:p>
        </w:tc>
        <w:tc>
          <w:tcPr>
            <w:tcW w:w="2127" w:type="dxa"/>
            <w:tcBorders>
              <w:top w:val="nil"/>
              <w:left w:val="nil"/>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土地使用权面积（</w:t>
            </w:r>
            <w:r>
              <w:rPr>
                <w:rFonts w:hint="eastAsia" w:ascii="宋体" w:hAnsi="宋体" w:cs="宋体"/>
                <w:color w:val="000000"/>
                <w:kern w:val="0"/>
                <w:sz w:val="20"/>
                <w:szCs w:val="20"/>
              </w:rPr>
              <w:t>㎡</w:t>
            </w:r>
            <w:r>
              <w:rPr>
                <w:rFonts w:hint="eastAsia" w:ascii="微软雅黑" w:hAnsi="微软雅黑" w:eastAsia="微软雅黑" w:cs="微软雅黑"/>
                <w:color w:val="000000"/>
                <w:kern w:val="0"/>
                <w:sz w:val="20"/>
                <w:szCs w:val="20"/>
              </w:rPr>
              <w:t>）</w:t>
            </w:r>
          </w:p>
        </w:tc>
        <w:tc>
          <w:tcPr>
            <w:tcW w:w="2403" w:type="dxa"/>
            <w:tcBorders>
              <w:top w:val="nil"/>
              <w:left w:val="nil"/>
              <w:bottom w:val="dotted" w:color="auto" w:sz="4" w:space="0"/>
              <w:right w:val="single" w:color="auto" w:sz="12"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37.6</w:t>
            </w:r>
          </w:p>
        </w:tc>
      </w:tr>
      <w:tr>
        <w:tblPrEx>
          <w:tblLayout w:type="fixed"/>
          <w:tblCellMar>
            <w:top w:w="0" w:type="dxa"/>
            <w:left w:w="108" w:type="dxa"/>
            <w:bottom w:w="0" w:type="dxa"/>
            <w:right w:w="108" w:type="dxa"/>
          </w:tblCellMar>
        </w:tblPrEx>
        <w:trPr>
          <w:trHeight w:val="397" w:hRule="atLeast"/>
          <w:jc w:val="right"/>
        </w:trPr>
        <w:tc>
          <w:tcPr>
            <w:tcW w:w="1855" w:type="dxa"/>
            <w:tcBorders>
              <w:top w:val="nil"/>
              <w:left w:val="single" w:color="auto" w:sz="12" w:space="0"/>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总层数</w:t>
            </w:r>
          </w:p>
        </w:tc>
        <w:tc>
          <w:tcPr>
            <w:tcW w:w="1984" w:type="dxa"/>
            <w:tcBorders>
              <w:top w:val="nil"/>
              <w:left w:val="nil"/>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18F</w:t>
            </w:r>
          </w:p>
        </w:tc>
        <w:tc>
          <w:tcPr>
            <w:tcW w:w="2127" w:type="dxa"/>
            <w:tcBorders>
              <w:top w:val="nil"/>
              <w:left w:val="nil"/>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所在层数</w:t>
            </w:r>
          </w:p>
        </w:tc>
        <w:tc>
          <w:tcPr>
            <w:tcW w:w="2403" w:type="dxa"/>
            <w:tcBorders>
              <w:top w:val="nil"/>
              <w:left w:val="nil"/>
              <w:bottom w:val="dotted" w:color="auto" w:sz="4" w:space="0"/>
              <w:right w:val="single" w:color="auto" w:sz="12"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17-18F</w:t>
            </w:r>
          </w:p>
        </w:tc>
      </w:tr>
      <w:tr>
        <w:tblPrEx>
          <w:tblLayout w:type="fixed"/>
          <w:tblCellMar>
            <w:top w:w="0" w:type="dxa"/>
            <w:left w:w="108" w:type="dxa"/>
            <w:bottom w:w="0" w:type="dxa"/>
            <w:right w:w="108" w:type="dxa"/>
          </w:tblCellMar>
        </w:tblPrEx>
        <w:trPr>
          <w:trHeight w:val="397" w:hRule="atLeast"/>
          <w:jc w:val="right"/>
        </w:trPr>
        <w:tc>
          <w:tcPr>
            <w:tcW w:w="1855" w:type="dxa"/>
            <w:tcBorders>
              <w:top w:val="nil"/>
              <w:left w:val="single" w:color="auto" w:sz="12" w:space="0"/>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建成年份</w:t>
            </w:r>
          </w:p>
        </w:tc>
        <w:tc>
          <w:tcPr>
            <w:tcW w:w="1984" w:type="dxa"/>
            <w:tcBorders>
              <w:top w:val="nil"/>
              <w:left w:val="nil"/>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2009年</w:t>
            </w:r>
          </w:p>
        </w:tc>
        <w:tc>
          <w:tcPr>
            <w:tcW w:w="2127" w:type="dxa"/>
            <w:tcBorders>
              <w:top w:val="nil"/>
              <w:left w:val="nil"/>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共有情况</w:t>
            </w:r>
          </w:p>
        </w:tc>
        <w:tc>
          <w:tcPr>
            <w:tcW w:w="2403" w:type="dxa"/>
            <w:tcBorders>
              <w:top w:val="nil"/>
              <w:left w:val="nil"/>
              <w:bottom w:val="dotted" w:color="auto" w:sz="4" w:space="0"/>
              <w:right w:val="single" w:color="auto" w:sz="12"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w:t>
            </w:r>
          </w:p>
        </w:tc>
      </w:tr>
      <w:tr>
        <w:tblPrEx>
          <w:tblLayout w:type="fixed"/>
          <w:tblCellMar>
            <w:top w:w="0" w:type="dxa"/>
            <w:left w:w="108" w:type="dxa"/>
            <w:bottom w:w="0" w:type="dxa"/>
            <w:right w:w="108" w:type="dxa"/>
          </w:tblCellMar>
        </w:tblPrEx>
        <w:trPr>
          <w:trHeight w:val="397" w:hRule="atLeast"/>
          <w:jc w:val="right"/>
        </w:trPr>
        <w:tc>
          <w:tcPr>
            <w:tcW w:w="1855" w:type="dxa"/>
            <w:tcBorders>
              <w:top w:val="nil"/>
              <w:left w:val="single" w:color="auto" w:sz="12" w:space="0"/>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建筑结构</w:t>
            </w:r>
          </w:p>
        </w:tc>
        <w:tc>
          <w:tcPr>
            <w:tcW w:w="1984" w:type="dxa"/>
            <w:tcBorders>
              <w:top w:val="nil"/>
              <w:left w:val="nil"/>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钢筋混凝土</w:t>
            </w:r>
          </w:p>
        </w:tc>
        <w:tc>
          <w:tcPr>
            <w:tcW w:w="2127" w:type="dxa"/>
            <w:tcBorders>
              <w:top w:val="nil"/>
              <w:left w:val="nil"/>
              <w:bottom w:val="dotted" w:color="auto" w:sz="4"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用途</w:t>
            </w:r>
          </w:p>
        </w:tc>
        <w:tc>
          <w:tcPr>
            <w:tcW w:w="2403" w:type="dxa"/>
            <w:tcBorders>
              <w:top w:val="nil"/>
              <w:left w:val="nil"/>
              <w:bottom w:val="dotted" w:color="auto" w:sz="4" w:space="0"/>
              <w:right w:val="single" w:color="auto" w:sz="12"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住宅</w:t>
            </w:r>
          </w:p>
        </w:tc>
      </w:tr>
      <w:tr>
        <w:tblPrEx>
          <w:tblLayout w:type="fixed"/>
          <w:tblCellMar>
            <w:top w:w="0" w:type="dxa"/>
            <w:left w:w="108" w:type="dxa"/>
            <w:bottom w:w="0" w:type="dxa"/>
            <w:right w:w="108" w:type="dxa"/>
          </w:tblCellMar>
        </w:tblPrEx>
        <w:trPr>
          <w:trHeight w:val="397" w:hRule="atLeast"/>
          <w:jc w:val="right"/>
        </w:trPr>
        <w:tc>
          <w:tcPr>
            <w:tcW w:w="1855" w:type="dxa"/>
            <w:tcBorders>
              <w:top w:val="dotted" w:color="auto" w:sz="4" w:space="0"/>
              <w:left w:val="single" w:color="auto" w:sz="12" w:space="0"/>
              <w:bottom w:val="single" w:color="auto" w:sz="12" w:space="0"/>
              <w:right w:val="dotted" w:color="auto" w:sz="4" w:space="0"/>
            </w:tcBorders>
            <w:shd w:val="clear" w:color="auto" w:fill="auto"/>
            <w:vAlign w:val="center"/>
          </w:tcPr>
          <w:p>
            <w:pPr>
              <w:widowControl/>
              <w:jc w:val="center"/>
              <w:rPr>
                <w:rFonts w:ascii="微软雅黑" w:hAnsi="微软雅黑" w:eastAsia="微软雅黑" w:cs="宋体"/>
                <w:kern w:val="0"/>
                <w:sz w:val="20"/>
                <w:szCs w:val="20"/>
              </w:rPr>
            </w:pPr>
            <w:r>
              <w:rPr>
                <w:rFonts w:hint="eastAsia" w:ascii="微软雅黑" w:hAnsi="微软雅黑" w:eastAsia="微软雅黑" w:cs="宋体"/>
                <w:kern w:val="0"/>
                <w:sz w:val="20"/>
                <w:szCs w:val="20"/>
              </w:rPr>
              <w:t>权利性质</w:t>
            </w:r>
          </w:p>
        </w:tc>
        <w:tc>
          <w:tcPr>
            <w:tcW w:w="1984" w:type="dxa"/>
            <w:tcBorders>
              <w:top w:val="dotted" w:color="auto" w:sz="4" w:space="0"/>
              <w:left w:val="nil"/>
              <w:bottom w:val="single" w:color="auto" w:sz="12" w:space="0"/>
              <w:right w:val="dotted" w:color="auto" w:sz="4"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出让/存量房产</w:t>
            </w:r>
          </w:p>
        </w:tc>
        <w:tc>
          <w:tcPr>
            <w:tcW w:w="2127" w:type="dxa"/>
            <w:tcBorders>
              <w:top w:val="dotted" w:color="auto" w:sz="4" w:space="0"/>
              <w:left w:val="nil"/>
              <w:bottom w:val="single" w:color="auto" w:sz="12" w:space="0"/>
              <w:right w:val="dotted" w:color="auto" w:sz="4" w:space="0"/>
            </w:tcBorders>
            <w:shd w:val="clear" w:color="auto" w:fill="auto"/>
            <w:vAlign w:val="center"/>
          </w:tcPr>
          <w:p>
            <w:pPr>
              <w:widowControl/>
              <w:jc w:val="center"/>
              <w:rPr>
                <w:rFonts w:ascii="微软雅黑" w:hAnsi="微软雅黑" w:eastAsia="微软雅黑" w:cs="宋体"/>
                <w:kern w:val="0"/>
                <w:sz w:val="20"/>
                <w:szCs w:val="20"/>
              </w:rPr>
            </w:pPr>
            <w:r>
              <w:rPr>
                <w:rFonts w:hint="eastAsia" w:ascii="微软雅黑" w:hAnsi="微软雅黑" w:eastAsia="微软雅黑" w:cs="宋体"/>
                <w:kern w:val="0"/>
                <w:sz w:val="20"/>
                <w:szCs w:val="20"/>
              </w:rPr>
              <w:t>使用期限</w:t>
            </w:r>
          </w:p>
        </w:tc>
        <w:tc>
          <w:tcPr>
            <w:tcW w:w="2403" w:type="dxa"/>
            <w:tcBorders>
              <w:top w:val="dotted" w:color="auto" w:sz="4" w:space="0"/>
              <w:left w:val="nil"/>
              <w:bottom w:val="single" w:color="auto" w:sz="12" w:space="0"/>
              <w:right w:val="single" w:color="auto" w:sz="12" w:space="0"/>
            </w:tcBorders>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至2077年07月15日</w:t>
            </w:r>
          </w:p>
        </w:tc>
      </w:tr>
    </w:tbl>
    <w:p>
      <w:pPr>
        <w:pStyle w:val="9"/>
        <w:numPr>
          <w:ilvl w:val="0"/>
          <w:numId w:val="1"/>
        </w:numPr>
        <w:adjustRightInd w:val="0"/>
        <w:snapToGrid w:val="0"/>
        <w:spacing w:before="240" w:beforeLines="100" w:after="120" w:afterLines="50"/>
        <w:ind w:left="567" w:hanging="413" w:firstLineChars="0"/>
        <w:jc w:val="left"/>
        <w:rPr>
          <w:rFonts w:ascii="微软雅黑" w:hAnsi="微软雅黑" w:eastAsia="微软雅黑" w:cs="仿宋_GB2312"/>
          <w:b/>
          <w:sz w:val="24"/>
        </w:rPr>
      </w:pPr>
      <w:r>
        <w:rPr>
          <w:rFonts w:hint="eastAsia" w:ascii="微软雅黑" w:hAnsi="微软雅黑" w:eastAsia="微软雅黑" w:cs="仿宋_GB2312"/>
          <w:b/>
          <w:sz w:val="24"/>
        </w:rPr>
        <w:t>估价目的</w:t>
      </w:r>
    </w:p>
    <w:p>
      <w:pPr>
        <w:pStyle w:val="10"/>
        <w:adjustRightInd w:val="0"/>
        <w:snapToGrid w:val="0"/>
        <w:spacing w:line="360" w:lineRule="auto"/>
        <w:ind w:left="840" w:firstLine="0" w:firstLineChars="0"/>
        <w:rPr>
          <w:rFonts w:ascii="微软雅黑" w:hAnsi="微软雅黑" w:eastAsia="微软雅黑" w:cs="仿宋_GB2312"/>
        </w:rPr>
      </w:pPr>
      <w:r>
        <w:rPr>
          <w:rFonts w:hint="eastAsia" w:ascii="微软雅黑" w:hAnsi="微软雅黑" w:eastAsia="微软雅黑" w:cs="仿宋_GB2312"/>
        </w:rPr>
        <w:t>为杭州市西湖区人民法院司法处置提供参考依据而评估房地产价值。</w:t>
      </w:r>
    </w:p>
    <w:p>
      <w:pPr>
        <w:pStyle w:val="9"/>
        <w:numPr>
          <w:ilvl w:val="0"/>
          <w:numId w:val="1"/>
        </w:numPr>
        <w:adjustRightInd w:val="0"/>
        <w:snapToGrid w:val="0"/>
        <w:spacing w:before="240" w:beforeLines="100" w:after="120" w:afterLines="50"/>
        <w:ind w:left="567" w:hanging="413" w:firstLineChars="0"/>
        <w:jc w:val="left"/>
        <w:rPr>
          <w:rFonts w:ascii="微软雅黑" w:hAnsi="微软雅黑" w:eastAsia="微软雅黑" w:cs="仿宋_GB2312"/>
          <w:b/>
          <w:sz w:val="24"/>
        </w:rPr>
      </w:pPr>
      <w:r>
        <w:rPr>
          <w:rFonts w:hint="eastAsia" w:ascii="微软雅黑" w:hAnsi="微软雅黑" w:eastAsia="微软雅黑" w:cs="仿宋_GB2312"/>
          <w:b/>
          <w:sz w:val="24"/>
        </w:rPr>
        <w:t>价值时点</w:t>
      </w:r>
    </w:p>
    <w:p>
      <w:pPr>
        <w:pStyle w:val="8"/>
        <w:adjustRightInd w:val="0"/>
        <w:snapToGrid w:val="0"/>
        <w:spacing w:line="288" w:lineRule="auto"/>
        <w:ind w:left="851" w:firstLine="0" w:firstLineChars="0"/>
        <w:rPr>
          <w:rFonts w:ascii="微软雅黑" w:hAnsi="微软雅黑" w:eastAsia="微软雅黑" w:cs="仿宋_GB2312"/>
        </w:rPr>
      </w:pPr>
      <w:r>
        <w:rPr>
          <w:rFonts w:hint="eastAsia" w:ascii="微软雅黑" w:hAnsi="微软雅黑" w:eastAsia="微软雅黑" w:cs="仿宋_GB2312"/>
        </w:rPr>
        <w:t>2020年8月21日</w:t>
      </w:r>
    </w:p>
    <w:p>
      <w:pPr>
        <w:pStyle w:val="9"/>
        <w:numPr>
          <w:ilvl w:val="0"/>
          <w:numId w:val="1"/>
        </w:numPr>
        <w:adjustRightInd w:val="0"/>
        <w:snapToGrid w:val="0"/>
        <w:spacing w:before="240" w:beforeLines="100" w:after="120" w:afterLines="50"/>
        <w:ind w:left="567" w:hanging="413" w:firstLineChars="0"/>
        <w:jc w:val="left"/>
        <w:rPr>
          <w:rFonts w:ascii="微软雅黑" w:hAnsi="微软雅黑" w:eastAsia="微软雅黑" w:cs="仿宋_GB2312"/>
          <w:b/>
          <w:sz w:val="24"/>
        </w:rPr>
      </w:pPr>
      <w:r>
        <w:rPr>
          <w:rFonts w:hint="eastAsia" w:ascii="微软雅黑" w:hAnsi="微软雅黑" w:eastAsia="微软雅黑" w:cs="仿宋_GB2312"/>
          <w:b/>
          <w:sz w:val="24"/>
        </w:rPr>
        <w:t>价值类型</w:t>
      </w:r>
    </w:p>
    <w:p>
      <w:pPr>
        <w:pStyle w:val="8"/>
        <w:adjustRightInd w:val="0"/>
        <w:snapToGrid w:val="0"/>
        <w:spacing w:line="288" w:lineRule="auto"/>
        <w:ind w:left="851" w:firstLine="0" w:firstLineChars="0"/>
        <w:rPr>
          <w:rFonts w:ascii="微软雅黑" w:hAnsi="微软雅黑" w:eastAsia="微软雅黑" w:cs="仿宋_GB2312"/>
        </w:rPr>
      </w:pPr>
      <w:r>
        <w:rPr>
          <w:rFonts w:hint="eastAsia" w:ascii="微软雅黑" w:hAnsi="微软雅黑" w:eastAsia="微软雅黑" w:cs="仿宋_GB2312"/>
        </w:rPr>
        <w:t>本次评估所确定的价值为估价对象在房地产公开市场条件下形成的市场价值。</w:t>
      </w:r>
    </w:p>
    <w:p>
      <w:pPr>
        <w:pStyle w:val="9"/>
        <w:numPr>
          <w:ilvl w:val="0"/>
          <w:numId w:val="1"/>
        </w:numPr>
        <w:adjustRightInd w:val="0"/>
        <w:snapToGrid w:val="0"/>
        <w:spacing w:before="240" w:beforeLines="100" w:after="120" w:afterLines="50"/>
        <w:ind w:left="567" w:hanging="413" w:firstLineChars="0"/>
        <w:jc w:val="left"/>
        <w:rPr>
          <w:rFonts w:ascii="微软雅黑" w:hAnsi="微软雅黑" w:eastAsia="微软雅黑" w:cs="仿宋_GB2312"/>
          <w:b/>
          <w:sz w:val="24"/>
        </w:rPr>
      </w:pPr>
      <w:r>
        <w:rPr>
          <w:rFonts w:hint="eastAsia" w:ascii="微软雅黑" w:hAnsi="微软雅黑" w:eastAsia="微软雅黑" w:cs="仿宋_GB2312"/>
          <w:b/>
          <w:sz w:val="24"/>
        </w:rPr>
        <w:t>估价方法</w:t>
      </w:r>
    </w:p>
    <w:p>
      <w:pPr>
        <w:pStyle w:val="8"/>
        <w:adjustRightInd w:val="0"/>
        <w:snapToGrid w:val="0"/>
        <w:spacing w:line="288" w:lineRule="auto"/>
        <w:ind w:left="851" w:firstLine="0" w:firstLineChars="0"/>
        <w:rPr>
          <w:rFonts w:ascii="微软雅黑" w:hAnsi="微软雅黑" w:eastAsia="微软雅黑" w:cs="仿宋_GB2312"/>
        </w:rPr>
      </w:pPr>
      <w:r>
        <w:rPr>
          <w:rFonts w:hint="eastAsia" w:ascii="微软雅黑" w:hAnsi="微软雅黑" w:eastAsia="微软雅黑" w:cs="仿宋_GB2312"/>
        </w:rPr>
        <w:t>比较法</w:t>
      </w:r>
    </w:p>
    <w:p>
      <w:pPr>
        <w:pStyle w:val="8"/>
        <w:adjustRightInd w:val="0"/>
        <w:snapToGrid w:val="0"/>
        <w:spacing w:line="288" w:lineRule="auto"/>
        <w:ind w:left="851" w:firstLine="0" w:firstLineChars="0"/>
        <w:rPr>
          <w:rFonts w:ascii="微软雅黑" w:hAnsi="微软雅黑" w:eastAsia="微软雅黑" w:cs="仿宋_GB2312"/>
        </w:rPr>
      </w:pPr>
    </w:p>
    <w:p>
      <w:pPr>
        <w:pStyle w:val="9"/>
        <w:numPr>
          <w:ilvl w:val="0"/>
          <w:numId w:val="1"/>
        </w:numPr>
        <w:adjustRightInd w:val="0"/>
        <w:snapToGrid w:val="0"/>
        <w:spacing w:before="240" w:beforeLines="100" w:after="120" w:afterLines="50"/>
        <w:ind w:left="567" w:hanging="413" w:firstLineChars="0"/>
        <w:jc w:val="left"/>
        <w:rPr>
          <w:rFonts w:ascii="微软雅黑" w:hAnsi="微软雅黑" w:eastAsia="微软雅黑" w:cs="仿宋_GB2312"/>
          <w:b/>
          <w:sz w:val="24"/>
        </w:rPr>
      </w:pPr>
      <w:r>
        <w:rPr>
          <w:rFonts w:hint="eastAsia" w:ascii="微软雅黑" w:hAnsi="微软雅黑" w:eastAsia="微软雅黑" w:cs="仿宋_GB2312"/>
          <w:b/>
          <w:sz w:val="24"/>
        </w:rPr>
        <w:t>估价结果</w:t>
      </w:r>
    </w:p>
    <w:p>
      <w:pPr>
        <w:pStyle w:val="8"/>
        <w:adjustRightInd w:val="0"/>
        <w:snapToGrid w:val="0"/>
        <w:spacing w:line="288" w:lineRule="auto"/>
        <w:ind w:left="851" w:firstLine="0" w:firstLineChars="0"/>
        <w:rPr>
          <w:rFonts w:ascii="微软雅黑" w:hAnsi="微软雅黑" w:eastAsia="微软雅黑" w:cs="仿宋_GB2312"/>
        </w:rPr>
      </w:pPr>
      <w:r>
        <w:rPr>
          <w:rFonts w:hint="eastAsia" w:ascii="微软雅黑" w:hAnsi="微软雅黑" w:eastAsia="微软雅黑" w:cs="仿宋_GB2312"/>
        </w:rPr>
        <w:t>估价人员遵循各项估价原则，根据估价目的和国家有关房地产估价的规范、规定，按照估价程序，经过实地查勘与市场调查，并进行了分析、测算和判断，确定估价对象在满足全部假设和限制条件下于价值时点的估价结果如下：（币种：人民币，其中总价保留到千位，单价保留到个位）</w:t>
      </w:r>
    </w:p>
    <w:p>
      <w:pPr>
        <w:tabs>
          <w:tab w:val="left" w:pos="993"/>
        </w:tabs>
        <w:adjustRightInd w:val="0"/>
        <w:snapToGrid w:val="0"/>
        <w:spacing w:line="360" w:lineRule="auto"/>
        <w:ind w:left="520" w:firstLine="319" w:firstLineChars="152"/>
        <w:jc w:val="left"/>
        <w:rPr>
          <w:rFonts w:ascii="微软雅黑" w:hAnsi="微软雅黑" w:eastAsia="微软雅黑" w:cs="仿宋_GB2312"/>
          <w:b/>
        </w:rPr>
      </w:pPr>
      <w:bookmarkStart w:id="0" w:name="OLE_LINK131"/>
      <w:bookmarkStart w:id="1" w:name="OLE_LINK130"/>
      <w:bookmarkStart w:id="2" w:name="OLE_LINK135"/>
      <w:bookmarkStart w:id="3" w:name="OLE_LINK136"/>
      <w:bookmarkStart w:id="4" w:name="OLE_LINK134"/>
      <w:bookmarkStart w:id="5" w:name="OLE_LINK123"/>
      <w:bookmarkStart w:id="6" w:name="OLE_LINK114"/>
      <w:bookmarkStart w:id="7" w:name="OLE_LINK104"/>
      <w:bookmarkStart w:id="8" w:name="OLE_LINK122"/>
      <w:bookmarkStart w:id="9" w:name="OLE_LINK120"/>
      <w:bookmarkStart w:id="10" w:name="OLE_LINK132"/>
      <w:bookmarkStart w:id="11" w:name="OLE_LINK137"/>
      <w:bookmarkStart w:id="12" w:name="OLE_LINK133"/>
      <w:bookmarkStart w:id="13" w:name="OLE_LINK125"/>
      <w:bookmarkStart w:id="14" w:name="OLE_LINK40"/>
      <w:bookmarkStart w:id="15" w:name="OLE_LINK124"/>
      <w:bookmarkStart w:id="16" w:name="OLE_LINK128"/>
      <w:bookmarkStart w:id="17" w:name="OLE_LINK115"/>
      <w:bookmarkStart w:id="18" w:name="OLE_LINK106"/>
      <w:bookmarkStart w:id="19" w:name="OLE_LINK103"/>
      <w:bookmarkStart w:id="20" w:name="OLE_LINK107"/>
      <w:bookmarkStart w:id="21" w:name="OLE_LINK129"/>
      <w:bookmarkStart w:id="22" w:name="OLE_LINK118"/>
      <w:bookmarkStart w:id="23" w:name="OLE_LINK111"/>
      <w:bookmarkStart w:id="24" w:name="OLE_LINK121"/>
      <w:bookmarkStart w:id="25" w:name="OLE_LINK101"/>
      <w:bookmarkStart w:id="26" w:name="OLE_LINK116"/>
      <w:bookmarkStart w:id="27" w:name="OLE_LINK112"/>
      <w:bookmarkStart w:id="28" w:name="OLE_LINK119"/>
      <w:bookmarkStart w:id="29" w:name="OLE_LINK108"/>
      <w:bookmarkStart w:id="30" w:name="OLE_LINK117"/>
      <w:bookmarkStart w:id="31" w:name="OLE_LINK110"/>
      <w:bookmarkStart w:id="32" w:name="OLE_LINK127"/>
      <w:bookmarkStart w:id="33" w:name="OLE_LINK105"/>
      <w:bookmarkStart w:id="34" w:name="OLE_LINK102"/>
      <w:bookmarkStart w:id="35" w:name="OLE_LINK113"/>
      <w:bookmarkStart w:id="36" w:name="OLE_LINK109"/>
      <w:bookmarkStart w:id="37" w:name="OLE_LINK126"/>
      <w:r>
        <w:rPr>
          <w:rFonts w:hint="eastAsia" w:ascii="微软雅黑" w:hAnsi="微软雅黑" w:eastAsia="微软雅黑" w:cs="仿宋_GB2312"/>
          <w:b/>
        </w:rPr>
        <w:t>房地产市场价值</w:t>
      </w:r>
      <w:r>
        <w:rPr>
          <w:rFonts w:ascii="微软雅黑" w:hAnsi="微软雅黑" w:eastAsia="微软雅黑" w:cs="仿宋_GB2312"/>
          <w:b/>
        </w:rPr>
        <w:t>:</w:t>
      </w:r>
      <w:r>
        <w:rPr>
          <w:rFonts w:hint="eastAsia" w:ascii="微软雅黑" w:hAnsi="微软雅黑" w:eastAsia="微软雅黑" w:cs="仿宋_GB2312"/>
          <w:b/>
        </w:rPr>
        <w:t>445.7万元(保留千位取整)</w:t>
      </w:r>
    </w:p>
    <w:p>
      <w:pPr>
        <w:tabs>
          <w:tab w:val="left" w:pos="993"/>
        </w:tabs>
        <w:adjustRightInd w:val="0"/>
        <w:snapToGrid w:val="0"/>
        <w:spacing w:line="360" w:lineRule="auto"/>
        <w:ind w:firstLine="840" w:firstLineChars="400"/>
        <w:jc w:val="left"/>
        <w:rPr>
          <w:rFonts w:ascii="微软雅黑" w:hAnsi="微软雅黑" w:eastAsia="微软雅黑" w:cs="仿宋_GB2312"/>
          <w:b/>
        </w:rPr>
      </w:pPr>
      <w:r>
        <w:rPr>
          <w:rFonts w:hint="eastAsia" w:ascii="微软雅黑" w:hAnsi="微软雅黑" w:eastAsia="微软雅黑" w:cs="仿宋_GB2312"/>
          <w:b/>
        </w:rPr>
        <w:t>大写金额：肆佰肆拾伍万柒仟元整</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pPr>
        <w:tabs>
          <w:tab w:val="left" w:pos="993"/>
        </w:tabs>
        <w:adjustRightInd w:val="0"/>
        <w:snapToGrid w:val="0"/>
        <w:spacing w:line="360" w:lineRule="auto"/>
        <w:ind w:firstLine="840" w:firstLineChars="400"/>
        <w:jc w:val="left"/>
        <w:rPr>
          <w:rFonts w:ascii="微软雅黑" w:hAnsi="微软雅黑" w:eastAsia="微软雅黑" w:cs="仿宋_GB2312"/>
          <w:b/>
        </w:rPr>
      </w:pPr>
      <w:r>
        <w:rPr>
          <w:rFonts w:ascii="微软雅黑" w:hAnsi="微软雅黑" w:eastAsia="微软雅黑" w:cs="仿宋_GB2312"/>
          <w:b/>
        </w:rPr>
        <w:t>评估单价</w:t>
      </w:r>
      <w:r>
        <w:rPr>
          <w:rFonts w:hint="eastAsia" w:ascii="微软雅黑" w:hAnsi="微软雅黑" w:eastAsia="微软雅黑" w:cs="仿宋_GB2312"/>
          <w:b/>
        </w:rPr>
        <w:t>：15154元</w:t>
      </w:r>
      <w:r>
        <w:rPr>
          <w:rFonts w:ascii="微软雅黑" w:hAnsi="微软雅黑" w:eastAsia="微软雅黑" w:cs="仿宋_GB2312"/>
          <w:b/>
        </w:rPr>
        <w:t>/</w:t>
      </w:r>
      <w:r>
        <w:rPr>
          <w:rFonts w:hint="eastAsia" w:ascii="微软雅黑" w:hAnsi="微软雅黑" w:eastAsia="微软雅黑" w:cs="仿宋_GB2312"/>
          <w:b/>
        </w:rPr>
        <w:t>㎡</w:t>
      </w:r>
    </w:p>
    <w:p>
      <w:pPr>
        <w:tabs>
          <w:tab w:val="left" w:pos="993"/>
        </w:tabs>
        <w:adjustRightInd w:val="0"/>
        <w:snapToGrid w:val="0"/>
        <w:spacing w:line="360" w:lineRule="auto"/>
        <w:ind w:firstLine="840" w:firstLineChars="400"/>
        <w:jc w:val="left"/>
        <w:rPr>
          <w:rFonts w:ascii="微软雅黑" w:hAnsi="微软雅黑" w:eastAsia="微软雅黑" w:cs="仿宋_GB2312"/>
          <w:b/>
        </w:rPr>
      </w:pPr>
    </w:p>
    <w:p>
      <w:pPr>
        <w:spacing w:line="360" w:lineRule="auto"/>
        <w:jc w:val="center"/>
        <w:rPr>
          <w:rFonts w:ascii="微软雅黑" w:hAnsi="微软雅黑" w:eastAsia="微软雅黑"/>
          <w:b/>
          <w:bCs/>
          <w:sz w:val="24"/>
          <w:szCs w:val="24"/>
        </w:rPr>
      </w:pPr>
      <w:r>
        <w:rPr>
          <w:rFonts w:hint="eastAsia" w:ascii="微软雅黑" w:hAnsi="微软雅黑" w:eastAsia="微软雅黑" w:cs="仿宋_GB2312"/>
          <w:b/>
          <w:bCs/>
          <w:sz w:val="24"/>
          <w:szCs w:val="24"/>
        </w:rPr>
        <w:t>估价结果一览表</w:t>
      </w:r>
    </w:p>
    <w:tbl>
      <w:tblPr>
        <w:tblStyle w:val="6"/>
        <w:tblW w:w="8924" w:type="dxa"/>
        <w:jc w:val="right"/>
        <w:tblInd w:w="0" w:type="dxa"/>
        <w:tblLayout w:type="fixed"/>
        <w:tblCellMar>
          <w:top w:w="0" w:type="dxa"/>
          <w:left w:w="108" w:type="dxa"/>
          <w:bottom w:w="0" w:type="dxa"/>
          <w:right w:w="108" w:type="dxa"/>
        </w:tblCellMar>
      </w:tblPr>
      <w:tblGrid>
        <w:gridCol w:w="2693"/>
        <w:gridCol w:w="1134"/>
        <w:gridCol w:w="1276"/>
        <w:gridCol w:w="1985"/>
        <w:gridCol w:w="1836"/>
      </w:tblGrid>
      <w:tr>
        <w:tblPrEx>
          <w:tblLayout w:type="fixed"/>
          <w:tblCellMar>
            <w:top w:w="0" w:type="dxa"/>
            <w:left w:w="108" w:type="dxa"/>
            <w:bottom w:w="0" w:type="dxa"/>
            <w:right w:w="108" w:type="dxa"/>
          </w:tblCellMar>
        </w:tblPrEx>
        <w:trPr>
          <w:trHeight w:val="397" w:hRule="atLeast"/>
          <w:jc w:val="right"/>
        </w:trPr>
        <w:tc>
          <w:tcPr>
            <w:tcW w:w="2693" w:type="dxa"/>
            <w:vMerge w:val="restart"/>
            <w:tcBorders>
              <w:top w:val="single" w:color="auto" w:sz="4" w:space="0"/>
              <w:left w:val="single" w:color="auto" w:sz="4" w:space="0"/>
              <w:bottom w:val="single" w:color="000000" w:sz="4" w:space="0"/>
              <w:right w:val="single" w:color="auto" w:sz="4" w:space="0"/>
            </w:tcBorders>
            <w:shd w:val="clear" w:color="auto" w:fill="E6E6E6"/>
            <w:vAlign w:val="center"/>
          </w:tcPr>
          <w:p>
            <w:pPr>
              <w:jc w:val="center"/>
              <w:rPr>
                <w:rFonts w:ascii="微软雅黑" w:hAnsi="微软雅黑" w:eastAsia="微软雅黑" w:cs="仿宋_GB2312"/>
              </w:rPr>
            </w:pPr>
            <w:r>
              <w:rPr>
                <w:rFonts w:hint="eastAsia" w:ascii="微软雅黑" w:hAnsi="微软雅黑" w:eastAsia="微软雅黑" w:cs="仿宋_GB2312"/>
              </w:rPr>
              <w:t>房屋坐落</w:t>
            </w:r>
          </w:p>
        </w:tc>
        <w:tc>
          <w:tcPr>
            <w:tcW w:w="1134" w:type="dxa"/>
            <w:vMerge w:val="restart"/>
            <w:tcBorders>
              <w:top w:val="single" w:color="auto" w:sz="4" w:space="0"/>
              <w:left w:val="single" w:color="auto" w:sz="4" w:space="0"/>
              <w:bottom w:val="single" w:color="000000" w:sz="4" w:space="0"/>
              <w:right w:val="single" w:color="auto" w:sz="4" w:space="0"/>
            </w:tcBorders>
            <w:shd w:val="clear" w:color="auto" w:fill="E6E6E6"/>
            <w:vAlign w:val="center"/>
          </w:tcPr>
          <w:p>
            <w:pPr>
              <w:widowControl/>
              <w:jc w:val="center"/>
              <w:rPr>
                <w:rFonts w:ascii="微软雅黑" w:hAnsi="微软雅黑" w:eastAsia="微软雅黑" w:cs="仿宋_GB2312"/>
              </w:rPr>
            </w:pPr>
            <w:r>
              <w:rPr>
                <w:rFonts w:hint="eastAsia" w:ascii="微软雅黑" w:hAnsi="微软雅黑" w:eastAsia="微软雅黑" w:cs="仿宋_GB2312"/>
              </w:rPr>
              <w:t>建筑面积（㎡）</w:t>
            </w:r>
          </w:p>
        </w:tc>
        <w:tc>
          <w:tcPr>
            <w:tcW w:w="1276" w:type="dxa"/>
            <w:vMerge w:val="restart"/>
            <w:tcBorders>
              <w:top w:val="single" w:color="auto" w:sz="4" w:space="0"/>
              <w:left w:val="single" w:color="auto" w:sz="4" w:space="0"/>
              <w:bottom w:val="single" w:color="000000" w:sz="4" w:space="0"/>
              <w:right w:val="single" w:color="auto" w:sz="4" w:space="0"/>
            </w:tcBorders>
            <w:shd w:val="clear" w:color="auto" w:fill="E6E6E6"/>
            <w:vAlign w:val="center"/>
          </w:tcPr>
          <w:p>
            <w:pPr>
              <w:widowControl/>
              <w:jc w:val="center"/>
              <w:rPr>
                <w:rFonts w:ascii="微软雅黑" w:hAnsi="微软雅黑" w:eastAsia="微软雅黑" w:cs="仿宋_GB2312"/>
              </w:rPr>
            </w:pPr>
            <w:r>
              <w:rPr>
                <w:rFonts w:hint="eastAsia" w:ascii="微软雅黑" w:hAnsi="微软雅黑" w:eastAsia="微软雅黑" w:cs="仿宋_GB2312"/>
              </w:rPr>
              <w:t>土地面积（㎡）</w:t>
            </w:r>
          </w:p>
        </w:tc>
        <w:tc>
          <w:tcPr>
            <w:tcW w:w="3821" w:type="dxa"/>
            <w:gridSpan w:val="2"/>
            <w:tcBorders>
              <w:top w:val="single" w:color="auto" w:sz="4" w:space="0"/>
              <w:left w:val="nil"/>
              <w:bottom w:val="single" w:color="auto" w:sz="4" w:space="0"/>
              <w:right w:val="single" w:color="auto" w:sz="4" w:space="0"/>
            </w:tcBorders>
            <w:shd w:val="clear" w:color="auto" w:fill="E6E6E6"/>
          </w:tcPr>
          <w:p>
            <w:pPr>
              <w:widowControl/>
              <w:jc w:val="center"/>
              <w:rPr>
                <w:rFonts w:ascii="微软雅黑" w:hAnsi="微软雅黑" w:eastAsia="微软雅黑" w:cs="仿宋_GB2312"/>
              </w:rPr>
            </w:pPr>
            <w:r>
              <w:rPr>
                <w:rFonts w:hint="eastAsia" w:ascii="微软雅黑" w:hAnsi="微软雅黑" w:eastAsia="微软雅黑" w:cs="仿宋_GB2312"/>
              </w:rPr>
              <w:t>市场价值</w:t>
            </w:r>
          </w:p>
        </w:tc>
      </w:tr>
      <w:tr>
        <w:tblPrEx>
          <w:tblLayout w:type="fixed"/>
          <w:tblCellMar>
            <w:top w:w="0" w:type="dxa"/>
            <w:left w:w="108" w:type="dxa"/>
            <w:bottom w:w="0" w:type="dxa"/>
            <w:right w:w="108" w:type="dxa"/>
          </w:tblCellMar>
        </w:tblPrEx>
        <w:trPr>
          <w:trHeight w:val="737" w:hRule="atLeast"/>
          <w:jc w:val="right"/>
        </w:trPr>
        <w:tc>
          <w:tcPr>
            <w:tcW w:w="2693" w:type="dxa"/>
            <w:vMerge w:val="continue"/>
            <w:tcBorders>
              <w:top w:val="single" w:color="auto" w:sz="4" w:space="0"/>
              <w:left w:val="single" w:color="auto" w:sz="4" w:space="0"/>
              <w:bottom w:val="single" w:color="000000" w:sz="4" w:space="0"/>
              <w:right w:val="single" w:color="auto" w:sz="4" w:space="0"/>
            </w:tcBorders>
            <w:shd w:val="clear" w:color="auto" w:fill="E6E6E6"/>
            <w:vAlign w:val="center"/>
          </w:tcPr>
          <w:p>
            <w:pPr>
              <w:widowControl/>
              <w:jc w:val="left"/>
              <w:rPr>
                <w:rFonts w:ascii="微软雅黑" w:hAnsi="微软雅黑" w:eastAsia="微软雅黑" w:cs="仿宋_GB2312"/>
              </w:rPr>
            </w:pPr>
          </w:p>
        </w:tc>
        <w:tc>
          <w:tcPr>
            <w:tcW w:w="1134" w:type="dxa"/>
            <w:vMerge w:val="continue"/>
            <w:tcBorders>
              <w:top w:val="single" w:color="auto" w:sz="4" w:space="0"/>
              <w:left w:val="single" w:color="auto" w:sz="4" w:space="0"/>
              <w:bottom w:val="single" w:color="000000" w:sz="4" w:space="0"/>
              <w:right w:val="single" w:color="auto" w:sz="4" w:space="0"/>
            </w:tcBorders>
            <w:shd w:val="clear" w:color="auto" w:fill="E6E6E6"/>
            <w:vAlign w:val="center"/>
          </w:tcPr>
          <w:p>
            <w:pPr>
              <w:widowControl/>
              <w:jc w:val="left"/>
              <w:rPr>
                <w:rFonts w:ascii="微软雅黑" w:hAnsi="微软雅黑" w:eastAsia="微软雅黑" w:cs="仿宋_GB2312"/>
              </w:rPr>
            </w:pPr>
          </w:p>
        </w:tc>
        <w:tc>
          <w:tcPr>
            <w:tcW w:w="1276" w:type="dxa"/>
            <w:vMerge w:val="continue"/>
            <w:tcBorders>
              <w:top w:val="single" w:color="auto" w:sz="4" w:space="0"/>
              <w:left w:val="single" w:color="auto" w:sz="4" w:space="0"/>
              <w:bottom w:val="single" w:color="000000" w:sz="4" w:space="0"/>
              <w:right w:val="single" w:color="auto" w:sz="4" w:space="0"/>
            </w:tcBorders>
            <w:shd w:val="clear" w:color="auto" w:fill="E6E6E6"/>
            <w:vAlign w:val="center"/>
          </w:tcPr>
          <w:p>
            <w:pPr>
              <w:widowControl/>
              <w:jc w:val="left"/>
              <w:rPr>
                <w:rFonts w:ascii="微软雅黑" w:hAnsi="微软雅黑" w:eastAsia="微软雅黑" w:cs="仿宋_GB2312"/>
              </w:rPr>
            </w:pPr>
          </w:p>
        </w:tc>
        <w:tc>
          <w:tcPr>
            <w:tcW w:w="1985" w:type="dxa"/>
            <w:tcBorders>
              <w:top w:val="nil"/>
              <w:left w:val="nil"/>
              <w:bottom w:val="single" w:color="auto" w:sz="4" w:space="0"/>
              <w:right w:val="single" w:color="auto" w:sz="4" w:space="0"/>
            </w:tcBorders>
            <w:shd w:val="clear" w:color="auto" w:fill="E6E6E6"/>
            <w:vAlign w:val="center"/>
          </w:tcPr>
          <w:p>
            <w:pPr>
              <w:widowControl/>
              <w:jc w:val="center"/>
              <w:rPr>
                <w:rFonts w:ascii="微软雅黑" w:hAnsi="微软雅黑" w:eastAsia="微软雅黑" w:cs="仿宋_GB2312"/>
              </w:rPr>
            </w:pPr>
            <w:r>
              <w:rPr>
                <w:rFonts w:hint="eastAsia" w:ascii="微软雅黑" w:hAnsi="微软雅黑" w:eastAsia="微软雅黑" w:cs="仿宋_GB2312"/>
              </w:rPr>
              <w:t>评估单价</w:t>
            </w:r>
          </w:p>
          <w:p>
            <w:pPr>
              <w:widowControl/>
              <w:jc w:val="center"/>
              <w:rPr>
                <w:rFonts w:ascii="微软雅黑" w:hAnsi="微软雅黑" w:eastAsia="微软雅黑" w:cs="仿宋_GB2312"/>
              </w:rPr>
            </w:pPr>
            <w:r>
              <w:rPr>
                <w:rFonts w:hint="eastAsia" w:ascii="微软雅黑" w:hAnsi="微软雅黑" w:eastAsia="微软雅黑" w:cs="仿宋_GB2312"/>
              </w:rPr>
              <w:t>（元</w:t>
            </w:r>
            <w:r>
              <w:rPr>
                <w:rFonts w:ascii="微软雅黑" w:hAnsi="微软雅黑" w:eastAsia="微软雅黑" w:cs="仿宋_GB2312"/>
              </w:rPr>
              <w:t>/</w:t>
            </w:r>
            <w:r>
              <w:rPr>
                <w:rFonts w:hint="eastAsia" w:ascii="微软雅黑" w:hAnsi="微软雅黑" w:cs="宋体"/>
                <w:kern w:val="0"/>
              </w:rPr>
              <w:t>㎡</w:t>
            </w:r>
            <w:r>
              <w:rPr>
                <w:rFonts w:hint="eastAsia" w:ascii="微软雅黑" w:hAnsi="微软雅黑" w:eastAsia="微软雅黑" w:cs="仿宋_GB2312"/>
              </w:rPr>
              <w:t>）</w:t>
            </w:r>
          </w:p>
        </w:tc>
        <w:tc>
          <w:tcPr>
            <w:tcW w:w="1836" w:type="dxa"/>
            <w:tcBorders>
              <w:top w:val="nil"/>
              <w:left w:val="nil"/>
              <w:bottom w:val="single" w:color="auto" w:sz="4" w:space="0"/>
              <w:right w:val="single" w:color="auto" w:sz="4" w:space="0"/>
            </w:tcBorders>
            <w:shd w:val="clear" w:color="auto" w:fill="E6E6E6"/>
          </w:tcPr>
          <w:p>
            <w:pPr>
              <w:widowControl/>
              <w:jc w:val="center"/>
              <w:rPr>
                <w:rFonts w:ascii="微软雅黑" w:hAnsi="微软雅黑" w:eastAsia="微软雅黑" w:cs="仿宋_GB2312"/>
              </w:rPr>
            </w:pPr>
            <w:r>
              <w:rPr>
                <w:rFonts w:hint="eastAsia" w:ascii="微软雅黑" w:hAnsi="微软雅黑" w:eastAsia="微软雅黑" w:cs="仿宋_GB2312"/>
              </w:rPr>
              <w:t>总价（元）</w:t>
            </w:r>
          </w:p>
          <w:p>
            <w:pPr>
              <w:widowControl/>
              <w:jc w:val="center"/>
              <w:rPr>
                <w:rFonts w:ascii="微软雅黑" w:hAnsi="微软雅黑" w:eastAsia="微软雅黑" w:cs="仿宋_GB2312"/>
              </w:rPr>
            </w:pPr>
            <w:r>
              <w:rPr>
                <w:rFonts w:hint="eastAsia" w:ascii="微软雅黑" w:hAnsi="微软雅黑" w:eastAsia="微软雅黑" w:cs="仿宋_GB2312"/>
              </w:rPr>
              <w:t>（保留千位取整）</w:t>
            </w:r>
          </w:p>
        </w:tc>
      </w:tr>
      <w:tr>
        <w:tblPrEx>
          <w:tblLayout w:type="fixed"/>
          <w:tblCellMar>
            <w:top w:w="0" w:type="dxa"/>
            <w:left w:w="108" w:type="dxa"/>
            <w:bottom w:w="0" w:type="dxa"/>
            <w:right w:w="108" w:type="dxa"/>
          </w:tblCellMar>
        </w:tblPrEx>
        <w:trPr>
          <w:trHeight w:val="802" w:hRule="atLeast"/>
          <w:jc w:val="right"/>
        </w:trPr>
        <w:tc>
          <w:tcPr>
            <w:tcW w:w="2693" w:type="dxa"/>
            <w:tcBorders>
              <w:top w:val="nil"/>
              <w:left w:val="single" w:color="auto" w:sz="4" w:space="0"/>
              <w:bottom w:val="single" w:color="auto" w:sz="4" w:space="0"/>
              <w:right w:val="single" w:color="auto" w:sz="4" w:space="0"/>
            </w:tcBorders>
            <w:vAlign w:val="center"/>
          </w:tcPr>
          <w:p>
            <w:pPr>
              <w:jc w:val="center"/>
              <w:rPr>
                <w:rFonts w:ascii="微软雅黑" w:hAnsi="微软雅黑" w:eastAsia="微软雅黑" w:cs="仿宋_GB2312"/>
              </w:rPr>
            </w:pPr>
            <w:r>
              <w:rPr>
                <w:rFonts w:hint="eastAsia" w:ascii="微软雅黑" w:hAnsi="微软雅黑" w:eastAsia="微软雅黑" w:cs="宋体"/>
                <w:color w:val="000000"/>
                <w:kern w:val="0"/>
                <w:sz w:val="20"/>
                <w:szCs w:val="20"/>
              </w:rPr>
              <w:t>杭州市余杭区仁和镇仁和金鼎公寓3幢2单元1702室</w:t>
            </w:r>
          </w:p>
        </w:tc>
        <w:tc>
          <w:tcPr>
            <w:tcW w:w="1134" w:type="dxa"/>
            <w:tcBorders>
              <w:top w:val="nil"/>
              <w:left w:val="nil"/>
              <w:bottom w:val="single" w:color="auto" w:sz="4" w:space="0"/>
              <w:right w:val="single" w:color="auto" w:sz="4" w:space="0"/>
            </w:tcBorders>
            <w:vAlign w:val="center"/>
          </w:tcPr>
          <w:p>
            <w:pPr>
              <w:jc w:val="center"/>
              <w:rPr>
                <w:rFonts w:ascii="微软雅黑" w:hAnsi="微软雅黑" w:eastAsia="微软雅黑" w:cs="仿宋_GB2312"/>
              </w:rPr>
            </w:pPr>
            <w:r>
              <w:rPr>
                <w:rFonts w:hint="eastAsia" w:ascii="微软雅黑" w:hAnsi="微软雅黑" w:eastAsia="微软雅黑" w:cs="宋体"/>
                <w:color w:val="000000"/>
                <w:kern w:val="0"/>
                <w:sz w:val="20"/>
                <w:szCs w:val="20"/>
              </w:rPr>
              <w:t>294.11</w:t>
            </w:r>
          </w:p>
        </w:tc>
        <w:tc>
          <w:tcPr>
            <w:tcW w:w="1276" w:type="dxa"/>
            <w:tcBorders>
              <w:top w:val="nil"/>
              <w:left w:val="nil"/>
              <w:bottom w:val="single" w:color="auto" w:sz="4" w:space="0"/>
              <w:right w:val="single" w:color="auto" w:sz="4" w:space="0"/>
            </w:tcBorders>
            <w:vAlign w:val="center"/>
          </w:tcPr>
          <w:p>
            <w:pPr>
              <w:widowControl/>
              <w:jc w:val="center"/>
              <w:rPr>
                <w:rFonts w:ascii="微软雅黑" w:hAnsi="微软雅黑" w:eastAsia="微软雅黑" w:cs="仿宋_GB2312"/>
              </w:rPr>
            </w:pPr>
            <w:r>
              <w:rPr>
                <w:rFonts w:hint="eastAsia" w:ascii="微软雅黑" w:hAnsi="微软雅黑" w:eastAsia="微软雅黑" w:cs="宋体"/>
                <w:color w:val="000000"/>
                <w:kern w:val="0"/>
                <w:sz w:val="20"/>
                <w:szCs w:val="20"/>
              </w:rPr>
              <w:t>37.6</w:t>
            </w:r>
          </w:p>
        </w:tc>
        <w:tc>
          <w:tcPr>
            <w:tcW w:w="1985" w:type="dxa"/>
            <w:tcBorders>
              <w:top w:val="nil"/>
              <w:left w:val="nil"/>
              <w:bottom w:val="single" w:color="auto" w:sz="4" w:space="0"/>
              <w:right w:val="single" w:color="auto" w:sz="4" w:space="0"/>
            </w:tcBorders>
            <w:vAlign w:val="center"/>
          </w:tcPr>
          <w:p>
            <w:pPr>
              <w:jc w:val="center"/>
              <w:rPr>
                <w:rFonts w:ascii="微软雅黑" w:hAnsi="微软雅黑" w:eastAsia="微软雅黑" w:cs="仿宋_GB2312"/>
              </w:rPr>
            </w:pPr>
            <w:r>
              <w:rPr>
                <w:rFonts w:hint="eastAsia" w:ascii="微软雅黑" w:hAnsi="微软雅黑" w:eastAsia="微软雅黑" w:cs="仿宋_GB2312"/>
              </w:rPr>
              <w:t>15154</w:t>
            </w:r>
          </w:p>
        </w:tc>
        <w:tc>
          <w:tcPr>
            <w:tcW w:w="1836" w:type="dxa"/>
            <w:tcBorders>
              <w:top w:val="single" w:color="auto" w:sz="4" w:space="0"/>
              <w:left w:val="nil"/>
              <w:bottom w:val="single" w:color="auto" w:sz="4" w:space="0"/>
              <w:right w:val="single" w:color="auto" w:sz="4" w:space="0"/>
            </w:tcBorders>
            <w:vAlign w:val="center"/>
          </w:tcPr>
          <w:p>
            <w:pPr>
              <w:jc w:val="center"/>
              <w:rPr>
                <w:rFonts w:ascii="微软雅黑" w:hAnsi="微软雅黑" w:eastAsia="微软雅黑" w:cs="仿宋_GB2312"/>
              </w:rPr>
            </w:pPr>
            <w:r>
              <w:rPr>
                <w:rFonts w:hint="eastAsia" w:ascii="微软雅黑" w:hAnsi="微软雅黑" w:eastAsia="微软雅黑" w:cs="仿宋_GB2312"/>
              </w:rPr>
              <w:t>445.7</w:t>
            </w:r>
          </w:p>
        </w:tc>
      </w:tr>
    </w:tbl>
    <w:p>
      <w:pPr>
        <w:pStyle w:val="8"/>
        <w:adjustRightInd w:val="0"/>
        <w:snapToGrid w:val="0"/>
        <w:spacing w:line="288" w:lineRule="auto"/>
        <w:ind w:left="851" w:firstLine="0" w:firstLineChars="0"/>
        <w:rPr>
          <w:rFonts w:ascii="微软雅黑" w:hAnsi="微软雅黑" w:eastAsia="微软雅黑" w:cs="仿宋_GB2312"/>
        </w:rPr>
      </w:pPr>
      <w:r>
        <w:rPr>
          <w:rFonts w:hint="eastAsia" w:ascii="微软雅黑" w:hAnsi="微软雅黑" w:eastAsia="微软雅黑" w:cs="仿宋_GB2312"/>
        </w:rPr>
        <w:t>为正确合理使用本估价结果，请报告使用方仔细阅读以下房地产估价报告内容，特此函告。</w:t>
      </w:r>
    </w:p>
    <w:p>
      <w:pPr>
        <w:tabs>
          <w:tab w:val="left" w:pos="993"/>
        </w:tabs>
        <w:adjustRightInd w:val="0"/>
        <w:snapToGrid w:val="0"/>
        <w:spacing w:line="360" w:lineRule="auto"/>
        <w:ind w:firstLine="1060" w:firstLineChars="377"/>
        <w:rPr>
          <w:rFonts w:ascii="仿宋_GB2312" w:hAnsi="仿宋" w:eastAsia="仿宋_GB2312" w:cs="仿宋_GB2312"/>
          <w:b/>
          <w:bCs/>
          <w:sz w:val="28"/>
          <w:szCs w:val="28"/>
        </w:rPr>
      </w:pPr>
    </w:p>
    <w:p>
      <w:pPr>
        <w:tabs>
          <w:tab w:val="left" w:pos="993"/>
        </w:tabs>
        <w:adjustRightInd w:val="0"/>
        <w:snapToGrid w:val="0"/>
        <w:spacing w:line="360" w:lineRule="auto"/>
        <w:ind w:firstLine="1060" w:firstLineChars="377"/>
        <w:rPr>
          <w:rFonts w:ascii="仿宋_GB2312" w:hAnsi="仿宋" w:eastAsia="仿宋_GB2312" w:cs="仿宋_GB2312"/>
          <w:b/>
          <w:bCs/>
          <w:sz w:val="28"/>
          <w:szCs w:val="28"/>
        </w:rPr>
      </w:pPr>
    </w:p>
    <w:p>
      <w:pPr>
        <w:tabs>
          <w:tab w:val="left" w:pos="993"/>
        </w:tabs>
        <w:adjustRightInd w:val="0"/>
        <w:snapToGrid w:val="0"/>
        <w:spacing w:line="360" w:lineRule="auto"/>
        <w:ind w:firstLine="1060" w:firstLineChars="377"/>
        <w:rPr>
          <w:rFonts w:ascii="仿宋_GB2312" w:hAnsi="仿宋" w:eastAsia="仿宋_GB2312" w:cs="仿宋_GB2312"/>
          <w:b/>
          <w:bCs/>
          <w:sz w:val="28"/>
          <w:szCs w:val="28"/>
        </w:rPr>
      </w:pPr>
    </w:p>
    <w:p>
      <w:pPr>
        <w:adjustRightInd w:val="0"/>
        <w:snapToGrid w:val="0"/>
        <w:spacing w:line="360" w:lineRule="auto"/>
        <w:ind w:firstLine="3544" w:firstLineChars="1476"/>
        <w:rPr>
          <w:rFonts w:ascii="微软雅黑" w:hAnsi="微软雅黑" w:eastAsia="微软雅黑" w:cs="仿宋_GB2312"/>
          <w:b/>
          <w:bCs/>
          <w:sz w:val="24"/>
          <w:szCs w:val="24"/>
        </w:rPr>
      </w:pPr>
      <w:r>
        <w:rPr>
          <w:rFonts w:hint="eastAsia" w:ascii="微软雅黑" w:hAnsi="微软雅黑" w:eastAsia="微软雅黑" w:cs="仿宋_GB2312"/>
          <w:b/>
          <w:bCs/>
          <w:sz w:val="24"/>
          <w:szCs w:val="24"/>
        </w:rPr>
        <w:t>上海仲衡信银房地产评估有限公司浙江分公司</w:t>
      </w:r>
    </w:p>
    <w:p>
      <w:pPr>
        <w:adjustRightInd w:val="0"/>
        <w:snapToGrid w:val="0"/>
        <w:spacing w:line="360" w:lineRule="auto"/>
        <w:ind w:firstLine="4742" w:firstLineChars="1975"/>
        <w:rPr>
          <w:rFonts w:ascii="微软雅黑" w:hAnsi="微软雅黑" w:eastAsia="微软雅黑" w:cs="仿宋_GB2312"/>
          <w:b/>
          <w:bCs/>
          <w:sz w:val="24"/>
          <w:szCs w:val="24"/>
        </w:rPr>
      </w:pPr>
      <w:r>
        <w:rPr>
          <w:rFonts w:hint="eastAsia" w:ascii="微软雅黑" w:hAnsi="微软雅黑" w:eastAsia="微软雅黑" w:cs="仿宋_GB2312"/>
          <w:b/>
          <w:bCs/>
          <w:sz w:val="24"/>
          <w:szCs w:val="24"/>
        </w:rPr>
        <w:t>负责人：</w:t>
      </w:r>
    </w:p>
    <w:p>
      <w:pPr>
        <w:spacing w:line="360" w:lineRule="auto"/>
        <w:jc w:val="center"/>
        <w:rPr>
          <w:rFonts w:ascii="仿宋_GB2312" w:hAnsi="宋体" w:eastAsia="仿宋_GB2312" w:cs="仿宋_GB2312"/>
          <w:b/>
          <w:bCs/>
          <w:sz w:val="28"/>
          <w:szCs w:val="28"/>
        </w:rPr>
      </w:pPr>
      <w:r>
        <w:rPr>
          <w:rFonts w:hint="eastAsia" w:ascii="微软雅黑" w:hAnsi="微软雅黑" w:eastAsia="微软雅黑" w:cs="仿宋_GB2312"/>
          <w:b/>
          <w:bCs/>
          <w:sz w:val="24"/>
          <w:szCs w:val="24"/>
        </w:rPr>
        <w:t xml:space="preserve">                     二〇二〇年九月二日</w:t>
      </w:r>
    </w:p>
    <w:p>
      <w:pPr>
        <w:widowControl/>
        <w:jc w:val="left"/>
        <w:rPr>
          <w:rFonts w:ascii="微软雅黑" w:hAnsi="微软雅黑" w:eastAsia="微软雅黑" w:cs="仿宋_GB2312"/>
          <w:b/>
          <w:bCs/>
          <w:sz w:val="24"/>
          <w:szCs w:val="24"/>
        </w:rPr>
        <w:sectPr>
          <w:footerReference r:id="rId5" w:type="first"/>
          <w:headerReference r:id="rId3" w:type="default"/>
          <w:footerReference r:id="rId4" w:type="default"/>
          <w:pgSz w:w="11906" w:h="16838"/>
          <w:pgMar w:top="1814" w:right="1247" w:bottom="1418" w:left="1701" w:header="1417" w:footer="737" w:gutter="0"/>
          <w:pgNumType w:start="1"/>
          <w:cols w:space="720" w:num="1"/>
          <w:titlePg/>
          <w:docGrid w:linePitch="286" w:charSpace="0"/>
        </w:sectPr>
      </w:pPr>
      <w:r>
        <w:rPr>
          <w:rFonts w:ascii="仿宋_GB2312" w:hAnsi="宋体" w:eastAsia="仿宋_GB2312" w:cs="仿宋_GB2312"/>
          <w:b/>
          <w:bCs/>
          <w:sz w:val="28"/>
          <w:szCs w:val="28"/>
        </w:rPr>
        <w:br w:type="page"/>
      </w:r>
    </w:p>
    <w:p>
      <w:pPr>
        <w:pStyle w:val="2"/>
        <w:numPr>
          <w:ilvl w:val="1"/>
          <w:numId w:val="2"/>
        </w:numPr>
        <w:spacing w:before="240" w:beforeLines="100" w:after="120" w:afterLines="50" w:line="360" w:lineRule="auto"/>
        <w:jc w:val="center"/>
        <w:rPr>
          <w:rFonts w:ascii="微软雅黑" w:hAnsi="微软雅黑" w:eastAsia="微软雅黑" w:cs="仿宋_GB2312"/>
          <w:snapToGrid w:val="0"/>
          <w:kern w:val="0"/>
          <w:sz w:val="32"/>
          <w:szCs w:val="32"/>
        </w:rPr>
      </w:pPr>
      <w:bookmarkStart w:id="38" w:name="_Toc471213325"/>
      <w:bookmarkStart w:id="39" w:name="_Toc471213355"/>
      <w:bookmarkStart w:id="40" w:name="_Toc50101994"/>
      <w:r>
        <w:rPr>
          <w:rFonts w:hint="eastAsia" w:ascii="微软雅黑" w:hAnsi="微软雅黑" w:eastAsia="微软雅黑" w:cs="仿宋_GB2312"/>
          <w:snapToGrid w:val="0"/>
          <w:kern w:val="0"/>
          <w:sz w:val="32"/>
          <w:szCs w:val="32"/>
        </w:rPr>
        <w:t>估价假设和限制条件</w:t>
      </w:r>
      <w:bookmarkEnd w:id="38"/>
      <w:bookmarkEnd w:id="39"/>
      <w:bookmarkEnd w:id="40"/>
    </w:p>
    <w:p>
      <w:pPr>
        <w:spacing w:line="360" w:lineRule="auto"/>
        <w:ind w:firstLine="991" w:firstLineChars="354"/>
        <w:rPr>
          <w:rFonts w:ascii="仿宋_GB2312" w:hAnsi="宋体" w:eastAsia="仿宋_GB2312"/>
          <w:b/>
          <w:bCs/>
          <w:sz w:val="28"/>
          <w:szCs w:val="28"/>
        </w:rPr>
      </w:pPr>
      <w:r>
        <w:rPr>
          <w:rFonts w:hint="eastAsia" w:ascii="宋体" w:hAnsi="宋体" w:cs="仿宋_GB2312"/>
          <w:bCs/>
          <w:snapToGrid w:val="0"/>
          <w:color w:val="000000"/>
          <w:kern w:val="0"/>
          <w:sz w:val="28"/>
          <w:szCs w:val="28"/>
        </w:rPr>
        <w:t>◆</w:t>
      </w:r>
      <w:r>
        <w:rPr>
          <w:rFonts w:hint="eastAsia" w:ascii="微软雅黑" w:hAnsi="微软雅黑" w:eastAsia="微软雅黑" w:cs="仿宋_GB2312"/>
          <w:b/>
          <w:bCs/>
          <w:sz w:val="24"/>
          <w:szCs w:val="24"/>
        </w:rPr>
        <w:t>一般假设</w:t>
      </w:r>
    </w:p>
    <w:p>
      <w:pPr>
        <w:pStyle w:val="8"/>
        <w:numPr>
          <w:ilvl w:val="3"/>
          <w:numId w:val="3"/>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在价值时点的房地产市场为公开、平等、自愿的交易市场。</w:t>
      </w:r>
    </w:p>
    <w:p>
      <w:pPr>
        <w:pStyle w:val="8"/>
        <w:numPr>
          <w:ilvl w:val="3"/>
          <w:numId w:val="3"/>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估价对象产权明晰，手续齐全，可在公开市场上自由转让。</w:t>
      </w:r>
    </w:p>
    <w:p>
      <w:pPr>
        <w:pStyle w:val="8"/>
        <w:numPr>
          <w:ilvl w:val="3"/>
          <w:numId w:val="3"/>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任何有关估价对象的运作方式、程序均符合国家、地方的有关法律、法规。</w:t>
      </w:r>
    </w:p>
    <w:p>
      <w:pPr>
        <w:pStyle w:val="8"/>
        <w:numPr>
          <w:ilvl w:val="3"/>
          <w:numId w:val="3"/>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本次估价结果未考虑国家宏观经济政策发生重大变化以及遇有自然力和其他不可抗力对估价结论的影响。</w:t>
      </w:r>
    </w:p>
    <w:p>
      <w:pPr>
        <w:pStyle w:val="8"/>
        <w:numPr>
          <w:ilvl w:val="3"/>
          <w:numId w:val="3"/>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本报告是以估价对象在价值时点时的状况为依据进行的，且以该状况在估价报告使用期限内无重大变化为前提。</w:t>
      </w:r>
    </w:p>
    <w:p>
      <w:pPr>
        <w:pStyle w:val="8"/>
        <w:numPr>
          <w:ilvl w:val="3"/>
          <w:numId w:val="3"/>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本次估价未考虑除已披露事项外可能与估价对象产权人有关的债权及债务情况对估价结果的影响。</w:t>
      </w:r>
    </w:p>
    <w:p>
      <w:pPr>
        <w:pStyle w:val="8"/>
        <w:numPr>
          <w:ilvl w:val="3"/>
          <w:numId w:val="3"/>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本报告估价结果没有考虑快速变现、税费转嫁等特殊的交易方式，以及可能发生的办理抵押登记、权利转移相关费用对估价对象房地产价值的影响，如上述条件发生变化，估价结果需做相应调整。</w:t>
      </w:r>
    </w:p>
    <w:p>
      <w:pPr>
        <w:pStyle w:val="8"/>
        <w:numPr>
          <w:ilvl w:val="3"/>
          <w:numId w:val="3"/>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本次估价对象的土地、房屋权属情况以估价人员查档获取的《杭州市不动产权属信息查询记录》（编号：YQ20200819-0011584）为依据。如上述情况发生变化，估价结果需做相应调整。</w:t>
      </w:r>
    </w:p>
    <w:p>
      <w:pPr>
        <w:pStyle w:val="8"/>
        <w:numPr>
          <w:ilvl w:val="3"/>
          <w:numId w:val="3"/>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估价委托人提供了《杭州市西湖区人民法院评估委托书》（（2020）杭西法评委字240号）等资料，估价人员从杭州市规划和自然资源局查档获取了《杭州市不动产权属信息查询记录》（编号：YQ20200819-0011584）。估价师对有关情况和资料进行了必要检查，在无理由怀疑其真实性、合法性、准确性、完整性的情况下，假定估价委托人提供的及估价人员查档获取的资料真实、合法、准确、完整。。</w:t>
      </w:r>
    </w:p>
    <w:p>
      <w:pPr>
        <w:pStyle w:val="8"/>
        <w:numPr>
          <w:ilvl w:val="3"/>
          <w:numId w:val="3"/>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估价人员于2020年8月21日对估价对象进行了实地查勘，但估价人员对估价对象的实地查勘仅限于估价对象的外观和使用状况、内部布局、装修及设备情况，并未对估价对象做建筑物基础、房屋结构上的测量和实验，因此无法确认其内部有无缺损、是否存在结构性损坏。对被遮盖、未暴露及难以接触到的房屋结构部分及其内部设施、设备，本报告假设其无建筑物基础、房屋结构等方面的重大质量问题，符合国家有关技术、质量、验收规范，且符合国家有关安全使用标准。</w:t>
      </w:r>
    </w:p>
    <w:p>
      <w:pPr>
        <w:pStyle w:val="8"/>
        <w:numPr>
          <w:ilvl w:val="3"/>
          <w:numId w:val="3"/>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注册房地产估价师未对房屋建筑面积进行专业测量，经现场查勘观察，估价对象房屋建筑面积与</w:t>
      </w:r>
      <w:bookmarkStart w:id="41" w:name="OLE_LINK21"/>
      <w:bookmarkStart w:id="42" w:name="OLE_LINK22"/>
      <w:r>
        <w:rPr>
          <w:rFonts w:hint="eastAsia" w:ascii="微软雅黑" w:hAnsi="微软雅黑" w:eastAsia="微软雅黑" w:cs="仿宋_GB2312"/>
        </w:rPr>
        <w:t>《杭州市不动产权属信息查询记录》（编号：YQ20200819-0011584）</w:t>
      </w:r>
      <w:bookmarkEnd w:id="41"/>
      <w:bookmarkEnd w:id="42"/>
      <w:r>
        <w:rPr>
          <w:rFonts w:hint="eastAsia" w:ascii="微软雅黑" w:hAnsi="微软雅黑" w:eastAsia="微软雅黑" w:cs="仿宋_GB2312"/>
        </w:rPr>
        <w:t>记载建筑面积大体相当。</w:t>
      </w:r>
    </w:p>
    <w:p>
      <w:pPr>
        <w:pStyle w:val="8"/>
        <w:numPr>
          <w:ilvl w:val="3"/>
          <w:numId w:val="3"/>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估价对象应享有公共部位的通行权及水电等共用设施的使用权。</w:t>
      </w:r>
    </w:p>
    <w:p>
      <w:pPr>
        <w:spacing w:before="120" w:beforeLines="50" w:after="120" w:afterLines="50"/>
        <w:ind w:firstLine="565" w:firstLineChars="202"/>
        <w:rPr>
          <w:rFonts w:ascii="宋体" w:hAnsi="宋体" w:cs="仿宋_GB2312"/>
          <w:bCs/>
          <w:snapToGrid w:val="0"/>
          <w:color w:val="000000"/>
          <w:kern w:val="0"/>
          <w:sz w:val="28"/>
          <w:szCs w:val="28"/>
        </w:rPr>
      </w:pPr>
      <w:r>
        <w:rPr>
          <w:rFonts w:hint="eastAsia" w:ascii="宋体" w:hAnsi="宋体" w:cs="仿宋_GB2312"/>
          <w:bCs/>
          <w:snapToGrid w:val="0"/>
          <w:color w:val="000000"/>
          <w:kern w:val="0"/>
          <w:sz w:val="28"/>
          <w:szCs w:val="28"/>
        </w:rPr>
        <w:t>◆</w:t>
      </w:r>
      <w:r>
        <w:rPr>
          <w:rFonts w:hint="eastAsia" w:ascii="微软雅黑" w:hAnsi="微软雅黑" w:eastAsia="微软雅黑" w:cs="仿宋_GB2312"/>
          <w:b/>
          <w:bCs/>
          <w:sz w:val="24"/>
          <w:szCs w:val="24"/>
        </w:rPr>
        <w:t>未定事项假设</w:t>
      </w:r>
    </w:p>
    <w:p>
      <w:pPr>
        <w:pStyle w:val="8"/>
        <w:adjustRightInd w:val="0"/>
        <w:snapToGrid w:val="0"/>
        <w:spacing w:line="288" w:lineRule="auto"/>
        <w:ind w:left="1274" w:leftChars="605" w:hanging="4" w:hangingChars="2"/>
        <w:rPr>
          <w:rFonts w:ascii="微软雅黑" w:hAnsi="微软雅黑" w:eastAsia="微软雅黑" w:cs="仿宋_GB2312"/>
        </w:rPr>
      </w:pPr>
      <w:r>
        <w:rPr>
          <w:rFonts w:hint="eastAsia" w:ascii="微软雅黑" w:hAnsi="微软雅黑" w:eastAsia="微软雅黑" w:cs="仿宋_GB2312"/>
        </w:rPr>
        <w:t>无未定事项假设。</w:t>
      </w:r>
    </w:p>
    <w:p>
      <w:pPr>
        <w:spacing w:before="120" w:beforeLines="50" w:after="120" w:afterLines="50"/>
        <w:ind w:firstLine="565" w:firstLineChars="202"/>
        <w:rPr>
          <w:rFonts w:ascii="宋体" w:hAnsi="宋体" w:cs="仿宋_GB2312"/>
          <w:bCs/>
          <w:snapToGrid w:val="0"/>
          <w:color w:val="000000"/>
          <w:kern w:val="0"/>
          <w:sz w:val="28"/>
          <w:szCs w:val="28"/>
        </w:rPr>
      </w:pPr>
      <w:r>
        <w:rPr>
          <w:rFonts w:hint="eastAsia" w:ascii="宋体" w:hAnsi="宋体" w:cs="仿宋_GB2312"/>
          <w:bCs/>
          <w:snapToGrid w:val="0"/>
          <w:color w:val="000000"/>
          <w:kern w:val="0"/>
          <w:sz w:val="28"/>
          <w:szCs w:val="28"/>
        </w:rPr>
        <w:t>◆</w:t>
      </w:r>
      <w:r>
        <w:rPr>
          <w:rFonts w:hint="eastAsia" w:ascii="微软雅黑" w:hAnsi="微软雅黑" w:eastAsia="微软雅黑" w:cs="仿宋_GB2312"/>
          <w:b/>
          <w:bCs/>
          <w:sz w:val="24"/>
          <w:szCs w:val="24"/>
        </w:rPr>
        <w:t>背离事实假设</w:t>
      </w:r>
    </w:p>
    <w:p>
      <w:pPr>
        <w:pStyle w:val="8"/>
        <w:adjustRightInd w:val="0"/>
        <w:snapToGrid w:val="0"/>
        <w:spacing w:line="288" w:lineRule="auto"/>
        <w:ind w:left="1274" w:leftChars="605" w:hanging="4" w:hangingChars="2"/>
        <w:rPr>
          <w:rFonts w:ascii="微软雅黑" w:hAnsi="微软雅黑" w:eastAsia="微软雅黑" w:cs="仿宋_GB2312"/>
        </w:rPr>
      </w:pPr>
      <w:r>
        <w:rPr>
          <w:rFonts w:hint="eastAsia" w:ascii="微软雅黑" w:hAnsi="微软雅黑" w:eastAsia="微软雅黑" w:cs="仿宋_GB2312"/>
        </w:rPr>
        <w:t>1、根据估价人员查询获取的资料获知，估价对象已设定抵押他项权利，至价值时点，此项抵押他项权利尚未注销，根据估价目的，故本次评估不考虑设定的他项权利对估价对象价值的影响，在此提请报告使用者注意。</w:t>
      </w:r>
    </w:p>
    <w:p>
      <w:pPr>
        <w:pStyle w:val="8"/>
        <w:adjustRightInd w:val="0"/>
        <w:snapToGrid w:val="0"/>
        <w:spacing w:line="288" w:lineRule="auto"/>
        <w:ind w:left="1274" w:leftChars="605" w:hanging="4" w:hangingChars="2"/>
        <w:rPr>
          <w:rFonts w:ascii="微软雅黑" w:hAnsi="微软雅黑" w:eastAsia="微软雅黑" w:cs="仿宋_GB2312"/>
        </w:rPr>
      </w:pPr>
      <w:r>
        <w:rPr>
          <w:rFonts w:hint="eastAsia" w:ascii="微软雅黑" w:hAnsi="微软雅黑" w:eastAsia="微软雅黑" w:cs="仿宋_GB2312"/>
        </w:rPr>
        <w:t>2、本次评估的估价对象已被查封，但鉴于估价目的，本次评估不考虑估价对象被查封情况，假设估价对象产权明晰、手续齐全，可在公开市场上自由转让。</w:t>
      </w:r>
    </w:p>
    <w:p>
      <w:pPr>
        <w:spacing w:before="120" w:beforeLines="50" w:after="120" w:afterLines="50"/>
        <w:ind w:firstLine="565" w:firstLineChars="202"/>
        <w:rPr>
          <w:rFonts w:ascii="宋体" w:hAnsi="宋体" w:cs="仿宋_GB2312"/>
          <w:bCs/>
          <w:snapToGrid w:val="0"/>
          <w:color w:val="000000"/>
          <w:kern w:val="0"/>
          <w:sz w:val="28"/>
          <w:szCs w:val="28"/>
        </w:rPr>
      </w:pPr>
      <w:r>
        <w:rPr>
          <w:rFonts w:hint="eastAsia" w:ascii="宋体" w:hAnsi="宋体" w:cs="仿宋_GB2312"/>
          <w:bCs/>
          <w:snapToGrid w:val="0"/>
          <w:color w:val="000000"/>
          <w:kern w:val="0"/>
          <w:sz w:val="28"/>
          <w:szCs w:val="28"/>
        </w:rPr>
        <w:t>◆</w:t>
      </w:r>
      <w:r>
        <w:rPr>
          <w:rFonts w:hint="eastAsia" w:ascii="微软雅黑" w:hAnsi="微软雅黑" w:eastAsia="微软雅黑" w:cs="仿宋_GB2312"/>
          <w:b/>
          <w:bCs/>
          <w:sz w:val="24"/>
          <w:szCs w:val="24"/>
        </w:rPr>
        <w:t>不相一致假设</w:t>
      </w:r>
    </w:p>
    <w:p>
      <w:pPr>
        <w:pStyle w:val="8"/>
        <w:adjustRightInd w:val="0"/>
        <w:snapToGrid w:val="0"/>
        <w:spacing w:line="288" w:lineRule="auto"/>
        <w:ind w:left="1276" w:firstLine="0" w:firstLineChars="0"/>
        <w:rPr>
          <w:rFonts w:ascii="微软雅黑" w:hAnsi="微软雅黑" w:eastAsia="微软雅黑" w:cs="仿宋_GB2312"/>
        </w:rPr>
      </w:pPr>
      <w:r>
        <w:rPr>
          <w:rFonts w:hint="eastAsia" w:ascii="微软雅黑" w:hAnsi="微软雅黑" w:eastAsia="微软雅黑" w:cs="仿宋_GB2312"/>
        </w:rPr>
        <w:t>无不相一致假设。</w:t>
      </w:r>
    </w:p>
    <w:p>
      <w:pPr>
        <w:spacing w:before="120" w:beforeLines="50" w:after="120" w:afterLines="50"/>
        <w:ind w:firstLine="565" w:firstLineChars="202"/>
        <w:rPr>
          <w:rFonts w:ascii="宋体" w:hAnsi="宋体" w:cs="仿宋_GB2312"/>
          <w:bCs/>
          <w:snapToGrid w:val="0"/>
          <w:color w:val="000000"/>
          <w:kern w:val="0"/>
          <w:sz w:val="28"/>
          <w:szCs w:val="28"/>
        </w:rPr>
      </w:pPr>
      <w:r>
        <w:rPr>
          <w:rFonts w:hint="eastAsia" w:ascii="宋体" w:hAnsi="宋体" w:cs="仿宋_GB2312"/>
          <w:bCs/>
          <w:snapToGrid w:val="0"/>
          <w:color w:val="000000"/>
          <w:kern w:val="0"/>
          <w:sz w:val="28"/>
          <w:szCs w:val="28"/>
        </w:rPr>
        <w:t>◆</w:t>
      </w:r>
      <w:r>
        <w:rPr>
          <w:rFonts w:hint="eastAsia" w:ascii="微软雅黑" w:hAnsi="微软雅黑" w:eastAsia="微软雅黑" w:cs="仿宋_GB2312"/>
          <w:b/>
          <w:bCs/>
          <w:sz w:val="24"/>
          <w:szCs w:val="24"/>
        </w:rPr>
        <w:t>依据不足假设</w:t>
      </w:r>
    </w:p>
    <w:p>
      <w:pPr>
        <w:pStyle w:val="8"/>
        <w:adjustRightInd w:val="0"/>
        <w:snapToGrid w:val="0"/>
        <w:spacing w:line="288" w:lineRule="auto"/>
        <w:ind w:left="1276" w:firstLine="0" w:firstLineChars="0"/>
        <w:rPr>
          <w:rFonts w:ascii="微软雅黑" w:hAnsi="微软雅黑" w:eastAsia="微软雅黑" w:cs="仿宋_GB2312"/>
        </w:rPr>
      </w:pPr>
      <w:r>
        <w:rPr>
          <w:rFonts w:hint="eastAsia" w:ascii="微软雅黑" w:hAnsi="微软雅黑" w:eastAsia="微软雅黑" w:cs="仿宋_GB2312"/>
        </w:rPr>
        <w:t>无依据不足假设。</w:t>
      </w:r>
    </w:p>
    <w:p>
      <w:pPr>
        <w:spacing w:before="120" w:beforeLines="50" w:after="120" w:afterLines="50"/>
        <w:ind w:firstLine="565" w:firstLineChars="202"/>
        <w:rPr>
          <w:rFonts w:ascii="微软雅黑" w:hAnsi="微软雅黑" w:eastAsia="微软雅黑" w:cs="仿宋_GB2312"/>
          <w:b/>
          <w:bCs/>
          <w:sz w:val="24"/>
          <w:szCs w:val="24"/>
        </w:rPr>
      </w:pPr>
      <w:r>
        <w:rPr>
          <w:rFonts w:hint="eastAsia" w:ascii="宋体" w:hAnsi="宋体" w:cs="仿宋_GB2312"/>
          <w:bCs/>
          <w:snapToGrid w:val="0"/>
          <w:color w:val="000000"/>
          <w:kern w:val="0"/>
          <w:sz w:val="28"/>
          <w:szCs w:val="28"/>
        </w:rPr>
        <w:t>◆</w:t>
      </w:r>
      <w:r>
        <w:rPr>
          <w:rFonts w:hint="eastAsia" w:ascii="微软雅黑" w:hAnsi="微软雅黑" w:eastAsia="微软雅黑" w:cs="仿宋_GB2312"/>
          <w:b/>
          <w:bCs/>
          <w:sz w:val="24"/>
          <w:szCs w:val="24"/>
        </w:rPr>
        <w:t>估价报告使用限制</w:t>
      </w:r>
    </w:p>
    <w:p>
      <w:pPr>
        <w:pStyle w:val="8"/>
        <w:numPr>
          <w:ilvl w:val="0"/>
          <w:numId w:val="4"/>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本估价报告仅供杭州市西湖区人民法院确定司法处置参考价提供参考依据而评估房地产市场价值，如果擅自将估价报告用于其他估价目的，本估价机构及估价人员不承担相应责任。</w:t>
      </w:r>
    </w:p>
    <w:p>
      <w:pPr>
        <w:pStyle w:val="8"/>
        <w:numPr>
          <w:ilvl w:val="0"/>
          <w:numId w:val="4"/>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未经本估价机构书面同意，本报告的全部或任何一部分均不得向估价委托人、报告使用者、报告审查部门之外的单位和个人提供，也不得以任何形式公开发表。</w:t>
      </w:r>
    </w:p>
    <w:p>
      <w:pPr>
        <w:pStyle w:val="8"/>
        <w:numPr>
          <w:ilvl w:val="0"/>
          <w:numId w:val="4"/>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本报告必须完整使用方为有效，对仅使用本报告中部分内容而导致可能的损失，本估价机构不承担责任。</w:t>
      </w:r>
    </w:p>
    <w:p>
      <w:pPr>
        <w:pStyle w:val="8"/>
        <w:numPr>
          <w:ilvl w:val="0"/>
          <w:numId w:val="4"/>
        </w:numPr>
        <w:adjustRightInd w:val="0"/>
        <w:snapToGrid w:val="0"/>
        <w:spacing w:line="288" w:lineRule="auto"/>
        <w:ind w:left="1276" w:hanging="425" w:firstLineChars="0"/>
        <w:rPr>
          <w:rFonts w:ascii="微软雅黑" w:hAnsi="微软雅黑" w:eastAsia="微软雅黑" w:cs="仿宋_GB2312"/>
          <w:b/>
        </w:rPr>
      </w:pPr>
      <w:r>
        <w:rPr>
          <w:rFonts w:hint="eastAsia" w:ascii="微软雅黑" w:hAnsi="微软雅黑" w:eastAsia="微软雅黑" w:cs="仿宋_GB2312"/>
          <w:b/>
        </w:rPr>
        <w:t>本次估价结果受价值时点的限制，且本估价报告使用期限自估价报告出具之日</w:t>
      </w:r>
      <w:r>
        <w:rPr>
          <w:rFonts w:ascii="微软雅黑" w:hAnsi="微软雅黑" w:eastAsia="微软雅黑" w:cs="仿宋_GB2312"/>
          <w:b/>
        </w:rPr>
        <w:t>2020年9月2日</w:t>
      </w:r>
      <w:r>
        <w:rPr>
          <w:rFonts w:hint="eastAsia" w:ascii="微软雅黑" w:hAnsi="微软雅黑" w:eastAsia="微软雅黑" w:cs="仿宋_GB2312"/>
          <w:b/>
        </w:rPr>
        <w:t>起为壹年。若报告使用期限内，房地产市场、建筑市场或估价对象自身状况发生重大变化，</w:t>
      </w:r>
      <w:bookmarkStart w:id="43" w:name="OLE_LINK49"/>
      <w:bookmarkStart w:id="44" w:name="OLE_LINK77"/>
      <w:bookmarkStart w:id="45" w:name="OLE_LINK61"/>
      <w:bookmarkStart w:id="46" w:name="OLE_LINK54"/>
      <w:bookmarkStart w:id="47" w:name="OLE_LINK50"/>
      <w:bookmarkStart w:id="48" w:name="OLE_LINK70"/>
      <w:bookmarkStart w:id="49" w:name="OLE_LINK68"/>
      <w:bookmarkStart w:id="50" w:name="OLE_LINK47"/>
      <w:bookmarkStart w:id="51" w:name="OLE_LINK75"/>
      <w:bookmarkStart w:id="52" w:name="OLE_LINK30"/>
      <w:bookmarkStart w:id="53" w:name="OLE_LINK65"/>
      <w:bookmarkStart w:id="54" w:name="OLE_LINK66"/>
      <w:bookmarkStart w:id="55" w:name="OLE_LINK52"/>
      <w:bookmarkStart w:id="56" w:name="OLE_LINK46"/>
      <w:bookmarkStart w:id="57" w:name="OLE_LINK72"/>
      <w:bookmarkStart w:id="58" w:name="OLE_LINK62"/>
      <w:bookmarkStart w:id="59" w:name="OLE_LINK58"/>
      <w:bookmarkStart w:id="60" w:name="OLE_LINK45"/>
      <w:bookmarkStart w:id="61" w:name="OLE_LINK76"/>
      <w:bookmarkStart w:id="62" w:name="OLE_LINK67"/>
      <w:bookmarkStart w:id="63" w:name="OLE_LINK74"/>
      <w:bookmarkStart w:id="64" w:name="OLE_LINK53"/>
      <w:bookmarkStart w:id="65" w:name="OLE_LINK64"/>
      <w:bookmarkStart w:id="66" w:name="OLE_LINK55"/>
      <w:bookmarkStart w:id="67" w:name="OLE_LINK63"/>
      <w:bookmarkStart w:id="68" w:name="OLE_LINK59"/>
      <w:bookmarkStart w:id="69" w:name="OLE_LINK60"/>
      <w:bookmarkStart w:id="70" w:name="OLE_LINK69"/>
      <w:bookmarkStart w:id="71" w:name="OLE_LINK29"/>
      <w:bookmarkStart w:id="72" w:name="OLE_LINK73"/>
      <w:bookmarkStart w:id="73" w:name="OLE_LINK71"/>
      <w:bookmarkStart w:id="74" w:name="OLE_LINK57"/>
      <w:bookmarkStart w:id="75" w:name="OLE_LINK48"/>
      <w:bookmarkStart w:id="76" w:name="OLE_LINK56"/>
      <w:bookmarkStart w:id="77" w:name="OLE_LINK51"/>
      <w:r>
        <w:rPr>
          <w:rFonts w:hint="eastAsia" w:ascii="微软雅黑" w:hAnsi="微软雅黑" w:eastAsia="微软雅黑" w:cs="仿宋_GB2312"/>
          <w:b/>
        </w:rPr>
        <w:t>估价结果也需做相应调整或委托估价机构重新估价</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rPr>
          <w:rFonts w:hint="eastAsia" w:ascii="微软雅黑" w:hAnsi="微软雅黑" w:eastAsia="微软雅黑" w:cs="仿宋_GB2312"/>
          <w:b/>
        </w:rPr>
        <w:t>。</w:t>
      </w:r>
    </w:p>
    <w:p>
      <w:pPr>
        <w:pStyle w:val="8"/>
        <w:numPr>
          <w:ilvl w:val="0"/>
          <w:numId w:val="4"/>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b/>
        </w:rPr>
        <w:t>本次估价结果是指在目前房地产市场状况下、估价对象在现状利用条件下的房地产市场价值，包括国有土地使用权价值和与房屋有关的土建、安装、固定装修、室外附属工程及与估价对象房地产不可分割的满足其合理功能需要的其他功能设施，不包括室内可移动的家具、电器等物品。</w:t>
      </w:r>
    </w:p>
    <w:p>
      <w:pPr>
        <w:spacing w:before="120" w:beforeLines="50" w:after="120" w:afterLines="50"/>
        <w:ind w:firstLine="565" w:firstLineChars="202"/>
        <w:rPr>
          <w:rFonts w:ascii="宋体" w:hAnsi="宋体" w:cs="仿宋_GB2312"/>
          <w:bCs/>
          <w:snapToGrid w:val="0"/>
          <w:color w:val="000000"/>
          <w:kern w:val="0"/>
          <w:sz w:val="28"/>
          <w:szCs w:val="28"/>
        </w:rPr>
      </w:pPr>
      <w:r>
        <w:rPr>
          <w:rFonts w:hint="eastAsia" w:ascii="宋体" w:hAnsi="宋体" w:cs="仿宋_GB2312"/>
          <w:bCs/>
          <w:snapToGrid w:val="0"/>
          <w:color w:val="000000"/>
          <w:kern w:val="0"/>
          <w:sz w:val="28"/>
          <w:szCs w:val="28"/>
        </w:rPr>
        <w:t>◆</w:t>
      </w:r>
      <w:r>
        <w:rPr>
          <w:rFonts w:hint="eastAsia" w:ascii="微软雅黑" w:hAnsi="微软雅黑" w:eastAsia="微软雅黑" w:cs="仿宋_GB2312"/>
          <w:b/>
          <w:bCs/>
          <w:sz w:val="24"/>
          <w:szCs w:val="24"/>
        </w:rPr>
        <w:t xml:space="preserve"> 特别提示</w:t>
      </w:r>
    </w:p>
    <w:p>
      <w:pPr>
        <w:pStyle w:val="8"/>
        <w:numPr>
          <w:ilvl w:val="0"/>
          <w:numId w:val="5"/>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经估价人员了解，估价对象所在小区物业管理公司为杭州耀达物业管理有限公司，根据该物业公司提供的资料，自2010年5月31日至2020年8月31日估价对象拖欠物业管理费合计49200元。本次估价结果未考虑估价对象可能存在的水费、电费、宽带费用等因物业使用而产生的拖欠费用，未考虑上述费用对其市场价值的影响，提请报告使用者自行关注及核实。</w:t>
      </w:r>
    </w:p>
    <w:p>
      <w:pPr>
        <w:pStyle w:val="8"/>
        <w:numPr>
          <w:ilvl w:val="0"/>
          <w:numId w:val="5"/>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bCs/>
        </w:rPr>
        <w:t>于价值时点，由开发商工作人员陪同估价人员进行估价对象室内、外现场勘查，提醒报告使用方注意。</w:t>
      </w:r>
    </w:p>
    <w:p>
      <w:pPr>
        <w:pStyle w:val="8"/>
        <w:numPr>
          <w:ilvl w:val="0"/>
          <w:numId w:val="5"/>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至价值时点，估价人员现场查勘时估价对象处于空置中。</w:t>
      </w:r>
    </w:p>
    <w:p>
      <w:pPr>
        <w:pStyle w:val="8"/>
        <w:numPr>
          <w:ilvl w:val="0"/>
          <w:numId w:val="5"/>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rPr>
        <w:t>据估价人员至国家税务总局杭州市税务局第二税务分局了解到，估价对象交易过程中应缴纳的各项税费具体见下表(详见附件)，具体金额以实际缴纳为准。本次评估结果不包含估价对象交易过程中应缴纳的各项税费，特提请报告使用方重点关注。</w:t>
      </w:r>
    </w:p>
    <w:tbl>
      <w:tblPr>
        <w:tblStyle w:val="6"/>
        <w:tblW w:w="8357" w:type="dxa"/>
        <w:jc w:val="righ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7"/>
        <w:gridCol w:w="2090"/>
        <w:gridCol w:w="1134"/>
        <w:gridCol w:w="1134"/>
        <w:gridCol w:w="2262"/>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内容</w:t>
            </w:r>
          </w:p>
        </w:tc>
        <w:tc>
          <w:tcPr>
            <w:tcW w:w="2090" w:type="dxa"/>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税种</w:t>
            </w:r>
          </w:p>
        </w:tc>
        <w:tc>
          <w:tcPr>
            <w:tcW w:w="4530" w:type="dxa"/>
            <w:gridSpan w:val="3"/>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缴纳标准</w:t>
            </w:r>
          </w:p>
        </w:tc>
        <w:tc>
          <w:tcPr>
            <w:tcW w:w="850" w:type="dxa"/>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restart"/>
            <w:shd w:val="clear" w:color="auto" w:fill="auto"/>
            <w:vAlign w:val="center"/>
          </w:tcPr>
          <w:p>
            <w:pPr>
              <w:widowControl/>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出让方应负担的税费</w:t>
            </w:r>
          </w:p>
        </w:tc>
        <w:tc>
          <w:tcPr>
            <w:tcW w:w="2090" w:type="dxa"/>
            <w:vMerge w:val="restart"/>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增值税及附加（城市维护建设税、教育附加、地方教育附加）</w:t>
            </w:r>
          </w:p>
        </w:tc>
        <w:tc>
          <w:tcPr>
            <w:tcW w:w="4530" w:type="dxa"/>
            <w:gridSpan w:val="3"/>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1、未满2年，转让收入×5.6%</w:t>
            </w:r>
          </w:p>
        </w:tc>
        <w:tc>
          <w:tcPr>
            <w:tcW w:w="850" w:type="dxa"/>
            <w:vMerge w:val="restart"/>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vMerge w:val="continue"/>
            <w:vAlign w:val="center"/>
          </w:tcPr>
          <w:p>
            <w:pPr>
              <w:widowControl/>
              <w:jc w:val="left"/>
              <w:rPr>
                <w:rFonts w:ascii="微软雅黑" w:hAnsi="微软雅黑" w:eastAsia="微软雅黑" w:cs="宋体"/>
                <w:color w:val="000000"/>
                <w:kern w:val="0"/>
                <w:sz w:val="20"/>
                <w:szCs w:val="20"/>
              </w:rPr>
            </w:pPr>
          </w:p>
        </w:tc>
        <w:tc>
          <w:tcPr>
            <w:tcW w:w="4530" w:type="dxa"/>
            <w:gridSpan w:val="3"/>
            <w:shd w:val="clear" w:color="auto" w:fill="auto"/>
            <w:vAlign w:val="center"/>
          </w:tcPr>
          <w:p>
            <w:pPr>
              <w:widowControl/>
              <w:jc w:val="left"/>
              <w:rPr>
                <w:rFonts w:ascii="微软雅黑" w:hAnsi="微软雅黑" w:eastAsia="微软雅黑"/>
                <w:color w:val="000000"/>
                <w:kern w:val="0"/>
                <w:sz w:val="20"/>
                <w:szCs w:val="20"/>
              </w:rPr>
            </w:pPr>
            <w:r>
              <w:rPr>
                <w:rFonts w:ascii="微软雅黑" w:hAnsi="微软雅黑" w:eastAsia="微软雅黑"/>
                <w:color w:val="000000"/>
                <w:kern w:val="0"/>
                <w:sz w:val="20"/>
                <w:szCs w:val="20"/>
              </w:rPr>
              <w:t>2</w:t>
            </w:r>
            <w:r>
              <w:rPr>
                <w:rFonts w:hint="eastAsia" w:ascii="微软雅黑" w:hAnsi="微软雅黑" w:eastAsia="微软雅黑"/>
                <w:color w:val="000000"/>
                <w:kern w:val="0"/>
                <w:sz w:val="20"/>
                <w:szCs w:val="20"/>
              </w:rPr>
              <w:t>、超过</w:t>
            </w:r>
            <w:r>
              <w:rPr>
                <w:rFonts w:ascii="微软雅黑" w:hAnsi="微软雅黑" w:eastAsia="微软雅黑"/>
                <w:color w:val="000000"/>
                <w:kern w:val="0"/>
                <w:sz w:val="20"/>
                <w:szCs w:val="20"/>
              </w:rPr>
              <w:t>2</w:t>
            </w:r>
            <w:r>
              <w:rPr>
                <w:rFonts w:hint="eastAsia" w:ascii="微软雅黑" w:hAnsi="微软雅黑" w:eastAsia="微软雅黑"/>
                <w:color w:val="000000"/>
                <w:kern w:val="0"/>
                <w:sz w:val="20"/>
                <w:szCs w:val="20"/>
              </w:rPr>
              <w:t>年（含），免征</w:t>
            </w:r>
          </w:p>
        </w:tc>
        <w:tc>
          <w:tcPr>
            <w:tcW w:w="850" w:type="dxa"/>
            <w:vMerge w:val="continue"/>
            <w:vAlign w:val="center"/>
          </w:tcPr>
          <w:p>
            <w:pPr>
              <w:widowControl/>
              <w:jc w:val="left"/>
              <w:rPr>
                <w:rFonts w:ascii="微软雅黑" w:hAnsi="微软雅黑" w:eastAsia="微软雅黑" w:cs="宋体"/>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vMerge w:val="restart"/>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个人所得税</w:t>
            </w:r>
          </w:p>
        </w:tc>
        <w:tc>
          <w:tcPr>
            <w:tcW w:w="4530" w:type="dxa"/>
            <w:gridSpan w:val="3"/>
            <w:shd w:val="clear" w:color="auto" w:fill="auto"/>
            <w:vAlign w:val="center"/>
          </w:tcPr>
          <w:p>
            <w:pPr>
              <w:widowControl/>
              <w:jc w:val="left"/>
              <w:rPr>
                <w:rFonts w:ascii="微软雅黑" w:hAnsi="微软雅黑" w:eastAsia="微软雅黑"/>
                <w:color w:val="000000"/>
                <w:kern w:val="0"/>
                <w:sz w:val="20"/>
                <w:szCs w:val="20"/>
              </w:rPr>
            </w:pPr>
            <w:r>
              <w:rPr>
                <w:rFonts w:ascii="微软雅黑" w:hAnsi="微软雅黑" w:eastAsia="微软雅黑"/>
                <w:color w:val="000000"/>
                <w:kern w:val="0"/>
                <w:sz w:val="20"/>
                <w:szCs w:val="20"/>
              </w:rPr>
              <w:t>1</w:t>
            </w:r>
            <w:r>
              <w:rPr>
                <w:rFonts w:hint="eastAsia" w:ascii="微软雅黑" w:hAnsi="微软雅黑" w:eastAsia="微软雅黑"/>
                <w:color w:val="000000"/>
                <w:kern w:val="0"/>
                <w:sz w:val="20"/>
                <w:szCs w:val="20"/>
              </w:rPr>
              <w:t>、转让五年家庭唯一生活用房免征；</w:t>
            </w:r>
          </w:p>
        </w:tc>
        <w:tc>
          <w:tcPr>
            <w:tcW w:w="850" w:type="dxa"/>
            <w:vMerge w:val="restart"/>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vMerge w:val="continue"/>
            <w:vAlign w:val="center"/>
          </w:tcPr>
          <w:p>
            <w:pPr>
              <w:widowControl/>
              <w:jc w:val="left"/>
              <w:rPr>
                <w:rFonts w:ascii="微软雅黑" w:hAnsi="微软雅黑" w:eastAsia="微软雅黑" w:cs="宋体"/>
                <w:color w:val="000000"/>
                <w:kern w:val="0"/>
                <w:sz w:val="20"/>
                <w:szCs w:val="20"/>
              </w:rPr>
            </w:pPr>
          </w:p>
        </w:tc>
        <w:tc>
          <w:tcPr>
            <w:tcW w:w="4530" w:type="dxa"/>
            <w:gridSpan w:val="3"/>
            <w:shd w:val="clear" w:color="auto" w:fill="auto"/>
            <w:vAlign w:val="center"/>
          </w:tcPr>
          <w:p>
            <w:pPr>
              <w:widowControl/>
              <w:jc w:val="left"/>
              <w:rPr>
                <w:rFonts w:ascii="微软雅黑" w:hAnsi="微软雅黑" w:eastAsia="微软雅黑"/>
                <w:color w:val="000000"/>
                <w:kern w:val="0"/>
                <w:sz w:val="20"/>
                <w:szCs w:val="20"/>
              </w:rPr>
            </w:pPr>
            <w:r>
              <w:rPr>
                <w:rFonts w:ascii="微软雅黑" w:hAnsi="微软雅黑" w:eastAsia="微软雅黑"/>
                <w:color w:val="000000"/>
                <w:kern w:val="0"/>
                <w:sz w:val="20"/>
                <w:szCs w:val="20"/>
              </w:rPr>
              <w:t>2</w:t>
            </w:r>
            <w:r>
              <w:rPr>
                <w:rFonts w:hint="eastAsia" w:ascii="微软雅黑" w:hAnsi="微软雅黑" w:eastAsia="微软雅黑"/>
                <w:color w:val="000000"/>
                <w:kern w:val="0"/>
                <w:sz w:val="20"/>
                <w:szCs w:val="20"/>
              </w:rPr>
              <w:t>、（转让收入</w:t>
            </w:r>
            <w:r>
              <w:rPr>
                <w:rFonts w:ascii="微软雅黑" w:hAnsi="微软雅黑" w:eastAsia="微软雅黑"/>
                <w:color w:val="000000"/>
                <w:kern w:val="0"/>
                <w:sz w:val="20"/>
                <w:szCs w:val="20"/>
              </w:rPr>
              <w:t>-</w:t>
            </w:r>
            <w:r>
              <w:rPr>
                <w:rFonts w:hint="eastAsia" w:ascii="微软雅黑" w:hAnsi="微软雅黑" w:eastAsia="微软雅黑"/>
                <w:color w:val="000000"/>
                <w:kern w:val="0"/>
                <w:sz w:val="20"/>
                <w:szCs w:val="20"/>
              </w:rPr>
              <w:t>房屋原值</w:t>
            </w:r>
            <w:r>
              <w:rPr>
                <w:rFonts w:ascii="微软雅黑" w:hAnsi="微软雅黑" w:eastAsia="微软雅黑"/>
                <w:color w:val="000000"/>
                <w:kern w:val="0"/>
                <w:sz w:val="20"/>
                <w:szCs w:val="20"/>
              </w:rPr>
              <w:t>-</w:t>
            </w:r>
            <w:r>
              <w:rPr>
                <w:rFonts w:hint="eastAsia" w:ascii="微软雅黑" w:hAnsi="微软雅黑" w:eastAsia="微软雅黑"/>
                <w:color w:val="000000"/>
                <w:kern w:val="0"/>
                <w:sz w:val="20"/>
                <w:szCs w:val="20"/>
              </w:rPr>
              <w:t>合理费用</w:t>
            </w:r>
            <w:r>
              <w:rPr>
                <w:rFonts w:ascii="微软雅黑" w:hAnsi="微软雅黑" w:eastAsia="微软雅黑"/>
                <w:color w:val="000000"/>
                <w:kern w:val="0"/>
                <w:sz w:val="20"/>
                <w:szCs w:val="20"/>
              </w:rPr>
              <w:t>-</w:t>
            </w:r>
            <w:r>
              <w:rPr>
                <w:rFonts w:hint="eastAsia" w:ascii="微软雅黑" w:hAnsi="微软雅黑" w:eastAsia="微软雅黑"/>
                <w:color w:val="000000"/>
                <w:kern w:val="0"/>
                <w:sz w:val="20"/>
                <w:szCs w:val="20"/>
              </w:rPr>
              <w:t>转让过程中应缴纳的税金）×</w:t>
            </w:r>
            <w:r>
              <w:rPr>
                <w:rFonts w:ascii="微软雅黑" w:hAnsi="微软雅黑" w:eastAsia="微软雅黑"/>
                <w:color w:val="000000"/>
                <w:kern w:val="0"/>
                <w:sz w:val="20"/>
                <w:szCs w:val="20"/>
              </w:rPr>
              <w:t>20%</w:t>
            </w:r>
          </w:p>
        </w:tc>
        <w:tc>
          <w:tcPr>
            <w:tcW w:w="850" w:type="dxa"/>
            <w:vMerge w:val="continue"/>
            <w:vAlign w:val="center"/>
          </w:tcPr>
          <w:p>
            <w:pPr>
              <w:widowControl/>
              <w:jc w:val="left"/>
              <w:rPr>
                <w:rFonts w:ascii="微软雅黑" w:hAnsi="微软雅黑" w:eastAsia="微软雅黑" w:cs="宋体"/>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vMerge w:val="continue"/>
            <w:vAlign w:val="center"/>
          </w:tcPr>
          <w:p>
            <w:pPr>
              <w:widowControl/>
              <w:jc w:val="left"/>
              <w:rPr>
                <w:rFonts w:ascii="微软雅黑" w:hAnsi="微软雅黑" w:eastAsia="微软雅黑" w:cs="宋体"/>
                <w:color w:val="000000"/>
                <w:kern w:val="0"/>
                <w:sz w:val="20"/>
                <w:szCs w:val="20"/>
              </w:rPr>
            </w:pPr>
          </w:p>
        </w:tc>
        <w:tc>
          <w:tcPr>
            <w:tcW w:w="4530" w:type="dxa"/>
            <w:gridSpan w:val="3"/>
            <w:shd w:val="clear" w:color="auto" w:fill="auto"/>
            <w:vAlign w:val="center"/>
          </w:tcPr>
          <w:p>
            <w:pPr>
              <w:widowControl/>
              <w:jc w:val="left"/>
              <w:rPr>
                <w:rFonts w:ascii="微软雅黑" w:hAnsi="微软雅黑" w:eastAsia="微软雅黑"/>
                <w:color w:val="000000"/>
                <w:kern w:val="0"/>
                <w:sz w:val="20"/>
                <w:szCs w:val="20"/>
              </w:rPr>
            </w:pPr>
            <w:r>
              <w:rPr>
                <w:rFonts w:ascii="微软雅黑" w:hAnsi="微软雅黑" w:eastAsia="微软雅黑"/>
                <w:color w:val="000000"/>
                <w:kern w:val="0"/>
                <w:sz w:val="20"/>
                <w:szCs w:val="20"/>
              </w:rPr>
              <w:t>3</w:t>
            </w:r>
            <w:r>
              <w:rPr>
                <w:rFonts w:hint="eastAsia" w:ascii="微软雅黑" w:hAnsi="微软雅黑" w:eastAsia="微软雅黑"/>
                <w:color w:val="000000"/>
                <w:kern w:val="0"/>
                <w:sz w:val="20"/>
                <w:szCs w:val="20"/>
              </w:rPr>
              <w:t>、未提供完整、准确的房屋原值凭证，按房屋转让收入的</w:t>
            </w:r>
            <w:r>
              <w:rPr>
                <w:rFonts w:ascii="微软雅黑" w:hAnsi="微软雅黑" w:eastAsia="微软雅黑"/>
                <w:color w:val="000000"/>
                <w:kern w:val="0"/>
                <w:sz w:val="20"/>
                <w:szCs w:val="20"/>
              </w:rPr>
              <w:t>1%</w:t>
            </w:r>
            <w:r>
              <w:rPr>
                <w:rFonts w:hint="eastAsia" w:ascii="微软雅黑" w:hAnsi="微软雅黑" w:eastAsia="微软雅黑"/>
                <w:color w:val="000000"/>
                <w:kern w:val="0"/>
                <w:sz w:val="20"/>
                <w:szCs w:val="20"/>
              </w:rPr>
              <w:t>核定征收</w:t>
            </w:r>
          </w:p>
        </w:tc>
        <w:tc>
          <w:tcPr>
            <w:tcW w:w="850" w:type="dxa"/>
            <w:vMerge w:val="continue"/>
            <w:vAlign w:val="center"/>
          </w:tcPr>
          <w:p>
            <w:pPr>
              <w:widowControl/>
              <w:jc w:val="left"/>
              <w:rPr>
                <w:rFonts w:ascii="微软雅黑" w:hAnsi="微软雅黑" w:eastAsia="微软雅黑" w:cs="宋体"/>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土地增值税</w:t>
            </w:r>
          </w:p>
        </w:tc>
        <w:tc>
          <w:tcPr>
            <w:tcW w:w="4530" w:type="dxa"/>
            <w:gridSpan w:val="3"/>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免征</w:t>
            </w:r>
          </w:p>
        </w:tc>
        <w:tc>
          <w:tcPr>
            <w:tcW w:w="850" w:type="dxa"/>
            <w:shd w:val="clear" w:color="auto" w:fill="auto"/>
            <w:vAlign w:val="center"/>
          </w:tcPr>
          <w:p>
            <w:pPr>
              <w:widowControl/>
              <w:jc w:val="center"/>
              <w:rPr>
                <w:rFonts w:ascii="微软雅黑" w:hAnsi="微软雅黑" w:eastAsia="微软雅黑"/>
                <w:color w:val="000000"/>
                <w:kern w:val="0"/>
                <w:sz w:val="20"/>
                <w:szCs w:val="20"/>
              </w:rPr>
            </w:pPr>
            <w:r>
              <w:rPr>
                <w:rFonts w:ascii="微软雅黑" w:hAnsi="微软雅黑" w:eastAsia="微软雅黑"/>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印花税</w:t>
            </w:r>
          </w:p>
        </w:tc>
        <w:tc>
          <w:tcPr>
            <w:tcW w:w="4530" w:type="dxa"/>
            <w:gridSpan w:val="3"/>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免征（2008年11月1日前0.05%）</w:t>
            </w:r>
          </w:p>
        </w:tc>
        <w:tc>
          <w:tcPr>
            <w:tcW w:w="850" w:type="dxa"/>
            <w:shd w:val="clear" w:color="auto" w:fill="auto"/>
            <w:vAlign w:val="center"/>
          </w:tcPr>
          <w:p>
            <w:pPr>
              <w:widowControl/>
              <w:jc w:val="center"/>
              <w:rPr>
                <w:rFonts w:ascii="微软雅黑" w:hAnsi="微软雅黑" w:eastAsia="微软雅黑"/>
                <w:color w:val="000000"/>
                <w:kern w:val="0"/>
                <w:sz w:val="20"/>
                <w:szCs w:val="20"/>
              </w:rPr>
            </w:pPr>
            <w:r>
              <w:rPr>
                <w:rFonts w:ascii="微软雅黑" w:hAnsi="微软雅黑" w:eastAsia="微软雅黑"/>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restart"/>
            <w:shd w:val="clear" w:color="auto" w:fill="auto"/>
            <w:vAlign w:val="center"/>
          </w:tcPr>
          <w:p>
            <w:pPr>
              <w:widowControl/>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承受方应负担的税费</w:t>
            </w:r>
          </w:p>
        </w:tc>
        <w:tc>
          <w:tcPr>
            <w:tcW w:w="2090" w:type="dxa"/>
            <w:vMerge w:val="restart"/>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契税（个人）</w:t>
            </w:r>
          </w:p>
        </w:tc>
        <w:tc>
          <w:tcPr>
            <w:tcW w:w="1134" w:type="dxa"/>
            <w:vMerge w:val="restart"/>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转让收入</w:t>
            </w:r>
          </w:p>
        </w:tc>
        <w:tc>
          <w:tcPr>
            <w:tcW w:w="1134" w:type="dxa"/>
            <w:vMerge w:val="restart"/>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家庭唯一住房</w:t>
            </w:r>
          </w:p>
        </w:tc>
        <w:tc>
          <w:tcPr>
            <w:tcW w:w="2262" w:type="dxa"/>
            <w:shd w:val="clear" w:color="auto" w:fill="auto"/>
            <w:vAlign w:val="center"/>
          </w:tcPr>
          <w:p>
            <w:pPr>
              <w:widowControl/>
              <w:jc w:val="left"/>
              <w:rPr>
                <w:rFonts w:ascii="微软雅黑" w:hAnsi="微软雅黑" w:eastAsia="微软雅黑"/>
                <w:color w:val="000000"/>
                <w:kern w:val="0"/>
                <w:sz w:val="20"/>
                <w:szCs w:val="20"/>
              </w:rPr>
            </w:pPr>
            <w:r>
              <w:rPr>
                <w:rFonts w:ascii="微软雅黑" w:hAnsi="微软雅黑" w:eastAsia="微软雅黑"/>
                <w:color w:val="000000"/>
                <w:kern w:val="0"/>
                <w:sz w:val="20"/>
                <w:szCs w:val="20"/>
              </w:rPr>
              <w:t>90</w:t>
            </w:r>
            <w:r>
              <w:rPr>
                <w:rFonts w:hint="eastAsia" w:ascii="微软雅黑" w:hAnsi="宋体"/>
                <w:color w:val="000000"/>
                <w:kern w:val="0"/>
                <w:sz w:val="20"/>
                <w:szCs w:val="20"/>
              </w:rPr>
              <w:t>㎡</w:t>
            </w:r>
            <w:r>
              <w:rPr>
                <w:rFonts w:hint="eastAsia" w:ascii="微软雅黑" w:hAnsi="微软雅黑" w:eastAsia="微软雅黑"/>
                <w:color w:val="000000"/>
                <w:kern w:val="0"/>
                <w:sz w:val="20"/>
                <w:szCs w:val="20"/>
              </w:rPr>
              <w:t>及以下</w:t>
            </w:r>
            <w:r>
              <w:rPr>
                <w:rFonts w:ascii="微软雅黑" w:hAnsi="微软雅黑" w:eastAsia="微软雅黑"/>
                <w:color w:val="000000"/>
                <w:kern w:val="0"/>
                <w:sz w:val="20"/>
                <w:szCs w:val="20"/>
              </w:rPr>
              <w:t xml:space="preserve">      1%</w:t>
            </w:r>
          </w:p>
        </w:tc>
        <w:tc>
          <w:tcPr>
            <w:tcW w:w="850" w:type="dxa"/>
            <w:vMerge w:val="restart"/>
            <w:shd w:val="clear" w:color="auto" w:fill="auto"/>
            <w:vAlign w:val="center"/>
          </w:tcPr>
          <w:p>
            <w:pPr>
              <w:widowControl/>
              <w:jc w:val="center"/>
              <w:rPr>
                <w:rFonts w:ascii="微软雅黑" w:hAnsi="微软雅黑" w:eastAsia="微软雅黑"/>
                <w:color w:val="000000"/>
                <w:kern w:val="0"/>
                <w:sz w:val="20"/>
                <w:szCs w:val="20"/>
              </w:rPr>
            </w:pPr>
            <w:r>
              <w:rPr>
                <w:rFonts w:ascii="微软雅黑" w:hAnsi="微软雅黑" w:eastAsia="微软雅黑"/>
                <w:color w:val="00000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vMerge w:val="continue"/>
            <w:vAlign w:val="center"/>
          </w:tcPr>
          <w:p>
            <w:pPr>
              <w:widowControl/>
              <w:jc w:val="left"/>
              <w:rPr>
                <w:rFonts w:ascii="微软雅黑" w:hAnsi="微软雅黑" w:eastAsia="微软雅黑" w:cs="宋体"/>
                <w:color w:val="000000"/>
                <w:kern w:val="0"/>
                <w:sz w:val="20"/>
                <w:szCs w:val="20"/>
              </w:rPr>
            </w:pPr>
          </w:p>
        </w:tc>
        <w:tc>
          <w:tcPr>
            <w:tcW w:w="1134" w:type="dxa"/>
            <w:vMerge w:val="continue"/>
            <w:vAlign w:val="center"/>
          </w:tcPr>
          <w:p>
            <w:pPr>
              <w:widowControl/>
              <w:jc w:val="left"/>
              <w:rPr>
                <w:rFonts w:ascii="微软雅黑" w:hAnsi="微软雅黑" w:eastAsia="微软雅黑" w:cs="宋体"/>
                <w:color w:val="000000"/>
                <w:kern w:val="0"/>
                <w:sz w:val="20"/>
                <w:szCs w:val="20"/>
              </w:rPr>
            </w:pPr>
          </w:p>
        </w:tc>
        <w:tc>
          <w:tcPr>
            <w:tcW w:w="1134" w:type="dxa"/>
            <w:vMerge w:val="continue"/>
            <w:vAlign w:val="center"/>
          </w:tcPr>
          <w:p>
            <w:pPr>
              <w:widowControl/>
              <w:jc w:val="left"/>
              <w:rPr>
                <w:rFonts w:ascii="微软雅黑" w:hAnsi="微软雅黑" w:eastAsia="微软雅黑" w:cs="宋体"/>
                <w:color w:val="000000"/>
                <w:kern w:val="0"/>
                <w:sz w:val="20"/>
                <w:szCs w:val="20"/>
              </w:rPr>
            </w:pPr>
          </w:p>
        </w:tc>
        <w:tc>
          <w:tcPr>
            <w:tcW w:w="2262" w:type="dxa"/>
            <w:shd w:val="clear" w:color="auto" w:fill="auto"/>
            <w:vAlign w:val="center"/>
          </w:tcPr>
          <w:p>
            <w:pPr>
              <w:widowControl/>
              <w:jc w:val="left"/>
              <w:rPr>
                <w:rFonts w:ascii="微软雅黑" w:hAnsi="微软雅黑" w:eastAsia="微软雅黑"/>
                <w:color w:val="000000"/>
                <w:kern w:val="0"/>
                <w:sz w:val="20"/>
                <w:szCs w:val="20"/>
              </w:rPr>
            </w:pPr>
            <w:r>
              <w:rPr>
                <w:rFonts w:ascii="微软雅黑" w:hAnsi="微软雅黑" w:eastAsia="微软雅黑"/>
                <w:color w:val="000000"/>
                <w:kern w:val="0"/>
                <w:sz w:val="20"/>
                <w:szCs w:val="20"/>
              </w:rPr>
              <w:t>90</w:t>
            </w:r>
            <w:r>
              <w:rPr>
                <w:rFonts w:hint="eastAsia" w:ascii="微软雅黑" w:hAnsi="宋体"/>
                <w:color w:val="000000"/>
                <w:kern w:val="0"/>
                <w:sz w:val="20"/>
                <w:szCs w:val="20"/>
              </w:rPr>
              <w:t>㎡</w:t>
            </w:r>
            <w:r>
              <w:rPr>
                <w:rFonts w:hint="eastAsia" w:ascii="微软雅黑" w:hAnsi="微软雅黑" w:eastAsia="微软雅黑"/>
                <w:color w:val="000000"/>
                <w:kern w:val="0"/>
                <w:sz w:val="20"/>
                <w:szCs w:val="20"/>
              </w:rPr>
              <w:t>以上</w:t>
            </w:r>
            <w:r>
              <w:rPr>
                <w:rFonts w:ascii="微软雅黑" w:hAnsi="微软雅黑" w:eastAsia="微软雅黑"/>
                <w:color w:val="000000"/>
                <w:kern w:val="0"/>
                <w:sz w:val="20"/>
                <w:szCs w:val="20"/>
              </w:rPr>
              <w:t xml:space="preserve">    </w:t>
            </w:r>
            <w:r>
              <w:rPr>
                <w:rFonts w:hint="eastAsia" w:ascii="微软雅黑" w:hAnsi="微软雅黑" w:eastAsia="微软雅黑"/>
                <w:color w:val="000000"/>
                <w:kern w:val="0"/>
                <w:sz w:val="20"/>
                <w:szCs w:val="20"/>
              </w:rPr>
              <w:t xml:space="preserve">   </w:t>
            </w:r>
            <w:r>
              <w:rPr>
                <w:rFonts w:ascii="微软雅黑" w:hAnsi="微软雅黑" w:eastAsia="微软雅黑"/>
                <w:color w:val="000000"/>
                <w:kern w:val="0"/>
                <w:sz w:val="20"/>
                <w:szCs w:val="20"/>
              </w:rPr>
              <w:t>1.5%</w:t>
            </w:r>
          </w:p>
        </w:tc>
        <w:tc>
          <w:tcPr>
            <w:tcW w:w="850" w:type="dxa"/>
            <w:vMerge w:val="continue"/>
            <w:vAlign w:val="center"/>
          </w:tcPr>
          <w:p>
            <w:pPr>
              <w:widowControl/>
              <w:jc w:val="left"/>
              <w:rPr>
                <w:rFonts w:ascii="微软雅黑" w:hAnsi="微软雅黑" w:eastAsia="微软雅黑"/>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vMerge w:val="continue"/>
            <w:vAlign w:val="center"/>
          </w:tcPr>
          <w:p>
            <w:pPr>
              <w:widowControl/>
              <w:jc w:val="left"/>
              <w:rPr>
                <w:rFonts w:ascii="微软雅黑" w:hAnsi="微软雅黑" w:eastAsia="微软雅黑" w:cs="宋体"/>
                <w:color w:val="000000"/>
                <w:kern w:val="0"/>
                <w:sz w:val="20"/>
                <w:szCs w:val="20"/>
              </w:rPr>
            </w:pPr>
          </w:p>
        </w:tc>
        <w:tc>
          <w:tcPr>
            <w:tcW w:w="1134" w:type="dxa"/>
            <w:vMerge w:val="continue"/>
            <w:vAlign w:val="center"/>
          </w:tcPr>
          <w:p>
            <w:pPr>
              <w:widowControl/>
              <w:jc w:val="left"/>
              <w:rPr>
                <w:rFonts w:ascii="微软雅黑" w:hAnsi="微软雅黑" w:eastAsia="微软雅黑" w:cs="宋体"/>
                <w:color w:val="000000"/>
                <w:kern w:val="0"/>
                <w:sz w:val="20"/>
                <w:szCs w:val="20"/>
              </w:rPr>
            </w:pPr>
          </w:p>
        </w:tc>
        <w:tc>
          <w:tcPr>
            <w:tcW w:w="1134" w:type="dxa"/>
            <w:vMerge w:val="restart"/>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家庭第二套改善性住房</w:t>
            </w:r>
          </w:p>
        </w:tc>
        <w:tc>
          <w:tcPr>
            <w:tcW w:w="2262" w:type="dxa"/>
            <w:shd w:val="clear" w:color="auto" w:fill="auto"/>
            <w:vAlign w:val="center"/>
          </w:tcPr>
          <w:p>
            <w:pPr>
              <w:widowControl/>
              <w:jc w:val="left"/>
              <w:rPr>
                <w:rFonts w:ascii="微软雅黑" w:hAnsi="微软雅黑" w:eastAsia="微软雅黑"/>
                <w:color w:val="000000"/>
                <w:kern w:val="0"/>
                <w:sz w:val="20"/>
                <w:szCs w:val="20"/>
              </w:rPr>
            </w:pPr>
            <w:r>
              <w:rPr>
                <w:rFonts w:ascii="微软雅黑" w:hAnsi="微软雅黑" w:eastAsia="微软雅黑"/>
                <w:color w:val="000000"/>
                <w:kern w:val="0"/>
                <w:sz w:val="20"/>
                <w:szCs w:val="20"/>
              </w:rPr>
              <w:t>90</w:t>
            </w:r>
            <w:r>
              <w:rPr>
                <w:rFonts w:hint="eastAsia" w:ascii="微软雅黑" w:hAnsi="宋体"/>
                <w:color w:val="000000"/>
                <w:kern w:val="0"/>
                <w:sz w:val="20"/>
                <w:szCs w:val="20"/>
              </w:rPr>
              <w:t>㎡</w:t>
            </w:r>
            <w:r>
              <w:rPr>
                <w:rFonts w:hint="eastAsia" w:ascii="微软雅黑" w:hAnsi="微软雅黑" w:eastAsia="微软雅黑"/>
                <w:color w:val="000000"/>
                <w:kern w:val="0"/>
                <w:sz w:val="20"/>
                <w:szCs w:val="20"/>
              </w:rPr>
              <w:t>及以下</w:t>
            </w:r>
            <w:r>
              <w:rPr>
                <w:rFonts w:ascii="微软雅黑" w:hAnsi="微软雅黑" w:eastAsia="微软雅黑"/>
                <w:color w:val="000000"/>
                <w:kern w:val="0"/>
                <w:sz w:val="20"/>
                <w:szCs w:val="20"/>
              </w:rPr>
              <w:t xml:space="preserve">      1%</w:t>
            </w:r>
          </w:p>
        </w:tc>
        <w:tc>
          <w:tcPr>
            <w:tcW w:w="850" w:type="dxa"/>
            <w:vMerge w:val="continue"/>
            <w:vAlign w:val="center"/>
          </w:tcPr>
          <w:p>
            <w:pPr>
              <w:widowControl/>
              <w:jc w:val="left"/>
              <w:rPr>
                <w:rFonts w:ascii="微软雅黑" w:hAnsi="微软雅黑" w:eastAsia="微软雅黑"/>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vMerge w:val="continue"/>
            <w:vAlign w:val="center"/>
          </w:tcPr>
          <w:p>
            <w:pPr>
              <w:widowControl/>
              <w:jc w:val="left"/>
              <w:rPr>
                <w:rFonts w:ascii="微软雅黑" w:hAnsi="微软雅黑" w:eastAsia="微软雅黑" w:cs="宋体"/>
                <w:color w:val="000000"/>
                <w:kern w:val="0"/>
                <w:sz w:val="20"/>
                <w:szCs w:val="20"/>
              </w:rPr>
            </w:pPr>
          </w:p>
        </w:tc>
        <w:tc>
          <w:tcPr>
            <w:tcW w:w="1134" w:type="dxa"/>
            <w:vMerge w:val="continue"/>
            <w:vAlign w:val="center"/>
          </w:tcPr>
          <w:p>
            <w:pPr>
              <w:widowControl/>
              <w:jc w:val="left"/>
              <w:rPr>
                <w:rFonts w:ascii="微软雅黑" w:hAnsi="微软雅黑" w:eastAsia="微软雅黑" w:cs="宋体"/>
                <w:color w:val="000000"/>
                <w:kern w:val="0"/>
                <w:sz w:val="20"/>
                <w:szCs w:val="20"/>
              </w:rPr>
            </w:pPr>
          </w:p>
        </w:tc>
        <w:tc>
          <w:tcPr>
            <w:tcW w:w="1134" w:type="dxa"/>
            <w:vMerge w:val="continue"/>
            <w:vAlign w:val="center"/>
          </w:tcPr>
          <w:p>
            <w:pPr>
              <w:widowControl/>
              <w:jc w:val="left"/>
              <w:rPr>
                <w:rFonts w:ascii="微软雅黑" w:hAnsi="微软雅黑" w:eastAsia="微软雅黑" w:cs="宋体"/>
                <w:color w:val="000000"/>
                <w:kern w:val="0"/>
                <w:sz w:val="20"/>
                <w:szCs w:val="20"/>
              </w:rPr>
            </w:pPr>
          </w:p>
        </w:tc>
        <w:tc>
          <w:tcPr>
            <w:tcW w:w="2262" w:type="dxa"/>
            <w:shd w:val="clear" w:color="auto" w:fill="auto"/>
            <w:vAlign w:val="center"/>
          </w:tcPr>
          <w:p>
            <w:pPr>
              <w:widowControl/>
              <w:jc w:val="left"/>
              <w:rPr>
                <w:rFonts w:ascii="微软雅黑" w:hAnsi="微软雅黑" w:eastAsia="微软雅黑"/>
                <w:color w:val="000000"/>
                <w:kern w:val="0"/>
                <w:sz w:val="20"/>
                <w:szCs w:val="20"/>
              </w:rPr>
            </w:pPr>
            <w:r>
              <w:rPr>
                <w:rFonts w:ascii="微软雅黑" w:hAnsi="微软雅黑" w:eastAsia="微软雅黑"/>
                <w:color w:val="000000"/>
                <w:kern w:val="0"/>
                <w:sz w:val="20"/>
                <w:szCs w:val="20"/>
              </w:rPr>
              <w:t>90</w:t>
            </w:r>
            <w:r>
              <w:rPr>
                <w:rFonts w:hint="eastAsia" w:ascii="微软雅黑" w:hAnsi="宋体"/>
                <w:color w:val="000000"/>
                <w:kern w:val="0"/>
                <w:sz w:val="20"/>
                <w:szCs w:val="20"/>
              </w:rPr>
              <w:t>㎡</w:t>
            </w:r>
            <w:r>
              <w:rPr>
                <w:rFonts w:hint="eastAsia" w:ascii="微软雅黑" w:hAnsi="微软雅黑" w:eastAsia="微软雅黑"/>
                <w:color w:val="000000"/>
                <w:kern w:val="0"/>
                <w:sz w:val="20"/>
                <w:szCs w:val="20"/>
              </w:rPr>
              <w:t>以上</w:t>
            </w:r>
            <w:r>
              <w:rPr>
                <w:rFonts w:ascii="微软雅黑" w:hAnsi="微软雅黑" w:eastAsia="微软雅黑"/>
                <w:color w:val="000000"/>
                <w:kern w:val="0"/>
                <w:sz w:val="20"/>
                <w:szCs w:val="20"/>
              </w:rPr>
              <w:t xml:space="preserve">  </w:t>
            </w:r>
            <w:r>
              <w:rPr>
                <w:rFonts w:hint="eastAsia" w:ascii="微软雅黑" w:hAnsi="微软雅黑" w:eastAsia="微软雅黑"/>
                <w:color w:val="000000"/>
                <w:kern w:val="0"/>
                <w:sz w:val="20"/>
                <w:szCs w:val="20"/>
              </w:rPr>
              <w:t xml:space="preserve">     </w:t>
            </w:r>
            <w:r>
              <w:rPr>
                <w:rFonts w:ascii="微软雅黑" w:hAnsi="微软雅黑" w:eastAsia="微软雅黑"/>
                <w:color w:val="000000"/>
                <w:kern w:val="0"/>
                <w:sz w:val="20"/>
                <w:szCs w:val="20"/>
              </w:rPr>
              <w:t xml:space="preserve"> 2%</w:t>
            </w:r>
          </w:p>
        </w:tc>
        <w:tc>
          <w:tcPr>
            <w:tcW w:w="850" w:type="dxa"/>
            <w:vMerge w:val="continue"/>
            <w:vAlign w:val="center"/>
          </w:tcPr>
          <w:p>
            <w:pPr>
              <w:widowControl/>
              <w:jc w:val="left"/>
              <w:rPr>
                <w:rFonts w:ascii="微软雅黑" w:hAnsi="微软雅黑" w:eastAsia="微软雅黑"/>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vMerge w:val="continue"/>
            <w:vAlign w:val="center"/>
          </w:tcPr>
          <w:p>
            <w:pPr>
              <w:widowControl/>
              <w:jc w:val="left"/>
              <w:rPr>
                <w:rFonts w:ascii="微软雅黑" w:hAnsi="微软雅黑" w:eastAsia="微软雅黑" w:cs="宋体"/>
                <w:color w:val="000000"/>
                <w:kern w:val="0"/>
                <w:sz w:val="20"/>
                <w:szCs w:val="20"/>
              </w:rPr>
            </w:pPr>
          </w:p>
        </w:tc>
        <w:tc>
          <w:tcPr>
            <w:tcW w:w="1134" w:type="dxa"/>
            <w:vMerge w:val="continue"/>
            <w:vAlign w:val="center"/>
          </w:tcPr>
          <w:p>
            <w:pPr>
              <w:widowControl/>
              <w:jc w:val="left"/>
              <w:rPr>
                <w:rFonts w:ascii="微软雅黑" w:hAnsi="微软雅黑" w:eastAsia="微软雅黑" w:cs="宋体"/>
                <w:color w:val="000000"/>
                <w:kern w:val="0"/>
                <w:sz w:val="20"/>
                <w:szCs w:val="20"/>
              </w:rPr>
            </w:pPr>
          </w:p>
        </w:tc>
        <w:tc>
          <w:tcPr>
            <w:tcW w:w="1134" w:type="dxa"/>
            <w:shd w:val="clear" w:color="auto" w:fill="auto"/>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其他</w:t>
            </w:r>
          </w:p>
        </w:tc>
        <w:tc>
          <w:tcPr>
            <w:tcW w:w="2262" w:type="dxa"/>
            <w:shd w:val="clear" w:color="auto" w:fill="auto"/>
            <w:vAlign w:val="center"/>
          </w:tcPr>
          <w:p>
            <w:pPr>
              <w:widowControl/>
              <w:jc w:val="left"/>
              <w:rPr>
                <w:rFonts w:ascii="微软雅黑" w:hAnsi="微软雅黑" w:eastAsia="微软雅黑"/>
                <w:color w:val="000000"/>
                <w:kern w:val="0"/>
                <w:sz w:val="20"/>
                <w:szCs w:val="20"/>
              </w:rPr>
            </w:pPr>
            <w:r>
              <w:rPr>
                <w:rFonts w:ascii="微软雅黑" w:hAnsi="微软雅黑" w:eastAsia="微软雅黑"/>
                <w:color w:val="000000"/>
                <w:kern w:val="0"/>
                <w:sz w:val="20"/>
                <w:szCs w:val="20"/>
              </w:rPr>
              <w:t>3%</w:t>
            </w:r>
          </w:p>
        </w:tc>
        <w:tc>
          <w:tcPr>
            <w:tcW w:w="850" w:type="dxa"/>
            <w:vMerge w:val="continue"/>
            <w:vAlign w:val="center"/>
          </w:tcPr>
          <w:p>
            <w:pPr>
              <w:widowControl/>
              <w:jc w:val="left"/>
              <w:rPr>
                <w:rFonts w:ascii="微软雅黑" w:hAnsi="微软雅黑" w:eastAsia="微软雅黑"/>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契税（单位）</w:t>
            </w:r>
          </w:p>
        </w:tc>
        <w:tc>
          <w:tcPr>
            <w:tcW w:w="1134" w:type="dxa"/>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转让收入</w:t>
            </w:r>
          </w:p>
        </w:tc>
        <w:tc>
          <w:tcPr>
            <w:tcW w:w="3396" w:type="dxa"/>
            <w:gridSpan w:val="2"/>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3%</w:t>
            </w:r>
          </w:p>
        </w:tc>
        <w:tc>
          <w:tcPr>
            <w:tcW w:w="850" w:type="dxa"/>
            <w:shd w:val="clear" w:color="auto" w:fill="auto"/>
            <w:vAlign w:val="center"/>
          </w:tcPr>
          <w:p>
            <w:pPr>
              <w:widowControl/>
              <w:jc w:val="center"/>
              <w:rPr>
                <w:rFonts w:ascii="微软雅黑" w:hAnsi="微软雅黑" w:eastAsia="微软雅黑"/>
                <w:color w:val="000000"/>
                <w:kern w:val="0"/>
                <w:sz w:val="20"/>
                <w:szCs w:val="20"/>
              </w:rPr>
            </w:pPr>
            <w:r>
              <w:rPr>
                <w:rFonts w:ascii="微软雅黑" w:hAnsi="微软雅黑" w:eastAsia="微软雅黑"/>
                <w:color w:val="000000"/>
                <w:kern w:val="0"/>
                <w:sz w:val="20"/>
                <w:szCs w:val="20"/>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印花税（个人）</w:t>
            </w:r>
          </w:p>
        </w:tc>
        <w:tc>
          <w:tcPr>
            <w:tcW w:w="1134" w:type="dxa"/>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转让收入</w:t>
            </w:r>
          </w:p>
        </w:tc>
        <w:tc>
          <w:tcPr>
            <w:tcW w:w="3396" w:type="dxa"/>
            <w:gridSpan w:val="2"/>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免征（2008年11月1日前0.05%）</w:t>
            </w:r>
          </w:p>
        </w:tc>
        <w:tc>
          <w:tcPr>
            <w:tcW w:w="850" w:type="dxa"/>
            <w:shd w:val="clear" w:color="auto" w:fill="auto"/>
            <w:vAlign w:val="center"/>
          </w:tcPr>
          <w:p>
            <w:pPr>
              <w:widowControl/>
              <w:jc w:val="center"/>
              <w:rPr>
                <w:rFonts w:ascii="微软雅黑" w:hAnsi="微软雅黑" w:eastAsia="微软雅黑"/>
                <w:color w:val="000000"/>
                <w:kern w:val="0"/>
                <w:sz w:val="20"/>
                <w:szCs w:val="20"/>
              </w:rPr>
            </w:pPr>
            <w:r>
              <w:rPr>
                <w:rFonts w:ascii="微软雅黑" w:hAnsi="微软雅黑" w:eastAsia="微软雅黑"/>
                <w:color w:val="000000"/>
                <w:kern w:val="0"/>
                <w:sz w:val="20"/>
                <w:szCs w:val="20"/>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right"/>
        </w:trPr>
        <w:tc>
          <w:tcPr>
            <w:tcW w:w="887" w:type="dxa"/>
            <w:vMerge w:val="continue"/>
            <w:vAlign w:val="center"/>
          </w:tcPr>
          <w:p>
            <w:pPr>
              <w:widowControl/>
              <w:jc w:val="left"/>
              <w:rPr>
                <w:rFonts w:ascii="微软雅黑" w:hAnsi="微软雅黑" w:eastAsia="微软雅黑" w:cs="宋体"/>
                <w:b/>
                <w:bCs/>
                <w:color w:val="000000"/>
                <w:kern w:val="0"/>
                <w:sz w:val="20"/>
                <w:szCs w:val="20"/>
              </w:rPr>
            </w:pPr>
          </w:p>
        </w:tc>
        <w:tc>
          <w:tcPr>
            <w:tcW w:w="2090" w:type="dxa"/>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印花税（单位）</w:t>
            </w:r>
          </w:p>
        </w:tc>
        <w:tc>
          <w:tcPr>
            <w:tcW w:w="1134" w:type="dxa"/>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转让收入</w:t>
            </w:r>
          </w:p>
        </w:tc>
        <w:tc>
          <w:tcPr>
            <w:tcW w:w="3396" w:type="dxa"/>
            <w:gridSpan w:val="2"/>
            <w:shd w:val="clear" w:color="auto" w:fill="auto"/>
            <w:vAlign w:val="center"/>
          </w:tcPr>
          <w:p>
            <w:pPr>
              <w:widowControl/>
              <w:jc w:val="left"/>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0.05%</w:t>
            </w:r>
          </w:p>
        </w:tc>
        <w:tc>
          <w:tcPr>
            <w:tcW w:w="850" w:type="dxa"/>
            <w:shd w:val="clear" w:color="auto" w:fill="auto"/>
            <w:vAlign w:val="center"/>
          </w:tcPr>
          <w:p>
            <w:pPr>
              <w:widowControl/>
              <w:jc w:val="center"/>
              <w:rPr>
                <w:rFonts w:ascii="微软雅黑" w:hAnsi="微软雅黑" w:eastAsia="微软雅黑"/>
                <w:color w:val="000000"/>
                <w:kern w:val="0"/>
                <w:sz w:val="20"/>
                <w:szCs w:val="20"/>
              </w:rPr>
            </w:pPr>
            <w:r>
              <w:rPr>
                <w:rFonts w:ascii="微软雅黑" w:hAnsi="微软雅黑" w:eastAsia="微软雅黑"/>
                <w:color w:val="000000"/>
                <w:kern w:val="0"/>
                <w:sz w:val="20"/>
                <w:szCs w:val="20"/>
              </w:rPr>
              <w:t>——</w:t>
            </w:r>
          </w:p>
        </w:tc>
      </w:tr>
    </w:tbl>
    <w:p>
      <w:pPr>
        <w:pStyle w:val="8"/>
        <w:adjustRightInd w:val="0"/>
        <w:snapToGrid w:val="0"/>
        <w:spacing w:line="288" w:lineRule="auto"/>
        <w:ind w:left="1276" w:firstLine="0" w:firstLineChars="0"/>
        <w:rPr>
          <w:rFonts w:ascii="微软雅黑" w:hAnsi="微软雅黑" w:eastAsia="微软雅黑" w:cs="仿宋_GB2312"/>
        </w:rPr>
      </w:pPr>
      <w:r>
        <w:rPr>
          <w:rFonts w:hint="eastAsia" w:ascii="微软雅黑" w:hAnsi="微软雅黑" w:eastAsia="微软雅黑" w:cs="仿宋_GB2312"/>
        </w:rPr>
        <w:t>备注:增值税及附加说明：浙江省财政厅发布《关于浙江省贯彻实施小微企业普惠性税收减免政策的通知》（浙财税政【2019】4号）提到，对增值税小规模纳税人，房屋交易过程中城市维护建设税、教育费附加、地方教育附加、印花税及耕地占用税按照50%幅度减征。优惠政策执行期限为2019年1月1日至2021年12月31日</w:t>
      </w:r>
      <w:r>
        <w:rPr>
          <w:rFonts w:hint="eastAsia" w:ascii="微软雅黑" w:hAnsi="微软雅黑" w:eastAsia="微软雅黑" w:cs="仿宋_GB2312"/>
          <w:bCs/>
        </w:rPr>
        <w:t>。</w:t>
      </w:r>
    </w:p>
    <w:p>
      <w:pPr>
        <w:pStyle w:val="8"/>
        <w:numPr>
          <w:ilvl w:val="0"/>
          <w:numId w:val="5"/>
        </w:numPr>
        <w:adjustRightInd w:val="0"/>
        <w:snapToGrid w:val="0"/>
        <w:spacing w:line="288" w:lineRule="auto"/>
        <w:ind w:left="1276" w:hanging="425" w:firstLineChars="0"/>
        <w:rPr>
          <w:rFonts w:ascii="微软雅黑" w:hAnsi="微软雅黑" w:eastAsia="微软雅黑" w:cs="仿宋_GB2312"/>
        </w:rPr>
      </w:pPr>
      <w:r>
        <w:rPr>
          <w:rFonts w:hint="eastAsia" w:ascii="微软雅黑" w:hAnsi="微软雅黑" w:eastAsia="微软雅黑" w:cs="仿宋_GB2312"/>
          <w:bCs/>
        </w:rPr>
        <w:t>报告中数据全部采用电算化连续计算得出，由于在报告中计算的数据均按四舍五入取整，因此，可能出现个别等式左右不完全相等的情况，但不影响计算结果及最终评估结论的准确性。</w:t>
      </w:r>
    </w:p>
    <w:p>
      <w:pPr>
        <w:pStyle w:val="8"/>
        <w:numPr>
          <w:ilvl w:val="0"/>
          <w:numId w:val="5"/>
        </w:numPr>
        <w:adjustRightInd w:val="0"/>
        <w:snapToGrid w:val="0"/>
        <w:spacing w:line="288" w:lineRule="auto"/>
        <w:ind w:left="1276" w:hanging="425" w:firstLineChars="0"/>
        <w:rPr>
          <w:rFonts w:ascii="微软雅黑" w:hAnsi="微软雅黑" w:eastAsia="微软雅黑" w:cs="仿宋_GB2312"/>
        </w:rPr>
        <w:sectPr>
          <w:footerReference r:id="rId6" w:type="default"/>
          <w:pgSz w:w="11906" w:h="16838"/>
          <w:pgMar w:top="1814" w:right="1247" w:bottom="1418" w:left="1701" w:header="1417" w:footer="737" w:gutter="0"/>
          <w:cols w:space="720" w:num="1"/>
          <w:docGrid w:linePitch="286" w:charSpace="0"/>
        </w:sectPr>
      </w:pPr>
    </w:p>
    <w:p>
      <w:pPr>
        <w:pStyle w:val="3"/>
        <w:spacing w:before="120" w:after="120" w:line="240" w:lineRule="auto"/>
        <w:ind w:left="424" w:leftChars="202"/>
        <w:rPr>
          <w:rFonts w:ascii="微软雅黑" w:hAnsi="微软雅黑" w:eastAsia="微软雅黑" w:cs="仿宋_GB2312"/>
          <w:sz w:val="24"/>
          <w:szCs w:val="24"/>
        </w:rPr>
      </w:pPr>
      <w:bookmarkStart w:id="78" w:name="_Toc50101998"/>
      <w:r>
        <w:rPr>
          <w:rFonts w:hint="eastAsia" w:ascii="微软雅黑" w:hAnsi="微软雅黑" w:eastAsia="微软雅黑" w:cs="仿宋_GB2312"/>
          <w:sz w:val="24"/>
          <w:szCs w:val="24"/>
        </w:rPr>
        <w:t>（三）估价目的</w:t>
      </w:r>
      <w:bookmarkEnd w:id="78"/>
    </w:p>
    <w:p>
      <w:pPr>
        <w:pStyle w:val="9"/>
        <w:adjustRightInd w:val="0"/>
        <w:snapToGrid w:val="0"/>
        <w:spacing w:line="360" w:lineRule="auto"/>
        <w:ind w:left="1276" w:firstLine="0" w:firstLineChars="0"/>
        <w:jc w:val="left"/>
        <w:rPr>
          <w:rFonts w:ascii="微软雅黑" w:hAnsi="微软雅黑" w:eastAsia="微软雅黑" w:cs="仿宋_GB2312"/>
          <w:szCs w:val="21"/>
        </w:rPr>
      </w:pPr>
      <w:r>
        <w:rPr>
          <w:rFonts w:hint="eastAsia" w:ascii="微软雅黑" w:hAnsi="微软雅黑" w:eastAsia="微软雅黑" w:cs="仿宋_GB2312"/>
          <w:szCs w:val="21"/>
        </w:rPr>
        <w:t>为杭州市西湖区人民法院司法处置提供参考依据而评估房地产价值。</w:t>
      </w:r>
    </w:p>
    <w:p>
      <w:pPr>
        <w:pStyle w:val="3"/>
        <w:spacing w:before="120" w:after="120" w:line="240" w:lineRule="auto"/>
        <w:ind w:left="424" w:leftChars="202"/>
        <w:rPr>
          <w:rFonts w:ascii="微软雅黑" w:hAnsi="微软雅黑" w:eastAsia="微软雅黑" w:cs="仿宋_GB2312"/>
          <w:sz w:val="24"/>
          <w:szCs w:val="24"/>
        </w:rPr>
      </w:pPr>
      <w:bookmarkStart w:id="79" w:name="_Toc471213360"/>
      <w:bookmarkStart w:id="80" w:name="_Toc50101999"/>
      <w:bookmarkStart w:id="81" w:name="_Toc471213330"/>
      <w:r>
        <w:rPr>
          <w:rFonts w:hint="eastAsia" w:ascii="微软雅黑" w:hAnsi="微软雅黑" w:eastAsia="微软雅黑" w:cs="仿宋_GB2312"/>
          <w:sz w:val="24"/>
          <w:szCs w:val="24"/>
        </w:rPr>
        <w:t>（四）估价对象</w:t>
      </w:r>
      <w:bookmarkEnd w:id="79"/>
      <w:bookmarkEnd w:id="80"/>
      <w:bookmarkEnd w:id="81"/>
    </w:p>
    <w:p>
      <w:pPr>
        <w:pStyle w:val="8"/>
        <w:numPr>
          <w:ilvl w:val="0"/>
          <w:numId w:val="6"/>
        </w:numPr>
        <w:adjustRightInd w:val="0"/>
        <w:snapToGrid w:val="0"/>
        <w:spacing w:line="288" w:lineRule="auto"/>
        <w:ind w:firstLineChars="0"/>
        <w:rPr>
          <w:rFonts w:ascii="微软雅黑" w:hAnsi="微软雅黑" w:eastAsia="微软雅黑" w:cs="仿宋_GB2312"/>
          <w:b/>
          <w:sz w:val="22"/>
          <w:szCs w:val="22"/>
        </w:rPr>
      </w:pPr>
      <w:r>
        <w:rPr>
          <w:rFonts w:hint="eastAsia" w:ascii="微软雅黑" w:hAnsi="微软雅黑" w:eastAsia="微软雅黑" w:cs="仿宋_GB2312"/>
          <w:b/>
          <w:sz w:val="22"/>
          <w:szCs w:val="22"/>
        </w:rPr>
        <w:t>估价范围</w:t>
      </w:r>
    </w:p>
    <w:p>
      <w:pPr>
        <w:pStyle w:val="9"/>
        <w:adjustRightInd w:val="0"/>
        <w:snapToGrid w:val="0"/>
        <w:spacing w:line="288" w:lineRule="auto"/>
        <w:ind w:left="1276" w:firstLine="0" w:firstLineChars="0"/>
        <w:jc w:val="left"/>
        <w:rPr>
          <w:rFonts w:ascii="微软雅黑" w:hAnsi="微软雅黑" w:eastAsia="微软雅黑" w:cs="仿宋_GB2312"/>
          <w:szCs w:val="21"/>
        </w:rPr>
      </w:pPr>
      <w:r>
        <w:rPr>
          <w:rFonts w:hint="eastAsia" w:ascii="微软雅黑" w:hAnsi="微软雅黑" w:eastAsia="微软雅黑" w:cs="仿宋_GB2312"/>
          <w:szCs w:val="21"/>
        </w:rPr>
        <w:t>根据估价委托人提供的委托资料，纳入本次评估范围的估价对象为杭州市余杭区仁和镇仁和金鼎公寓3幢2单元1702室住宅房地产，建筑面积为294.11平方米，包</w:t>
      </w:r>
      <w:r>
        <w:rPr>
          <w:rFonts w:hint="eastAsia" w:ascii="微软雅黑" w:hAnsi="微软雅黑" w:eastAsia="微软雅黑" w:cs="仿宋_GB2312"/>
        </w:rPr>
        <w:t>括国有土地使用权价值和与房屋有关的</w:t>
      </w:r>
      <w:r>
        <w:rPr>
          <w:rFonts w:hint="eastAsia" w:ascii="微软雅黑" w:hAnsi="微软雅黑" w:eastAsia="微软雅黑" w:cs="仿宋_GB2312"/>
          <w:szCs w:val="21"/>
        </w:rPr>
        <w:t>土建、安装、固定装修、室外附属工程及与估价对象房地产不可分割的满足其合理功能需要的其他功能设施。</w:t>
      </w:r>
    </w:p>
    <w:p>
      <w:pPr>
        <w:pStyle w:val="8"/>
        <w:numPr>
          <w:ilvl w:val="0"/>
          <w:numId w:val="6"/>
        </w:numPr>
        <w:adjustRightInd w:val="0"/>
        <w:snapToGrid w:val="0"/>
        <w:spacing w:line="288" w:lineRule="auto"/>
        <w:ind w:firstLineChars="0"/>
        <w:rPr>
          <w:rFonts w:ascii="微软雅黑" w:hAnsi="微软雅黑" w:eastAsia="微软雅黑" w:cs="仿宋_GB2312"/>
          <w:b/>
          <w:sz w:val="22"/>
          <w:szCs w:val="22"/>
        </w:rPr>
      </w:pPr>
      <w:r>
        <w:rPr>
          <w:rFonts w:hint="eastAsia" w:ascii="微软雅黑" w:hAnsi="微软雅黑" w:eastAsia="微软雅黑" w:cs="仿宋_GB2312"/>
          <w:b/>
          <w:sz w:val="22"/>
          <w:szCs w:val="22"/>
        </w:rPr>
        <w:t>估价对象权利登记状况</w:t>
      </w:r>
    </w:p>
    <w:p>
      <w:pPr>
        <w:pStyle w:val="8"/>
        <w:adjustRightInd w:val="0"/>
        <w:snapToGrid w:val="0"/>
        <w:spacing w:line="288" w:lineRule="auto"/>
        <w:ind w:left="1271" w:firstLine="0" w:firstLineChars="0"/>
        <w:rPr>
          <w:rFonts w:ascii="微软雅黑" w:hAnsi="微软雅黑" w:eastAsia="微软雅黑" w:cs="仿宋_GB2312"/>
          <w:b/>
          <w:sz w:val="22"/>
          <w:szCs w:val="22"/>
        </w:rPr>
      </w:pPr>
      <w:r>
        <w:rPr>
          <w:rFonts w:hint="eastAsia" w:ascii="微软雅黑" w:hAnsi="微软雅黑" w:eastAsia="微软雅黑" w:cs="仿宋_GB2312"/>
        </w:rPr>
        <w:t>根据估价人员查询获取的《杭州市不动产权属信息查询记录》（编号：YQ20200819-0011584）、《契证》、《完税证》，估价对象权利状况及分析如下：</w:t>
      </w:r>
    </w:p>
    <w:p>
      <w:pPr>
        <w:pStyle w:val="9"/>
        <w:numPr>
          <w:ilvl w:val="0"/>
          <w:numId w:val="7"/>
        </w:numPr>
        <w:adjustRightInd w:val="0"/>
        <w:snapToGrid w:val="0"/>
        <w:spacing w:before="240" w:beforeLines="100" w:after="120" w:afterLines="50"/>
        <w:ind w:firstLineChars="0"/>
        <w:rPr>
          <w:rFonts w:ascii="微软雅黑" w:hAnsi="微软雅黑" w:eastAsia="微软雅黑" w:cs="仿宋_GB2312"/>
          <w:b/>
          <w:sz w:val="22"/>
          <w:szCs w:val="22"/>
        </w:rPr>
      </w:pPr>
      <w:r>
        <w:rPr>
          <w:rFonts w:hint="eastAsia" w:ascii="微软雅黑" w:hAnsi="微软雅黑" w:eastAsia="微软雅黑" w:cs="仿宋_GB2312"/>
          <w:b/>
          <w:sz w:val="22"/>
          <w:szCs w:val="22"/>
        </w:rPr>
        <w:t>房屋所有权状况</w:t>
      </w:r>
    </w:p>
    <w:tbl>
      <w:tblPr>
        <w:tblStyle w:val="6"/>
        <w:tblW w:w="8044" w:type="dxa"/>
        <w:jc w:val="right"/>
        <w:tblInd w:w="0" w:type="dxa"/>
        <w:tblLayout w:type="fixed"/>
        <w:tblCellMar>
          <w:top w:w="0" w:type="dxa"/>
          <w:left w:w="108" w:type="dxa"/>
          <w:bottom w:w="0" w:type="dxa"/>
          <w:right w:w="108" w:type="dxa"/>
        </w:tblCellMar>
      </w:tblPr>
      <w:tblGrid>
        <w:gridCol w:w="1984"/>
        <w:gridCol w:w="6060"/>
      </w:tblGrid>
      <w:tr>
        <w:tblPrEx>
          <w:tblLayout w:type="fixed"/>
          <w:tblCellMar>
            <w:top w:w="0" w:type="dxa"/>
            <w:left w:w="108" w:type="dxa"/>
            <w:bottom w:w="0" w:type="dxa"/>
            <w:right w:w="108" w:type="dxa"/>
          </w:tblCellMar>
        </w:tblPrEx>
        <w:trPr>
          <w:trHeight w:val="397" w:hRule="atLeast"/>
          <w:jc w:val="right"/>
        </w:trPr>
        <w:tc>
          <w:tcPr>
            <w:tcW w:w="1984" w:type="dxa"/>
            <w:tcBorders>
              <w:top w:val="single" w:color="auto" w:sz="12" w:space="0"/>
              <w:left w:val="single" w:color="auto" w:sz="12" w:space="0"/>
              <w:bottom w:val="dotted" w:color="auto" w:sz="4" w:space="0"/>
              <w:right w:val="dotted" w:color="auto" w:sz="4" w:space="0"/>
            </w:tcBorders>
            <w:shd w:val="clear" w:color="000000" w:fill="FFFFFF"/>
            <w:vAlign w:val="center"/>
          </w:tcPr>
          <w:p>
            <w:pPr>
              <w:pStyle w:val="11"/>
              <w:rPr>
                <w:rFonts w:ascii="微软雅黑" w:hAnsi="微软雅黑" w:eastAsia="微软雅黑" w:cs="仿宋_GB2312"/>
              </w:rPr>
            </w:pPr>
            <w:r>
              <w:rPr>
                <w:rFonts w:hint="eastAsia" w:ascii="微软雅黑" w:hAnsi="微软雅黑" w:eastAsia="微软雅黑" w:cs="仿宋_GB2312"/>
              </w:rPr>
              <w:t>权证号（证明号）</w:t>
            </w:r>
          </w:p>
        </w:tc>
        <w:tc>
          <w:tcPr>
            <w:tcW w:w="6060" w:type="dxa"/>
            <w:tcBorders>
              <w:top w:val="single" w:color="auto" w:sz="12" w:space="0"/>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宋体"/>
                <w:color w:val="000000"/>
                <w:kern w:val="0"/>
                <w:sz w:val="20"/>
                <w:szCs w:val="20"/>
              </w:rPr>
              <w:t>余房权证仁移字第11023891号、余房权证仁移字第11132074号</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不动产坐落</w:t>
            </w:r>
          </w:p>
        </w:tc>
        <w:tc>
          <w:tcPr>
            <w:tcW w:w="6060" w:type="dxa"/>
            <w:tcBorders>
              <w:top w:val="dotted" w:color="auto" w:sz="4" w:space="0"/>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杭州市余杭区仁和镇仁和金鼎公寓3幢2单元1702室</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建筑面积</w:t>
            </w:r>
          </w:p>
        </w:tc>
        <w:tc>
          <w:tcPr>
            <w:tcW w:w="6060" w:type="dxa"/>
            <w:tcBorders>
              <w:top w:val="dotted" w:color="auto" w:sz="4" w:space="0"/>
              <w:left w:val="nil"/>
              <w:bottom w:val="dotted" w:color="auto" w:sz="4" w:space="0"/>
              <w:right w:val="single" w:color="auto" w:sz="12" w:space="0"/>
            </w:tcBorders>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294.11</w:t>
            </w:r>
            <w:r>
              <w:rPr>
                <w:rFonts w:hint="eastAsia" w:ascii="微软雅黑" w:hAnsi="宋体" w:cs="宋体"/>
                <w:color w:val="000000"/>
                <w:kern w:val="0"/>
                <w:sz w:val="20"/>
                <w:szCs w:val="20"/>
              </w:rPr>
              <w:t>㎡</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土地使用权面积</w:t>
            </w:r>
          </w:p>
        </w:tc>
        <w:tc>
          <w:tcPr>
            <w:tcW w:w="6060" w:type="dxa"/>
            <w:tcBorders>
              <w:top w:val="dotted" w:color="auto" w:sz="4" w:space="0"/>
              <w:left w:val="nil"/>
              <w:bottom w:val="dotted" w:color="auto" w:sz="4" w:space="0"/>
              <w:right w:val="single" w:color="auto" w:sz="12" w:space="0"/>
            </w:tcBorders>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37.6</w:t>
            </w:r>
            <w:r>
              <w:rPr>
                <w:rFonts w:hint="eastAsia" w:ascii="微软雅黑" w:hAnsi="宋体" w:cs="宋体"/>
                <w:color w:val="000000"/>
                <w:kern w:val="0"/>
                <w:sz w:val="20"/>
                <w:szCs w:val="20"/>
              </w:rPr>
              <w:t>㎡</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权利人</w:t>
            </w:r>
          </w:p>
        </w:tc>
        <w:tc>
          <w:tcPr>
            <w:tcW w:w="6060" w:type="dxa"/>
            <w:tcBorders>
              <w:top w:val="nil"/>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宋体"/>
                <w:color w:val="000000"/>
                <w:kern w:val="0"/>
                <w:sz w:val="20"/>
                <w:szCs w:val="20"/>
              </w:rPr>
              <w:t>董遐、黄跃速</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使用期限</w:t>
            </w:r>
          </w:p>
        </w:tc>
        <w:tc>
          <w:tcPr>
            <w:tcW w:w="6060" w:type="dxa"/>
            <w:tcBorders>
              <w:top w:val="dotted" w:color="auto" w:sz="4" w:space="0"/>
              <w:left w:val="nil"/>
              <w:bottom w:val="dotted" w:color="auto" w:sz="4" w:space="0"/>
              <w:right w:val="single" w:color="auto" w:sz="12" w:space="0"/>
            </w:tcBorders>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至2077年07月15日</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用途</w:t>
            </w:r>
          </w:p>
        </w:tc>
        <w:tc>
          <w:tcPr>
            <w:tcW w:w="6060" w:type="dxa"/>
            <w:tcBorders>
              <w:top w:val="nil"/>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住宅</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限制信息</w:t>
            </w:r>
          </w:p>
        </w:tc>
        <w:tc>
          <w:tcPr>
            <w:tcW w:w="6060" w:type="dxa"/>
            <w:tcBorders>
              <w:top w:val="nil"/>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房产：有查封，有抵押</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权利类型</w:t>
            </w:r>
          </w:p>
        </w:tc>
        <w:tc>
          <w:tcPr>
            <w:tcW w:w="6060" w:type="dxa"/>
            <w:tcBorders>
              <w:top w:val="nil"/>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房屋（构筑物）所有权</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权利性质</w:t>
            </w:r>
          </w:p>
        </w:tc>
        <w:tc>
          <w:tcPr>
            <w:tcW w:w="6060" w:type="dxa"/>
            <w:tcBorders>
              <w:top w:val="nil"/>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/存量房产</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共有情况</w:t>
            </w:r>
          </w:p>
        </w:tc>
        <w:tc>
          <w:tcPr>
            <w:tcW w:w="6060" w:type="dxa"/>
            <w:tcBorders>
              <w:top w:val="nil"/>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w:t>
            </w:r>
          </w:p>
        </w:tc>
      </w:tr>
      <w:tr>
        <w:tblPrEx>
          <w:tblLayout w:type="fixed"/>
          <w:tblCellMar>
            <w:top w:w="0" w:type="dxa"/>
            <w:left w:w="108" w:type="dxa"/>
            <w:bottom w:w="0" w:type="dxa"/>
            <w:right w:w="108" w:type="dxa"/>
          </w:tblCellMar>
        </w:tblPrEx>
        <w:trPr>
          <w:trHeight w:val="397" w:hRule="atLeast"/>
          <w:jc w:val="right"/>
        </w:trPr>
        <w:tc>
          <w:tcPr>
            <w:tcW w:w="1984" w:type="dxa"/>
            <w:tcBorders>
              <w:top w:val="dotted" w:color="auto" w:sz="4" w:space="0"/>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登记日期</w:t>
            </w:r>
          </w:p>
        </w:tc>
        <w:tc>
          <w:tcPr>
            <w:tcW w:w="6060" w:type="dxa"/>
            <w:tcBorders>
              <w:top w:val="dotted" w:color="auto" w:sz="4" w:space="0"/>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2011年12月21日</w:t>
            </w:r>
          </w:p>
        </w:tc>
      </w:tr>
      <w:tr>
        <w:tblPrEx>
          <w:tblLayout w:type="fixed"/>
          <w:tblCellMar>
            <w:top w:w="0" w:type="dxa"/>
            <w:left w:w="108" w:type="dxa"/>
            <w:bottom w:w="0" w:type="dxa"/>
            <w:right w:w="108" w:type="dxa"/>
          </w:tblCellMar>
        </w:tblPrEx>
        <w:trPr>
          <w:trHeight w:val="397" w:hRule="atLeast"/>
          <w:jc w:val="right"/>
        </w:trPr>
        <w:tc>
          <w:tcPr>
            <w:tcW w:w="1984" w:type="dxa"/>
            <w:tcBorders>
              <w:top w:val="dotted" w:color="auto" w:sz="4" w:space="0"/>
              <w:left w:val="single" w:color="auto" w:sz="12" w:space="0"/>
              <w:bottom w:val="single" w:color="auto" w:sz="12"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权利状态</w:t>
            </w:r>
          </w:p>
        </w:tc>
        <w:tc>
          <w:tcPr>
            <w:tcW w:w="6060" w:type="dxa"/>
            <w:tcBorders>
              <w:top w:val="dotted" w:color="auto" w:sz="4" w:space="0"/>
              <w:left w:val="nil"/>
              <w:bottom w:val="single" w:color="auto" w:sz="12"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现状</w:t>
            </w:r>
          </w:p>
        </w:tc>
      </w:tr>
    </w:tbl>
    <w:p>
      <w:pPr>
        <w:pStyle w:val="9"/>
        <w:numPr>
          <w:ilvl w:val="0"/>
          <w:numId w:val="7"/>
        </w:numPr>
        <w:adjustRightInd w:val="0"/>
        <w:snapToGrid w:val="0"/>
        <w:spacing w:before="240" w:beforeLines="100" w:after="120" w:afterLines="50"/>
        <w:ind w:firstLineChars="0"/>
        <w:rPr>
          <w:rFonts w:ascii="微软雅黑" w:hAnsi="微软雅黑" w:eastAsia="微软雅黑" w:cs="仿宋_GB2312"/>
          <w:b/>
          <w:sz w:val="22"/>
          <w:szCs w:val="22"/>
        </w:rPr>
      </w:pPr>
      <w:r>
        <w:rPr>
          <w:rFonts w:hint="eastAsia" w:ascii="微软雅黑" w:hAnsi="微软雅黑" w:eastAsia="微软雅黑" w:cs="仿宋_GB2312"/>
          <w:b/>
          <w:sz w:val="22"/>
          <w:szCs w:val="22"/>
        </w:rPr>
        <w:t>土地使用权状况</w:t>
      </w:r>
    </w:p>
    <w:tbl>
      <w:tblPr>
        <w:tblStyle w:val="6"/>
        <w:tblW w:w="8044" w:type="dxa"/>
        <w:jc w:val="right"/>
        <w:tblInd w:w="0" w:type="dxa"/>
        <w:tblLayout w:type="fixed"/>
        <w:tblCellMar>
          <w:top w:w="0" w:type="dxa"/>
          <w:left w:w="108" w:type="dxa"/>
          <w:bottom w:w="0" w:type="dxa"/>
          <w:right w:w="108" w:type="dxa"/>
        </w:tblCellMar>
      </w:tblPr>
      <w:tblGrid>
        <w:gridCol w:w="1984"/>
        <w:gridCol w:w="6060"/>
      </w:tblGrid>
      <w:tr>
        <w:tblPrEx>
          <w:tblLayout w:type="fixed"/>
          <w:tblCellMar>
            <w:top w:w="0" w:type="dxa"/>
            <w:left w:w="108" w:type="dxa"/>
            <w:bottom w:w="0" w:type="dxa"/>
            <w:right w:w="108" w:type="dxa"/>
          </w:tblCellMar>
        </w:tblPrEx>
        <w:trPr>
          <w:trHeight w:val="397" w:hRule="atLeast"/>
          <w:jc w:val="right"/>
        </w:trPr>
        <w:tc>
          <w:tcPr>
            <w:tcW w:w="1984" w:type="dxa"/>
            <w:tcBorders>
              <w:top w:val="single" w:color="auto" w:sz="12" w:space="0"/>
              <w:left w:val="single" w:color="auto" w:sz="12" w:space="0"/>
              <w:bottom w:val="dotted" w:color="auto" w:sz="4" w:space="0"/>
              <w:right w:val="dotted" w:color="auto" w:sz="4" w:space="0"/>
            </w:tcBorders>
            <w:shd w:val="clear" w:color="000000" w:fill="FFFFFF"/>
            <w:vAlign w:val="center"/>
          </w:tcPr>
          <w:p>
            <w:pPr>
              <w:pStyle w:val="11"/>
              <w:rPr>
                <w:rFonts w:ascii="微软雅黑" w:hAnsi="微软雅黑" w:eastAsia="微软雅黑" w:cs="仿宋_GB2312"/>
              </w:rPr>
            </w:pPr>
            <w:r>
              <w:rPr>
                <w:rFonts w:hint="eastAsia" w:ascii="微软雅黑" w:hAnsi="微软雅黑" w:eastAsia="微软雅黑" w:cs="仿宋_GB2312"/>
              </w:rPr>
              <w:t>权证号（证明号）</w:t>
            </w:r>
          </w:p>
        </w:tc>
        <w:tc>
          <w:tcPr>
            <w:tcW w:w="6060" w:type="dxa"/>
            <w:tcBorders>
              <w:top w:val="single" w:color="auto" w:sz="12" w:space="0"/>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宋体"/>
                <w:color w:val="000000"/>
                <w:kern w:val="0"/>
                <w:sz w:val="20"/>
                <w:szCs w:val="20"/>
              </w:rPr>
              <w:t>杭余商国用（2011）第23663号</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不动产坐落</w:t>
            </w:r>
          </w:p>
        </w:tc>
        <w:tc>
          <w:tcPr>
            <w:tcW w:w="6060" w:type="dxa"/>
            <w:tcBorders>
              <w:top w:val="dotted" w:color="auto" w:sz="4" w:space="0"/>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仁和镇仁和金鼎公寓3幢2单元1702室</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土地使用权面积</w:t>
            </w:r>
          </w:p>
        </w:tc>
        <w:tc>
          <w:tcPr>
            <w:tcW w:w="6060" w:type="dxa"/>
            <w:tcBorders>
              <w:top w:val="dotted" w:color="auto" w:sz="4" w:space="0"/>
              <w:left w:val="nil"/>
              <w:bottom w:val="dotted" w:color="auto" w:sz="4" w:space="0"/>
              <w:right w:val="single" w:color="auto" w:sz="12" w:space="0"/>
            </w:tcBorders>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37.6</w:t>
            </w:r>
            <w:r>
              <w:rPr>
                <w:rFonts w:hint="eastAsia" w:ascii="微软雅黑" w:hAnsi="宋体" w:cs="宋体"/>
                <w:color w:val="000000"/>
                <w:kern w:val="0"/>
                <w:sz w:val="20"/>
                <w:szCs w:val="20"/>
              </w:rPr>
              <w:t>㎡</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权利人</w:t>
            </w:r>
          </w:p>
        </w:tc>
        <w:tc>
          <w:tcPr>
            <w:tcW w:w="6060" w:type="dxa"/>
            <w:tcBorders>
              <w:top w:val="nil"/>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宋体"/>
                <w:color w:val="000000"/>
                <w:kern w:val="0"/>
                <w:sz w:val="20"/>
                <w:szCs w:val="20"/>
              </w:rPr>
              <w:t>黄跃速、董遐</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使用期限</w:t>
            </w:r>
          </w:p>
        </w:tc>
        <w:tc>
          <w:tcPr>
            <w:tcW w:w="6060" w:type="dxa"/>
            <w:tcBorders>
              <w:top w:val="dotted" w:color="auto" w:sz="4" w:space="0"/>
              <w:left w:val="nil"/>
              <w:bottom w:val="dotted" w:color="auto" w:sz="4" w:space="0"/>
              <w:right w:val="single" w:color="auto" w:sz="12" w:space="0"/>
            </w:tcBorders>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至2077年07月15日</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用途</w:t>
            </w:r>
          </w:p>
        </w:tc>
        <w:tc>
          <w:tcPr>
            <w:tcW w:w="6060" w:type="dxa"/>
            <w:tcBorders>
              <w:top w:val="nil"/>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住宅</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限制信息</w:t>
            </w:r>
          </w:p>
        </w:tc>
        <w:tc>
          <w:tcPr>
            <w:tcW w:w="6060" w:type="dxa"/>
            <w:tcBorders>
              <w:top w:val="nil"/>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宗地：有查封，有抵押</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权利类型</w:t>
            </w:r>
          </w:p>
        </w:tc>
        <w:tc>
          <w:tcPr>
            <w:tcW w:w="6060" w:type="dxa"/>
            <w:tcBorders>
              <w:top w:val="nil"/>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国有建设用地使用权</w:t>
            </w:r>
          </w:p>
        </w:tc>
      </w:tr>
      <w:tr>
        <w:tblPrEx>
          <w:tblLayout w:type="fixed"/>
          <w:tblCellMar>
            <w:top w:w="0" w:type="dxa"/>
            <w:left w:w="108" w:type="dxa"/>
            <w:bottom w:w="0" w:type="dxa"/>
            <w:right w:w="108" w:type="dxa"/>
          </w:tblCellMar>
        </w:tblPrEx>
        <w:trPr>
          <w:trHeight w:val="397" w:hRule="atLeast"/>
          <w:jc w:val="right"/>
        </w:trPr>
        <w:tc>
          <w:tcPr>
            <w:tcW w:w="1984" w:type="dxa"/>
            <w:tcBorders>
              <w:top w:val="nil"/>
              <w:left w:val="single" w:color="auto" w:sz="12" w:space="0"/>
              <w:bottom w:val="dotted" w:color="auto" w:sz="4"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权利性质</w:t>
            </w:r>
          </w:p>
        </w:tc>
        <w:tc>
          <w:tcPr>
            <w:tcW w:w="6060" w:type="dxa"/>
            <w:tcBorders>
              <w:top w:val="nil"/>
              <w:left w:val="nil"/>
              <w:bottom w:val="dotted" w:color="auto" w:sz="4"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出让</w:t>
            </w:r>
          </w:p>
        </w:tc>
      </w:tr>
      <w:tr>
        <w:tblPrEx>
          <w:tblLayout w:type="fixed"/>
          <w:tblCellMar>
            <w:top w:w="0" w:type="dxa"/>
            <w:left w:w="108" w:type="dxa"/>
            <w:bottom w:w="0" w:type="dxa"/>
            <w:right w:w="108" w:type="dxa"/>
          </w:tblCellMar>
        </w:tblPrEx>
        <w:trPr>
          <w:trHeight w:val="397" w:hRule="atLeast"/>
          <w:jc w:val="right"/>
        </w:trPr>
        <w:tc>
          <w:tcPr>
            <w:tcW w:w="1984" w:type="dxa"/>
            <w:tcBorders>
              <w:top w:val="dotted" w:color="auto" w:sz="4" w:space="0"/>
              <w:left w:val="single" w:color="auto" w:sz="12" w:space="0"/>
              <w:bottom w:val="single" w:color="auto" w:sz="12" w:space="0"/>
              <w:right w:val="dotted" w:color="auto" w:sz="4"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权利状态</w:t>
            </w:r>
          </w:p>
        </w:tc>
        <w:tc>
          <w:tcPr>
            <w:tcW w:w="6060" w:type="dxa"/>
            <w:tcBorders>
              <w:top w:val="dotted" w:color="auto" w:sz="4" w:space="0"/>
              <w:left w:val="nil"/>
              <w:bottom w:val="single" w:color="auto" w:sz="12" w:space="0"/>
              <w:right w:val="single" w:color="auto" w:sz="12" w:space="0"/>
            </w:tcBorders>
            <w:shd w:val="clear" w:color="000000" w:fill="FFFFFF"/>
            <w:vAlign w:val="center"/>
          </w:tcPr>
          <w:p>
            <w:pPr>
              <w:pStyle w:val="11"/>
              <w:jc w:val="center"/>
              <w:rPr>
                <w:rFonts w:ascii="微软雅黑" w:hAnsi="微软雅黑" w:eastAsia="微软雅黑" w:cs="仿宋_GB2312"/>
              </w:rPr>
            </w:pPr>
            <w:r>
              <w:rPr>
                <w:rFonts w:hint="eastAsia" w:ascii="微软雅黑" w:hAnsi="微软雅黑" w:eastAsia="微软雅黑" w:cs="仿宋_GB2312"/>
              </w:rPr>
              <w:t>现状</w:t>
            </w:r>
          </w:p>
        </w:tc>
      </w:tr>
    </w:tbl>
    <w:p>
      <w:pPr>
        <w:pStyle w:val="9"/>
        <w:numPr>
          <w:ilvl w:val="0"/>
          <w:numId w:val="7"/>
        </w:numPr>
        <w:adjustRightInd w:val="0"/>
        <w:snapToGrid w:val="0"/>
        <w:spacing w:before="240" w:beforeLines="100" w:after="120" w:afterLines="50"/>
        <w:ind w:firstLineChars="0"/>
        <w:rPr>
          <w:rFonts w:ascii="微软雅黑" w:hAnsi="微软雅黑" w:eastAsia="微软雅黑" w:cs="仿宋_GB2312"/>
          <w:b/>
          <w:sz w:val="22"/>
          <w:szCs w:val="22"/>
        </w:rPr>
      </w:pPr>
      <w:r>
        <w:rPr>
          <w:rFonts w:hint="eastAsia" w:ascii="微软雅黑" w:hAnsi="微软雅黑" w:eastAsia="微软雅黑" w:cs="仿宋_GB2312"/>
          <w:b/>
          <w:sz w:val="22"/>
          <w:szCs w:val="22"/>
        </w:rPr>
        <w:t>《契证》状况</w:t>
      </w:r>
    </w:p>
    <w:p>
      <w:pPr>
        <w:pStyle w:val="8"/>
        <w:adjustRightInd w:val="0"/>
        <w:snapToGrid w:val="0"/>
        <w:spacing w:line="288" w:lineRule="auto"/>
        <w:ind w:left="1271" w:firstLine="0" w:firstLineChars="0"/>
        <w:rPr>
          <w:rFonts w:ascii="微软雅黑" w:hAnsi="微软雅黑" w:eastAsia="微软雅黑" w:cs="仿宋_GB2312"/>
        </w:rPr>
      </w:pPr>
      <w:r>
        <w:rPr>
          <w:rFonts w:hint="eastAsia" w:ascii="微软雅黑" w:hAnsi="微软雅黑" w:eastAsia="微软雅黑" w:cs="仿宋_GB2312"/>
        </w:rPr>
        <w:t>根据（20101）浙地契证No.00107461《契证》记载，承受方：黄跃速、董遐；出让方：杭州耀达房地产开发有限公司；房屋（土地）座落：仁和镇仁和金鼎公寓3幢2单元1702室；转移方式：房屋买卖；房屋（土地）用途：增量用房非普通住宅；产权面积：294.11</w:t>
      </w:r>
      <w:r>
        <w:rPr>
          <w:rFonts w:hint="eastAsia" w:ascii="微软雅黑" w:hAnsi="宋体" w:cs="宋体"/>
          <w:color w:val="000000"/>
          <w:kern w:val="0"/>
          <w:sz w:val="20"/>
          <w:szCs w:val="20"/>
        </w:rPr>
        <w:t>㎡</w:t>
      </w:r>
      <w:r>
        <w:rPr>
          <w:rFonts w:hint="eastAsia" w:ascii="微软雅黑" w:hAnsi="微软雅黑" w:eastAsia="微软雅黑" w:cs="仿宋_GB2312"/>
        </w:rPr>
        <w:t>；计税面积：294.11㎡：纳税义务发生时间：2011.08.27；成交金额：2543757.00元；计税金额：2543757.00元；适用税率：0.030000；应缴税额：76312.71元；滞纳金罚款：0元；减免税额：0元；实缴税额：76312.71元。</w:t>
      </w:r>
    </w:p>
    <w:p>
      <w:pPr>
        <w:pStyle w:val="9"/>
        <w:numPr>
          <w:ilvl w:val="0"/>
          <w:numId w:val="7"/>
        </w:numPr>
        <w:adjustRightInd w:val="0"/>
        <w:snapToGrid w:val="0"/>
        <w:spacing w:before="240" w:beforeLines="100" w:after="120" w:afterLines="50"/>
        <w:ind w:firstLineChars="0"/>
        <w:rPr>
          <w:rFonts w:ascii="微软雅黑" w:hAnsi="微软雅黑" w:eastAsia="微软雅黑" w:cs="仿宋_GB2312"/>
          <w:b/>
          <w:sz w:val="22"/>
          <w:szCs w:val="22"/>
        </w:rPr>
      </w:pPr>
      <w:r>
        <w:rPr>
          <w:rFonts w:hint="eastAsia" w:ascii="微软雅黑" w:hAnsi="微软雅黑" w:eastAsia="微软雅黑" w:cs="仿宋_GB2312"/>
          <w:b/>
          <w:sz w:val="22"/>
          <w:szCs w:val="22"/>
        </w:rPr>
        <w:t>《完税证》状况</w:t>
      </w:r>
    </w:p>
    <w:p>
      <w:pPr>
        <w:pStyle w:val="8"/>
        <w:adjustRightInd w:val="0"/>
        <w:snapToGrid w:val="0"/>
        <w:spacing w:line="288" w:lineRule="auto"/>
        <w:ind w:left="1271" w:firstLine="0" w:firstLineChars="0"/>
        <w:rPr>
          <w:rFonts w:ascii="微软雅黑" w:hAnsi="微软雅黑" w:eastAsia="微软雅黑" w:cs="仿宋_GB2312"/>
        </w:rPr>
      </w:pPr>
      <w:r>
        <w:rPr>
          <w:rFonts w:hint="eastAsia" w:ascii="微软雅黑" w:hAnsi="微软雅黑" w:eastAsia="微软雅黑" w:cs="仿宋_GB2312"/>
        </w:rPr>
        <w:t>根据（20111）浙地转电：No.00247999《中华人民共和国税收转账专用完税证》记载，纳税人：黄跃速、董遐；税种：契税；税款所属时间：20111213；税率：0.03；实缴金额：76312.71元；填发日期：2011年12月13日。</w:t>
      </w:r>
    </w:p>
    <w:p>
      <w:pPr>
        <w:pStyle w:val="9"/>
        <w:numPr>
          <w:ilvl w:val="0"/>
          <w:numId w:val="7"/>
        </w:numPr>
        <w:adjustRightInd w:val="0"/>
        <w:snapToGrid w:val="0"/>
        <w:spacing w:before="240" w:beforeLines="100" w:after="120" w:afterLines="50"/>
        <w:ind w:firstLineChars="0"/>
        <w:rPr>
          <w:rFonts w:ascii="微软雅黑" w:hAnsi="微软雅黑" w:eastAsia="微软雅黑" w:cs="仿宋_GB2312"/>
          <w:b/>
          <w:sz w:val="22"/>
          <w:szCs w:val="22"/>
        </w:rPr>
      </w:pPr>
      <w:r>
        <w:rPr>
          <w:rFonts w:hint="eastAsia" w:ascii="微软雅黑" w:hAnsi="微软雅黑" w:eastAsia="微软雅黑" w:cs="仿宋_GB2312"/>
          <w:b/>
          <w:sz w:val="22"/>
          <w:szCs w:val="22"/>
        </w:rPr>
        <w:t>他项权利设立情况</w:t>
      </w:r>
    </w:p>
    <w:p>
      <w:pPr>
        <w:pStyle w:val="9"/>
        <w:adjustRightInd w:val="0"/>
        <w:snapToGrid w:val="0"/>
        <w:spacing w:line="288" w:lineRule="auto"/>
        <w:ind w:left="1276" w:firstLine="0" w:firstLineChars="0"/>
        <w:jc w:val="left"/>
        <w:rPr>
          <w:rFonts w:ascii="微软雅黑" w:hAnsi="微软雅黑" w:eastAsia="微软雅黑" w:cs="仿宋_GB2312"/>
          <w:szCs w:val="21"/>
        </w:rPr>
      </w:pPr>
      <w:r>
        <w:rPr>
          <w:rFonts w:hint="eastAsia" w:ascii="微软雅黑" w:hAnsi="微软雅黑" w:eastAsia="微软雅黑" w:cs="仿宋_GB2312"/>
          <w:szCs w:val="21"/>
        </w:rPr>
        <w:t>根据估价人员查询获取的权属资料显示估价对象已设立抵押登记，具体情况见下表</w:t>
      </w:r>
      <w:r>
        <w:rPr>
          <w:rFonts w:hint="eastAsia" w:ascii="微软雅黑" w:hAnsi="微软雅黑" w:eastAsia="微软雅黑" w:cs="仿宋_GB2312"/>
          <w:color w:val="000000" w:themeColor="text1"/>
          <w:szCs w:val="21"/>
          <w14:textFill>
            <w14:solidFill>
              <w14:schemeClr w14:val="tx1"/>
            </w14:solidFill>
          </w14:textFill>
        </w:rPr>
        <w:t>，</w:t>
      </w:r>
      <w:r>
        <w:rPr>
          <w:rFonts w:hint="eastAsia" w:ascii="微软雅黑" w:hAnsi="微软雅黑" w:eastAsia="微软雅黑" w:cs="仿宋_GB2312"/>
          <w:szCs w:val="21"/>
        </w:rPr>
        <w:t>至价值时点，此项抵押他项权利尚未注销，根据估价目的，本次评估不考虑设定的他项权利对该价值的影响，在此提请报告使用者注意。</w:t>
      </w:r>
    </w:p>
    <w:tbl>
      <w:tblPr>
        <w:tblStyle w:val="6"/>
        <w:tblW w:w="7619" w:type="dxa"/>
        <w:jc w:val="right"/>
        <w:tblInd w:w="0"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2977"/>
        <w:gridCol w:w="4642"/>
      </w:tblGrid>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397" w:hRule="atLeast"/>
          <w:jc w:val="right"/>
        </w:trPr>
        <w:tc>
          <w:tcPr>
            <w:tcW w:w="2977" w:type="dxa"/>
            <w:shd w:val="clear" w:color="auto" w:fill="auto"/>
            <w:vAlign w:val="center"/>
          </w:tcPr>
          <w:p>
            <w:pPr>
              <w:widowControl/>
              <w:jc w:val="center"/>
              <w:rPr>
                <w:rFonts w:ascii="微软雅黑" w:hAnsi="微软雅黑" w:eastAsia="微软雅黑" w:cs="宋体"/>
                <w:color w:val="000000"/>
                <w:kern w:val="0"/>
              </w:rPr>
            </w:pPr>
            <w:r>
              <w:rPr>
                <w:rFonts w:hint="eastAsia" w:ascii="微软雅黑" w:hAnsi="微软雅黑" w:eastAsia="微软雅黑" w:cs="宋体"/>
                <w:color w:val="000000"/>
                <w:kern w:val="0"/>
              </w:rPr>
              <w:t>登记证明号</w:t>
            </w:r>
          </w:p>
        </w:tc>
        <w:tc>
          <w:tcPr>
            <w:tcW w:w="4642" w:type="dxa"/>
            <w:shd w:val="clear" w:color="auto" w:fill="auto"/>
            <w:vAlign w:val="center"/>
          </w:tcPr>
          <w:p>
            <w:pPr>
              <w:widowControl/>
              <w:jc w:val="center"/>
              <w:rPr>
                <w:rFonts w:ascii="微软雅黑" w:hAnsi="微软雅黑" w:eastAsia="微软雅黑"/>
                <w:color w:val="000000"/>
                <w:kern w:val="0"/>
              </w:rPr>
            </w:pPr>
            <w:r>
              <w:rPr>
                <w:rFonts w:hint="eastAsia" w:ascii="微软雅黑" w:hAnsi="微软雅黑" w:eastAsia="微软雅黑"/>
                <w:color w:val="000000"/>
                <w:kern w:val="0"/>
              </w:rPr>
              <w:t>浙（</w:t>
            </w:r>
            <w:r>
              <w:rPr>
                <w:rFonts w:ascii="微软雅黑" w:hAnsi="微软雅黑" w:eastAsia="微软雅黑"/>
                <w:color w:val="000000"/>
                <w:kern w:val="0"/>
              </w:rPr>
              <w:t>20</w:t>
            </w:r>
            <w:r>
              <w:rPr>
                <w:rFonts w:hint="eastAsia" w:ascii="微软雅黑" w:hAnsi="微软雅黑" w:eastAsia="微软雅黑"/>
                <w:color w:val="000000"/>
                <w:kern w:val="0"/>
              </w:rPr>
              <w:t>18）余杭区不动产证明第0074456号</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397" w:hRule="atLeast"/>
          <w:jc w:val="right"/>
        </w:trPr>
        <w:tc>
          <w:tcPr>
            <w:tcW w:w="2977" w:type="dxa"/>
            <w:shd w:val="clear" w:color="auto" w:fill="auto"/>
            <w:vAlign w:val="center"/>
          </w:tcPr>
          <w:p>
            <w:pPr>
              <w:widowControl/>
              <w:jc w:val="center"/>
              <w:rPr>
                <w:rFonts w:ascii="微软雅黑" w:hAnsi="微软雅黑" w:eastAsia="微软雅黑" w:cs="宋体"/>
                <w:color w:val="000000"/>
                <w:kern w:val="0"/>
              </w:rPr>
            </w:pPr>
            <w:r>
              <w:rPr>
                <w:rFonts w:hint="eastAsia" w:ascii="微软雅黑" w:hAnsi="微软雅黑" w:eastAsia="微软雅黑" w:cs="宋体"/>
                <w:color w:val="000000"/>
                <w:kern w:val="0"/>
              </w:rPr>
              <w:t>抵押权人</w:t>
            </w:r>
          </w:p>
        </w:tc>
        <w:tc>
          <w:tcPr>
            <w:tcW w:w="4642" w:type="dxa"/>
            <w:shd w:val="clear" w:color="auto" w:fill="auto"/>
            <w:vAlign w:val="center"/>
          </w:tcPr>
          <w:p>
            <w:pPr>
              <w:widowControl/>
              <w:jc w:val="center"/>
              <w:rPr>
                <w:rFonts w:ascii="微软雅黑" w:hAnsi="微软雅黑" w:eastAsia="微软雅黑" w:cs="宋体"/>
                <w:color w:val="000000"/>
                <w:kern w:val="0"/>
              </w:rPr>
            </w:pPr>
            <w:r>
              <w:rPr>
                <w:rFonts w:hint="eastAsia" w:ascii="微软雅黑" w:hAnsi="微软雅黑" w:eastAsia="微软雅黑" w:cs="宋体"/>
                <w:color w:val="000000"/>
                <w:kern w:val="0"/>
              </w:rPr>
              <w:t>杭州联合农村商业银行股份有限公司西湖支行</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397" w:hRule="atLeast"/>
          <w:jc w:val="right"/>
        </w:trPr>
        <w:tc>
          <w:tcPr>
            <w:tcW w:w="2977" w:type="dxa"/>
            <w:shd w:val="clear" w:color="auto" w:fill="auto"/>
            <w:vAlign w:val="center"/>
          </w:tcPr>
          <w:p>
            <w:pPr>
              <w:widowControl/>
              <w:jc w:val="center"/>
              <w:rPr>
                <w:rFonts w:ascii="微软雅黑" w:hAnsi="微软雅黑" w:eastAsia="微软雅黑" w:cs="宋体"/>
                <w:color w:val="000000"/>
                <w:kern w:val="0"/>
              </w:rPr>
            </w:pPr>
            <w:r>
              <w:rPr>
                <w:rFonts w:hint="eastAsia" w:ascii="微软雅黑" w:hAnsi="微软雅黑" w:eastAsia="微软雅黑" w:cs="宋体"/>
                <w:color w:val="000000"/>
                <w:kern w:val="0"/>
              </w:rPr>
              <w:t>抵押方式</w:t>
            </w:r>
          </w:p>
        </w:tc>
        <w:tc>
          <w:tcPr>
            <w:tcW w:w="4642" w:type="dxa"/>
            <w:shd w:val="clear" w:color="auto" w:fill="auto"/>
            <w:vAlign w:val="center"/>
          </w:tcPr>
          <w:p>
            <w:pPr>
              <w:widowControl/>
              <w:jc w:val="center"/>
              <w:rPr>
                <w:rFonts w:ascii="微软雅黑" w:hAnsi="微软雅黑" w:eastAsia="微软雅黑" w:cs="宋体"/>
                <w:color w:val="000000"/>
                <w:kern w:val="0"/>
              </w:rPr>
            </w:pPr>
            <w:r>
              <w:rPr>
                <w:rFonts w:hint="eastAsia" w:ascii="微软雅黑" w:hAnsi="微软雅黑" w:eastAsia="微软雅黑" w:cs="宋体"/>
                <w:color w:val="000000"/>
                <w:kern w:val="0"/>
              </w:rPr>
              <w:t>最高额抵押</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397" w:hRule="atLeast"/>
          <w:jc w:val="right"/>
        </w:trPr>
        <w:tc>
          <w:tcPr>
            <w:tcW w:w="2977" w:type="dxa"/>
            <w:shd w:val="clear" w:color="auto" w:fill="auto"/>
            <w:vAlign w:val="center"/>
          </w:tcPr>
          <w:p>
            <w:pPr>
              <w:widowControl/>
              <w:jc w:val="center"/>
              <w:rPr>
                <w:rFonts w:ascii="微软雅黑" w:hAnsi="微软雅黑" w:eastAsia="微软雅黑" w:cs="宋体"/>
                <w:color w:val="000000"/>
                <w:kern w:val="0"/>
              </w:rPr>
            </w:pPr>
            <w:r>
              <w:rPr>
                <w:rFonts w:hint="eastAsia" w:ascii="微软雅黑" w:hAnsi="微软雅黑" w:eastAsia="微软雅黑" w:cs="宋体"/>
                <w:color w:val="000000"/>
                <w:kern w:val="0"/>
              </w:rPr>
              <w:t>债权数额</w:t>
            </w:r>
          </w:p>
        </w:tc>
        <w:tc>
          <w:tcPr>
            <w:tcW w:w="4642" w:type="dxa"/>
            <w:shd w:val="clear" w:color="auto" w:fill="auto"/>
            <w:vAlign w:val="center"/>
          </w:tcPr>
          <w:p>
            <w:pPr>
              <w:widowControl/>
              <w:jc w:val="center"/>
              <w:rPr>
                <w:rFonts w:ascii="微软雅黑" w:hAnsi="微软雅黑" w:eastAsia="微软雅黑"/>
                <w:color w:val="000000"/>
                <w:kern w:val="0"/>
              </w:rPr>
            </w:pPr>
            <w:r>
              <w:rPr>
                <w:rFonts w:hint="eastAsia" w:ascii="微软雅黑" w:hAnsi="微软雅黑" w:eastAsia="微软雅黑"/>
                <w:color w:val="000000"/>
                <w:kern w:val="0"/>
              </w:rPr>
              <w:t>550万元</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397" w:hRule="atLeast"/>
          <w:jc w:val="right"/>
        </w:trPr>
        <w:tc>
          <w:tcPr>
            <w:tcW w:w="2977" w:type="dxa"/>
            <w:shd w:val="clear" w:color="auto" w:fill="auto"/>
            <w:vAlign w:val="center"/>
          </w:tcPr>
          <w:p>
            <w:pPr>
              <w:widowControl/>
              <w:jc w:val="center"/>
              <w:rPr>
                <w:rFonts w:ascii="微软雅黑" w:hAnsi="微软雅黑" w:eastAsia="微软雅黑" w:cs="宋体"/>
                <w:color w:val="000000"/>
                <w:kern w:val="0"/>
              </w:rPr>
            </w:pPr>
            <w:r>
              <w:rPr>
                <w:rFonts w:hint="eastAsia" w:ascii="微软雅黑" w:hAnsi="微软雅黑" w:eastAsia="微软雅黑" w:cs="宋体"/>
                <w:color w:val="000000"/>
                <w:kern w:val="0"/>
              </w:rPr>
              <w:t>登记日期</w:t>
            </w:r>
          </w:p>
        </w:tc>
        <w:tc>
          <w:tcPr>
            <w:tcW w:w="4642" w:type="dxa"/>
            <w:shd w:val="clear" w:color="auto" w:fill="auto"/>
            <w:vAlign w:val="center"/>
          </w:tcPr>
          <w:p>
            <w:pPr>
              <w:widowControl/>
              <w:jc w:val="center"/>
              <w:rPr>
                <w:rFonts w:ascii="微软雅黑" w:hAnsi="微软雅黑" w:eastAsia="微软雅黑"/>
                <w:color w:val="000000"/>
                <w:kern w:val="0"/>
              </w:rPr>
            </w:pPr>
            <w:r>
              <w:rPr>
                <w:rFonts w:hint="eastAsia" w:ascii="微软雅黑" w:hAnsi="微软雅黑" w:eastAsia="微软雅黑"/>
                <w:color w:val="000000"/>
                <w:kern w:val="0"/>
              </w:rPr>
              <w:t>2018年07月06日</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397" w:hRule="atLeast"/>
          <w:jc w:val="right"/>
        </w:trPr>
        <w:tc>
          <w:tcPr>
            <w:tcW w:w="2977" w:type="dxa"/>
            <w:shd w:val="clear" w:color="auto" w:fill="auto"/>
            <w:vAlign w:val="center"/>
          </w:tcPr>
          <w:p>
            <w:pPr>
              <w:widowControl/>
              <w:rPr>
                <w:rFonts w:ascii="微软雅黑" w:hAnsi="微软雅黑" w:eastAsia="微软雅黑" w:cs="宋体"/>
                <w:color w:val="000000"/>
                <w:kern w:val="0"/>
              </w:rPr>
            </w:pPr>
            <w:r>
              <w:rPr>
                <w:rFonts w:hint="eastAsia" w:ascii="微软雅黑" w:hAnsi="微软雅黑" w:eastAsia="微软雅黑" w:cs="宋体"/>
                <w:color w:val="000000"/>
                <w:kern w:val="0"/>
              </w:rPr>
              <w:t>债务履行期限（债权确定期间）</w:t>
            </w:r>
          </w:p>
        </w:tc>
        <w:tc>
          <w:tcPr>
            <w:tcW w:w="4642" w:type="dxa"/>
            <w:shd w:val="clear" w:color="auto" w:fill="auto"/>
            <w:vAlign w:val="center"/>
          </w:tcPr>
          <w:p>
            <w:pPr>
              <w:widowControl/>
              <w:jc w:val="center"/>
              <w:rPr>
                <w:rFonts w:ascii="微软雅黑" w:hAnsi="微软雅黑" w:eastAsia="微软雅黑"/>
                <w:color w:val="000000"/>
                <w:kern w:val="0"/>
              </w:rPr>
            </w:pPr>
            <w:r>
              <w:rPr>
                <w:rFonts w:hint="eastAsia" w:ascii="微软雅黑" w:hAnsi="微软雅黑" w:eastAsia="微软雅黑"/>
                <w:color w:val="000000"/>
                <w:kern w:val="0"/>
              </w:rPr>
              <w:t>2018年07月05日起2023年07月04日止</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397" w:hRule="atLeast"/>
          <w:jc w:val="right"/>
        </w:trPr>
        <w:tc>
          <w:tcPr>
            <w:tcW w:w="2977" w:type="dxa"/>
            <w:shd w:val="clear" w:color="auto" w:fill="auto"/>
            <w:vAlign w:val="center"/>
          </w:tcPr>
          <w:p>
            <w:pPr>
              <w:widowControl/>
              <w:jc w:val="center"/>
              <w:rPr>
                <w:rFonts w:ascii="微软雅黑" w:hAnsi="微软雅黑" w:eastAsia="微软雅黑" w:cs="宋体"/>
                <w:color w:val="000000"/>
                <w:kern w:val="0"/>
              </w:rPr>
            </w:pPr>
            <w:r>
              <w:rPr>
                <w:rFonts w:hint="eastAsia" w:ascii="微软雅黑" w:hAnsi="微软雅黑" w:eastAsia="微软雅黑" w:cs="宋体"/>
                <w:color w:val="000000"/>
                <w:kern w:val="0"/>
              </w:rPr>
              <w:t>附记</w:t>
            </w:r>
          </w:p>
        </w:tc>
        <w:tc>
          <w:tcPr>
            <w:tcW w:w="4642" w:type="dxa"/>
            <w:shd w:val="clear" w:color="auto" w:fill="auto"/>
            <w:vAlign w:val="center"/>
          </w:tcPr>
          <w:p>
            <w:pPr>
              <w:widowControl/>
              <w:jc w:val="center"/>
              <w:rPr>
                <w:rFonts w:ascii="微软雅黑" w:hAnsi="微软雅黑" w:eastAsia="微软雅黑"/>
                <w:color w:val="000000"/>
                <w:kern w:val="0"/>
              </w:rPr>
            </w:pPr>
            <w:r>
              <w:rPr>
                <w:rFonts w:hint="eastAsia" w:ascii="微软雅黑" w:hAnsi="微软雅黑" w:eastAsia="微软雅黑"/>
                <w:color w:val="000000"/>
                <w:kern w:val="0"/>
              </w:rPr>
              <w:t>债务人：董遐</w:t>
            </w:r>
          </w:p>
        </w:tc>
      </w:tr>
    </w:tbl>
    <w:p>
      <w:pPr>
        <w:pStyle w:val="9"/>
        <w:numPr>
          <w:ilvl w:val="0"/>
          <w:numId w:val="7"/>
        </w:numPr>
        <w:adjustRightInd w:val="0"/>
        <w:snapToGrid w:val="0"/>
        <w:spacing w:before="240" w:beforeLines="100" w:after="120" w:afterLines="50"/>
        <w:ind w:firstLineChars="0"/>
        <w:rPr>
          <w:rFonts w:ascii="微软雅黑" w:hAnsi="微软雅黑" w:eastAsia="微软雅黑" w:cs="仿宋_GB2312"/>
          <w:b/>
          <w:sz w:val="22"/>
          <w:szCs w:val="22"/>
        </w:rPr>
      </w:pPr>
      <w:r>
        <w:rPr>
          <w:rFonts w:hint="eastAsia" w:ascii="微软雅黑" w:hAnsi="微软雅黑" w:eastAsia="微软雅黑" w:cs="仿宋_GB2312"/>
          <w:b/>
          <w:sz w:val="22"/>
          <w:szCs w:val="22"/>
        </w:rPr>
        <w:t>其他特殊情况</w:t>
      </w:r>
    </w:p>
    <w:p>
      <w:pPr>
        <w:pStyle w:val="9"/>
        <w:adjustRightInd w:val="0"/>
        <w:snapToGrid w:val="0"/>
        <w:spacing w:line="288" w:lineRule="auto"/>
        <w:ind w:left="1276" w:firstLine="0" w:firstLineChars="0"/>
        <w:jc w:val="left"/>
        <w:rPr>
          <w:rFonts w:ascii="微软雅黑" w:hAnsi="微软雅黑" w:eastAsia="微软雅黑" w:cs="仿宋_GB2312"/>
          <w:szCs w:val="21"/>
        </w:rPr>
      </w:pPr>
      <w:r>
        <w:rPr>
          <w:rFonts w:hint="eastAsia" w:ascii="微软雅黑" w:hAnsi="微软雅黑" w:eastAsia="微软雅黑" w:cs="仿宋_GB2312"/>
          <w:color w:val="000000" w:themeColor="text1"/>
          <w14:textFill>
            <w14:solidFill>
              <w14:schemeClr w14:val="tx1"/>
            </w14:solidFill>
          </w14:textFill>
        </w:rPr>
        <w:t>根据估价人员查询获取的资料获知</w:t>
      </w:r>
      <w:r>
        <w:rPr>
          <w:rFonts w:hint="eastAsia" w:ascii="微软雅黑" w:hAnsi="微软雅黑" w:eastAsia="微软雅黑" w:cs="仿宋_GB2312"/>
          <w:color w:val="000000" w:themeColor="text1"/>
          <w:szCs w:val="21"/>
          <w14:textFill>
            <w14:solidFill>
              <w14:schemeClr w14:val="tx1"/>
            </w14:solidFill>
          </w14:textFill>
        </w:rPr>
        <w:t>，</w:t>
      </w:r>
      <w:r>
        <w:rPr>
          <w:rFonts w:hint="eastAsia" w:ascii="微软雅黑" w:hAnsi="微软雅黑" w:eastAsia="微软雅黑" w:cs="仿宋_GB2312"/>
          <w:color w:val="000000" w:themeColor="text1"/>
          <w14:textFill>
            <w14:solidFill>
              <w14:schemeClr w14:val="tx1"/>
            </w14:solidFill>
          </w14:textFill>
        </w:rPr>
        <w:t>至价值时点，估价对象已被查封，根据估价目的，故本次评估不考虑查封对估价对象价值的影响，在此提请报告使用者注意</w:t>
      </w:r>
      <w:r>
        <w:rPr>
          <w:rFonts w:hint="eastAsia" w:ascii="微软雅黑" w:hAnsi="微软雅黑" w:eastAsia="微软雅黑" w:cs="仿宋_GB2312"/>
          <w:szCs w:val="21"/>
        </w:rPr>
        <w:t xml:space="preserve">。 </w:t>
      </w:r>
    </w:p>
    <w:p>
      <w:pPr>
        <w:pStyle w:val="8"/>
        <w:numPr>
          <w:ilvl w:val="0"/>
          <w:numId w:val="6"/>
        </w:numPr>
        <w:adjustRightInd w:val="0"/>
        <w:snapToGrid w:val="0"/>
        <w:spacing w:line="288" w:lineRule="auto"/>
        <w:ind w:firstLineChars="0"/>
        <w:rPr>
          <w:rFonts w:ascii="微软雅黑" w:hAnsi="微软雅黑" w:eastAsia="微软雅黑" w:cs="仿宋_GB2312"/>
          <w:b/>
          <w:sz w:val="22"/>
          <w:szCs w:val="22"/>
        </w:rPr>
      </w:pPr>
      <w:r>
        <w:rPr>
          <w:rFonts w:hint="eastAsia" w:ascii="微软雅黑" w:hAnsi="微软雅黑" w:eastAsia="微软雅黑" w:cs="仿宋_GB2312"/>
          <w:b/>
          <w:sz w:val="22"/>
          <w:szCs w:val="22"/>
        </w:rPr>
        <w:t>估价对象基本情况</w:t>
      </w:r>
    </w:p>
    <w:p>
      <w:pPr>
        <w:adjustRightInd w:val="0"/>
        <w:snapToGrid w:val="0"/>
        <w:spacing w:before="240" w:beforeLines="100" w:after="120" w:afterLines="50"/>
        <w:ind w:left="848" w:leftChars="404"/>
        <w:rPr>
          <w:rFonts w:ascii="微软雅黑" w:hAnsi="微软雅黑" w:eastAsia="微软雅黑" w:cs="仿宋_GB2312"/>
          <w:b/>
          <w:sz w:val="22"/>
          <w:szCs w:val="22"/>
        </w:rPr>
      </w:pPr>
      <w:r>
        <w:rPr>
          <w:rFonts w:hint="eastAsia" w:ascii="微软雅黑" w:hAnsi="微软雅黑" w:eastAsia="微软雅黑" w:cs="仿宋_GB2312"/>
          <w:b/>
          <w:sz w:val="22"/>
          <w:szCs w:val="22"/>
        </w:rPr>
        <w:t>（1）建筑物实物状况</w:t>
      </w:r>
    </w:p>
    <w:p>
      <w:pPr>
        <w:pStyle w:val="8"/>
        <w:adjustRightInd w:val="0"/>
        <w:snapToGrid w:val="0"/>
        <w:spacing w:line="288" w:lineRule="auto"/>
        <w:ind w:left="1276" w:firstLine="0" w:firstLineChars="0"/>
        <w:rPr>
          <w:rFonts w:ascii="微软雅黑" w:hAnsi="微软雅黑" w:eastAsia="微软雅黑" w:cs="仿宋_GB2312"/>
        </w:rPr>
      </w:pPr>
      <w:r>
        <w:rPr>
          <w:rFonts w:hint="eastAsia" w:ascii="宋体" w:hAnsi="宋体" w:cs="仿宋_GB2312"/>
          <w:bCs/>
          <w:snapToGrid w:val="0"/>
          <w:color w:val="000000"/>
          <w:kern w:val="0"/>
          <w:sz w:val="28"/>
          <w:szCs w:val="28"/>
        </w:rPr>
        <w:t>◆</w:t>
      </w:r>
      <w:r>
        <w:rPr>
          <w:rFonts w:hint="eastAsia" w:ascii="微软雅黑" w:hAnsi="微软雅黑" w:eastAsia="微软雅黑" w:cs="仿宋_GB2312"/>
        </w:rPr>
        <w:t>建筑物状况：估价对象位于杭州市余杭区仁和镇仁和金鼎公寓3幢2单元1702室，所在建筑物金鼎公寓3幢为钢筋混凝土结构，总层数共18层，建成于2009年，约九成成新。整幢建筑物共两个单元，外墙采用条形砖，整体保养较好。</w:t>
      </w:r>
    </w:p>
    <w:p>
      <w:pPr>
        <w:pStyle w:val="8"/>
        <w:adjustRightInd w:val="0"/>
        <w:snapToGrid w:val="0"/>
        <w:spacing w:line="288" w:lineRule="auto"/>
        <w:ind w:left="1276" w:firstLine="0" w:firstLineChars="0"/>
        <w:rPr>
          <w:rFonts w:ascii="微软雅黑" w:hAnsi="微软雅黑" w:eastAsia="微软雅黑" w:cs="仿宋_GB2312"/>
        </w:rPr>
      </w:pPr>
      <w:r>
        <w:rPr>
          <w:rFonts w:hint="eastAsia" w:ascii="宋体" w:hAnsi="宋体" w:cs="仿宋_GB2312"/>
          <w:bCs/>
          <w:snapToGrid w:val="0"/>
          <w:color w:val="000000"/>
          <w:kern w:val="0"/>
          <w:sz w:val="28"/>
          <w:szCs w:val="28"/>
        </w:rPr>
        <w:t>◆</w:t>
      </w:r>
      <w:r>
        <w:rPr>
          <w:rFonts w:hint="eastAsia" w:ascii="微软雅黑" w:hAnsi="微软雅黑" w:eastAsia="微软雅黑" w:cs="仿宋_GB2312"/>
        </w:rPr>
        <w:t>估价对象房屋状况：估价对象为该十八层钢筋混凝土结构建筑物之第17-18层住宅用房，建筑面积为294.11平方米。单元平面布局为二梯二户，西边套，现户型为四室三厅一厨三卫三露台，其中：17层为二室二厅一卫一厨一露台，18层为二室一厅二卫二露台</w:t>
      </w:r>
      <w:r>
        <w:rPr>
          <w:rFonts w:hint="eastAsia" w:ascii="微软雅黑" w:hAnsi="微软雅黑" w:eastAsia="微软雅黑" w:cs="宋体"/>
          <w:color w:val="000000"/>
          <w:kern w:val="0"/>
          <w:sz w:val="20"/>
          <w:szCs w:val="20"/>
        </w:rPr>
        <w:t>。</w:t>
      </w:r>
      <w:r>
        <w:rPr>
          <w:rFonts w:hint="eastAsia" w:ascii="微软雅黑" w:hAnsi="微软雅黑" w:eastAsia="微软雅黑" w:cs="仿宋_GB2312"/>
        </w:rPr>
        <w:t>室内为毛坯，通风、采光较好，水、电等设施齐全，房屋总体使用与保养状况较好。</w:t>
      </w:r>
    </w:p>
    <w:p>
      <w:pPr>
        <w:pStyle w:val="8"/>
        <w:adjustRightInd w:val="0"/>
        <w:snapToGrid w:val="0"/>
        <w:spacing w:line="288" w:lineRule="auto"/>
        <w:ind w:left="1276" w:firstLine="0" w:firstLineChars="0"/>
        <w:rPr>
          <w:rFonts w:ascii="微软雅黑" w:hAnsi="微软雅黑" w:eastAsia="微软雅黑" w:cs="仿宋_GB2312"/>
        </w:rPr>
      </w:pPr>
      <w:r>
        <w:rPr>
          <w:rFonts w:hint="eastAsia" w:ascii="宋体" w:hAnsi="宋体" w:cs="仿宋_GB2312"/>
          <w:bCs/>
          <w:snapToGrid w:val="0"/>
          <w:color w:val="000000"/>
          <w:kern w:val="0"/>
          <w:sz w:val="28"/>
          <w:szCs w:val="28"/>
        </w:rPr>
        <w:t>◆</w:t>
      </w:r>
      <w:r>
        <w:rPr>
          <w:rFonts w:hint="eastAsia" w:ascii="微软雅黑" w:hAnsi="微软雅黑" w:eastAsia="微软雅黑" w:cs="仿宋_GB2312"/>
        </w:rPr>
        <w:t>估价对象利用现状：估价对象至价值时点处于空置中。</w:t>
      </w:r>
    </w:p>
    <w:p>
      <w:pPr>
        <w:adjustRightInd w:val="0"/>
        <w:snapToGrid w:val="0"/>
        <w:spacing w:before="240" w:beforeLines="100" w:after="120" w:afterLines="50"/>
        <w:ind w:left="848" w:leftChars="404"/>
        <w:rPr>
          <w:rFonts w:ascii="微软雅黑" w:hAnsi="微软雅黑" w:eastAsia="微软雅黑" w:cs="仿宋_GB2312"/>
          <w:b/>
          <w:sz w:val="22"/>
          <w:szCs w:val="22"/>
        </w:rPr>
      </w:pPr>
      <w:r>
        <w:rPr>
          <w:rFonts w:hint="eastAsia" w:ascii="微软雅黑" w:hAnsi="微软雅黑" w:eastAsia="微软雅黑" w:cs="仿宋_GB2312"/>
          <w:b/>
          <w:sz w:val="22"/>
          <w:szCs w:val="22"/>
        </w:rPr>
        <w:t>（2）土地实物状况</w:t>
      </w:r>
    </w:p>
    <w:p>
      <w:pPr>
        <w:pStyle w:val="9"/>
        <w:adjustRightInd w:val="0"/>
        <w:snapToGrid w:val="0"/>
        <w:spacing w:line="288" w:lineRule="auto"/>
        <w:ind w:left="1276" w:firstLine="0" w:firstLineChars="0"/>
        <w:jc w:val="left"/>
        <w:rPr>
          <w:rFonts w:ascii="微软雅黑" w:hAnsi="微软雅黑" w:eastAsia="微软雅黑" w:cs="仿宋_GB2312"/>
          <w:szCs w:val="21"/>
        </w:rPr>
      </w:pPr>
      <w:r>
        <w:rPr>
          <w:rFonts w:hint="eastAsia" w:ascii="微软雅黑" w:hAnsi="微软雅黑" w:eastAsia="微软雅黑" w:cs="仿宋_GB2312"/>
          <w:szCs w:val="21"/>
        </w:rPr>
        <w:t>估价对象坐落于杭州市余杭区仁和镇仁和金鼎公寓3幢2单元1702室，</w:t>
      </w:r>
      <w:bookmarkStart w:id="82" w:name="OLE_LINK26"/>
      <w:bookmarkStart w:id="83" w:name="OLE_LINK27"/>
      <w:bookmarkStart w:id="84" w:name="OLE_LINK39"/>
      <w:bookmarkStart w:id="85" w:name="OLE_LINK31"/>
      <w:bookmarkStart w:id="86" w:name="OLE_LINK36"/>
      <w:bookmarkStart w:id="87" w:name="OLE_LINK35"/>
      <w:bookmarkStart w:id="88" w:name="OLE_LINK34"/>
      <w:bookmarkStart w:id="89" w:name="OLE_LINK23"/>
      <w:bookmarkStart w:id="90" w:name="OLE_LINK32"/>
      <w:bookmarkStart w:id="91" w:name="OLE_LINK28"/>
      <w:bookmarkStart w:id="92" w:name="OLE_LINK24"/>
      <w:bookmarkStart w:id="93" w:name="OLE_LINK38"/>
      <w:bookmarkStart w:id="94" w:name="OLE_LINK37"/>
      <w:bookmarkStart w:id="95" w:name="OLE_LINK25"/>
      <w:bookmarkStart w:id="96" w:name="OLE_LINK33"/>
      <w:r>
        <w:rPr>
          <w:rFonts w:hint="eastAsia" w:ascii="微软雅黑" w:hAnsi="微软雅黑" w:eastAsia="微软雅黑" w:cs="仿宋_GB2312"/>
          <w:szCs w:val="21"/>
        </w:rPr>
        <w:t>所在地块</w: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rPr>
          <w:rFonts w:hint="eastAsia" w:ascii="微软雅黑" w:hAnsi="微软雅黑" w:eastAsia="微软雅黑" w:cs="仿宋_GB2312"/>
          <w:szCs w:val="21"/>
        </w:rPr>
        <w:t>东近仁和大道，南临和旺街，西北临府中街，地块呈较不规则形状，水文地质条件较好，土壤无污染，环境质量较好，地质坚实，承载力适于建筑，地下水水质未发现污染，无不良地质现象。</w:t>
      </w:r>
    </w:p>
    <w:p>
      <w:pPr>
        <w:pStyle w:val="9"/>
        <w:adjustRightInd w:val="0"/>
        <w:snapToGrid w:val="0"/>
        <w:spacing w:line="288" w:lineRule="auto"/>
        <w:ind w:left="1276" w:firstLine="0" w:firstLineChars="0"/>
        <w:jc w:val="left"/>
        <w:rPr>
          <w:rFonts w:ascii="微软雅黑" w:hAnsi="微软雅黑" w:eastAsia="微软雅黑" w:cs="仿宋_GB2312"/>
          <w:szCs w:val="21"/>
        </w:rPr>
      </w:pPr>
      <w:r>
        <w:rPr>
          <w:rFonts w:hint="eastAsia" w:ascii="微软雅黑" w:hAnsi="微软雅黑" w:eastAsia="微软雅黑" w:cs="仿宋_GB2312"/>
          <w:szCs w:val="21"/>
        </w:rPr>
        <w:t>估价对象土地使用权</w:t>
      </w:r>
      <w:r>
        <w:rPr>
          <w:rFonts w:hint="eastAsia" w:ascii="微软雅黑" w:hAnsi="微软雅黑" w:eastAsia="微软雅黑" w:cs="仿宋_GB2312"/>
        </w:rPr>
        <w:t>面积为37.6平方米，用途为住宅，土地权利类型为国有建设用地使用权，权利性质为出让，终止日期为2077年07月15日。</w:t>
      </w:r>
      <w:r>
        <w:rPr>
          <w:rFonts w:hint="eastAsia" w:ascii="微软雅黑" w:hAnsi="微软雅黑" w:eastAsia="微软雅黑" w:cs="仿宋_GB2312"/>
          <w:szCs w:val="21"/>
        </w:rPr>
        <w:t>至价值时点，该宗地外达到“六通”（通上水、通下水、通电、通路、通讯、通气），宗地内达到“六通一平” （通上水、通下水、通电、通路、通讯、通气及场地平整）。</w:t>
      </w:r>
    </w:p>
    <w:p>
      <w:pPr>
        <w:pStyle w:val="8"/>
        <w:numPr>
          <w:ilvl w:val="0"/>
          <w:numId w:val="6"/>
        </w:numPr>
        <w:adjustRightInd w:val="0"/>
        <w:snapToGrid w:val="0"/>
        <w:spacing w:line="288" w:lineRule="auto"/>
        <w:ind w:firstLineChars="0"/>
        <w:rPr>
          <w:rFonts w:ascii="微软雅黑" w:hAnsi="微软雅黑" w:eastAsia="微软雅黑" w:cs="仿宋_GB2312"/>
          <w:b/>
          <w:sz w:val="22"/>
          <w:szCs w:val="22"/>
        </w:rPr>
      </w:pPr>
      <w:r>
        <w:rPr>
          <w:rFonts w:hint="eastAsia" w:ascii="微软雅黑" w:hAnsi="微软雅黑" w:eastAsia="微软雅黑" w:cs="仿宋_GB2312"/>
          <w:b/>
          <w:sz w:val="22"/>
          <w:szCs w:val="22"/>
        </w:rPr>
        <w:t>区位状况描述与分析</w:t>
      </w:r>
    </w:p>
    <w:p>
      <w:pPr>
        <w:pStyle w:val="9"/>
        <w:adjustRightInd w:val="0"/>
        <w:snapToGrid w:val="0"/>
        <w:spacing w:line="288" w:lineRule="auto"/>
        <w:ind w:left="1276" w:firstLine="0" w:firstLineChars="0"/>
        <w:jc w:val="left"/>
        <w:rPr>
          <w:rFonts w:ascii="微软雅黑" w:hAnsi="微软雅黑" w:eastAsia="微软雅黑" w:cs="仿宋_GB2312"/>
          <w:szCs w:val="21"/>
        </w:rPr>
      </w:pPr>
      <w:r>
        <w:rPr>
          <w:rFonts w:hint="eastAsia" w:ascii="微软雅黑" w:hAnsi="微软雅黑" w:eastAsia="微软雅黑" w:cs="仿宋_GB2312"/>
          <w:szCs w:val="21"/>
        </w:rPr>
        <w:t>区域状况主要包括位置状况、交通状况、环境状况、公共配套状况、区位状况及规划条件、区域状况分析等，本次主要分析如下：</w:t>
      </w:r>
    </w:p>
    <w:tbl>
      <w:tblPr>
        <w:tblStyle w:val="6"/>
        <w:tblW w:w="7974" w:type="dxa"/>
        <w:jc w:val="right"/>
        <w:tblInd w:w="0"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709"/>
        <w:gridCol w:w="1311"/>
        <w:gridCol w:w="5954"/>
      </w:tblGrid>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restart"/>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位置状况</w:t>
            </w: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坐落</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杭州市余杭区仁和镇仁和金鼎公寓3幢2单元1702室</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continue"/>
            <w:vAlign w:val="center"/>
          </w:tcPr>
          <w:p>
            <w:pPr>
              <w:widowControl/>
              <w:jc w:val="left"/>
              <w:rPr>
                <w:rFonts w:ascii="微软雅黑" w:hAnsi="微软雅黑" w:eastAsia="微软雅黑" w:cs="宋体"/>
                <w:color w:val="000000"/>
                <w:kern w:val="0"/>
                <w:sz w:val="20"/>
                <w:szCs w:val="20"/>
              </w:rPr>
            </w:pP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方位</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位于仁和大道及和旺街交叉口西北面</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continue"/>
            <w:vAlign w:val="center"/>
          </w:tcPr>
          <w:p>
            <w:pPr>
              <w:widowControl/>
              <w:jc w:val="left"/>
              <w:rPr>
                <w:rFonts w:ascii="微软雅黑" w:hAnsi="微软雅黑" w:eastAsia="微软雅黑" w:cs="宋体"/>
                <w:color w:val="000000"/>
                <w:kern w:val="0"/>
                <w:sz w:val="20"/>
                <w:szCs w:val="20"/>
              </w:rPr>
            </w:pP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临路状况</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东近仁和大道，南临和旺街，西北临府中街</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continue"/>
            <w:vAlign w:val="center"/>
          </w:tcPr>
          <w:p>
            <w:pPr>
              <w:widowControl/>
              <w:jc w:val="left"/>
              <w:rPr>
                <w:rFonts w:ascii="微软雅黑" w:hAnsi="微软雅黑" w:eastAsia="微软雅黑" w:cs="宋体"/>
                <w:color w:val="000000"/>
                <w:kern w:val="0"/>
                <w:sz w:val="20"/>
                <w:szCs w:val="20"/>
              </w:rPr>
            </w:pP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距离</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临近仁和镇政府</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continue"/>
            <w:vAlign w:val="center"/>
          </w:tcPr>
          <w:p>
            <w:pPr>
              <w:widowControl/>
              <w:jc w:val="left"/>
              <w:rPr>
                <w:rFonts w:ascii="微软雅黑" w:hAnsi="微软雅黑" w:eastAsia="微软雅黑" w:cs="宋体"/>
                <w:color w:val="000000"/>
                <w:kern w:val="0"/>
                <w:sz w:val="20"/>
                <w:szCs w:val="20"/>
              </w:rPr>
            </w:pP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朝向</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房屋主体南北朝向</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continue"/>
            <w:vAlign w:val="center"/>
          </w:tcPr>
          <w:p>
            <w:pPr>
              <w:widowControl/>
              <w:jc w:val="left"/>
              <w:rPr>
                <w:rFonts w:ascii="微软雅黑" w:hAnsi="微软雅黑" w:eastAsia="微软雅黑" w:cs="宋体"/>
                <w:color w:val="000000"/>
                <w:kern w:val="0"/>
                <w:sz w:val="20"/>
                <w:szCs w:val="20"/>
              </w:rPr>
            </w:pP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楼层</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总楼层18层，估价对象位于17-18层</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restart"/>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交通状况</w:t>
            </w: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道路</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周边有仁和大道、运溪路、长深高速等，道路通达度较好</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continue"/>
            <w:vAlign w:val="center"/>
          </w:tcPr>
          <w:p>
            <w:pPr>
              <w:widowControl/>
              <w:jc w:val="left"/>
              <w:rPr>
                <w:rFonts w:ascii="微软雅黑" w:hAnsi="微软雅黑" w:eastAsia="微软雅黑" w:cs="宋体"/>
                <w:color w:val="000000"/>
                <w:kern w:val="0"/>
                <w:sz w:val="20"/>
                <w:szCs w:val="20"/>
              </w:rPr>
            </w:pP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公共交通</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附近设有“仁和镇政府”公交站点：</w:t>
            </w:r>
            <w:r>
              <w:rPr>
                <w:rFonts w:ascii="微软雅黑" w:hAnsi="微软雅黑" w:eastAsia="微软雅黑" w:cs="仿宋_GB2312"/>
              </w:rPr>
              <w:t>65路;438路;487路;778路;779a路;779c路;779d路;787路;1299路</w:t>
            </w:r>
            <w:r>
              <w:rPr>
                <w:rFonts w:hint="eastAsia" w:ascii="微软雅黑" w:hAnsi="微软雅黑" w:eastAsia="微软雅黑" w:cs="仿宋_GB2312"/>
              </w:rPr>
              <w:t>等公交车通行，公共交通便捷度一般</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358" w:hRule="atLeast"/>
          <w:jc w:val="right"/>
        </w:trPr>
        <w:tc>
          <w:tcPr>
            <w:tcW w:w="709" w:type="dxa"/>
            <w:vMerge w:val="continue"/>
            <w:vAlign w:val="center"/>
          </w:tcPr>
          <w:p>
            <w:pPr>
              <w:widowControl/>
              <w:jc w:val="left"/>
              <w:rPr>
                <w:rFonts w:ascii="微软雅黑" w:hAnsi="微软雅黑" w:eastAsia="微软雅黑" w:cs="宋体"/>
                <w:color w:val="000000"/>
                <w:kern w:val="0"/>
                <w:sz w:val="20"/>
                <w:szCs w:val="20"/>
              </w:rPr>
            </w:pP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交通管制</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无交通管制限制</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continue"/>
            <w:vAlign w:val="center"/>
          </w:tcPr>
          <w:p>
            <w:pPr>
              <w:widowControl/>
              <w:jc w:val="left"/>
              <w:rPr>
                <w:rFonts w:ascii="微软雅黑" w:hAnsi="微软雅黑" w:eastAsia="微软雅黑" w:cs="宋体"/>
                <w:color w:val="000000"/>
                <w:kern w:val="0"/>
                <w:sz w:val="20"/>
                <w:szCs w:val="20"/>
              </w:rPr>
            </w:pP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停车便利度</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小区设有地下停车场，停车便利度一般</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restart"/>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环境状况</w:t>
            </w: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自然环境</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自然环境一般</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continue"/>
            <w:vAlign w:val="center"/>
          </w:tcPr>
          <w:p>
            <w:pPr>
              <w:widowControl/>
              <w:jc w:val="left"/>
              <w:rPr>
                <w:rFonts w:ascii="微软雅黑" w:hAnsi="微软雅黑" w:eastAsia="微软雅黑" w:cs="宋体"/>
                <w:color w:val="000000"/>
                <w:kern w:val="0"/>
                <w:sz w:val="20"/>
                <w:szCs w:val="20"/>
              </w:rPr>
            </w:pP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人文环境</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人文环境一般</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restart"/>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公共配套状况</w:t>
            </w: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基础设施</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宗地外“六通”，已完成开发建设</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709" w:type="dxa"/>
            <w:vMerge w:val="continue"/>
            <w:vAlign w:val="center"/>
          </w:tcPr>
          <w:p>
            <w:pPr>
              <w:widowControl/>
              <w:jc w:val="left"/>
              <w:rPr>
                <w:rFonts w:ascii="微软雅黑" w:hAnsi="微软雅黑" w:eastAsia="微软雅黑" w:cs="宋体"/>
                <w:color w:val="000000"/>
                <w:kern w:val="0"/>
                <w:sz w:val="20"/>
                <w:szCs w:val="20"/>
              </w:rPr>
            </w:pPr>
          </w:p>
        </w:tc>
        <w:tc>
          <w:tcPr>
            <w:tcW w:w="1311" w:type="dxa"/>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公共服务设施</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周边有余杭区仁和街道社区卫生服务中心、中国工商银行、中国农业银行、超市、农贸市场等，公共服务设施一般</w:t>
            </w:r>
          </w:p>
        </w:tc>
      </w:tr>
      <w:tr>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Ex>
        <w:trPr>
          <w:trHeight w:val="20" w:hRule="atLeast"/>
          <w:jc w:val="right"/>
        </w:trPr>
        <w:tc>
          <w:tcPr>
            <w:tcW w:w="2020" w:type="dxa"/>
            <w:gridSpan w:val="2"/>
            <w:shd w:val="clear" w:color="000000" w:fill="FFFFFF"/>
            <w:vAlign w:val="center"/>
          </w:tcPr>
          <w:p>
            <w:pPr>
              <w:widowControl/>
              <w:jc w:val="center"/>
              <w:rPr>
                <w:rFonts w:ascii="微软雅黑" w:hAnsi="微软雅黑" w:eastAsia="微软雅黑" w:cs="宋体"/>
                <w:color w:val="000000"/>
                <w:kern w:val="0"/>
                <w:sz w:val="20"/>
                <w:szCs w:val="20"/>
              </w:rPr>
            </w:pPr>
            <w:r>
              <w:rPr>
                <w:rFonts w:hint="eastAsia" w:ascii="微软雅黑" w:hAnsi="微软雅黑" w:eastAsia="微软雅黑" w:cs="宋体"/>
                <w:color w:val="000000"/>
                <w:kern w:val="0"/>
                <w:sz w:val="20"/>
                <w:szCs w:val="20"/>
              </w:rPr>
              <w:t>区位状况及规划条件</w:t>
            </w:r>
          </w:p>
        </w:tc>
        <w:tc>
          <w:tcPr>
            <w:tcW w:w="5954" w:type="dxa"/>
            <w:shd w:val="clear" w:color="000000" w:fill="FFFFFF"/>
            <w:vAlign w:val="center"/>
          </w:tcPr>
          <w:p>
            <w:pPr>
              <w:widowControl/>
              <w:jc w:val="center"/>
              <w:rPr>
                <w:rFonts w:ascii="微软雅黑" w:hAnsi="微软雅黑" w:eastAsia="微软雅黑" w:cs="仿宋_GB2312"/>
              </w:rPr>
            </w:pPr>
            <w:r>
              <w:rPr>
                <w:rFonts w:hint="eastAsia" w:ascii="微软雅黑" w:hAnsi="微软雅黑" w:eastAsia="微软雅黑" w:cs="仿宋_GB2312"/>
              </w:rPr>
              <w:t>估价对象地处杭州市余杭区仁和镇，临近仁和镇政府，区位状况及规划条件较好</w:t>
            </w:r>
          </w:p>
        </w:tc>
      </w:tr>
    </w:tbl>
    <w:p>
      <w:pPr>
        <w:pStyle w:val="9"/>
        <w:adjustRightInd w:val="0"/>
        <w:snapToGrid w:val="0"/>
        <w:spacing w:line="288" w:lineRule="auto"/>
        <w:ind w:left="1276" w:firstLine="0" w:firstLineChars="0"/>
        <w:jc w:val="left"/>
        <w:rPr>
          <w:rFonts w:ascii="微软雅黑" w:hAnsi="微软雅黑" w:eastAsia="微软雅黑" w:cs="仿宋_GB2312"/>
          <w:szCs w:val="21"/>
        </w:rPr>
      </w:pPr>
    </w:p>
    <w:p>
      <w:pPr>
        <w:pStyle w:val="3"/>
        <w:spacing w:before="240" w:after="120" w:line="240" w:lineRule="auto"/>
        <w:ind w:left="424" w:leftChars="202"/>
        <w:rPr>
          <w:rFonts w:ascii="微软雅黑" w:hAnsi="微软雅黑" w:eastAsia="微软雅黑" w:cs="仿宋_GB2312"/>
          <w:sz w:val="24"/>
          <w:szCs w:val="24"/>
        </w:rPr>
      </w:pPr>
      <w:bookmarkStart w:id="97" w:name="_Toc50102000"/>
      <w:r>
        <w:rPr>
          <w:rFonts w:hint="eastAsia" w:ascii="微软雅黑" w:hAnsi="微软雅黑" w:eastAsia="微软雅黑" w:cs="仿宋_GB2312"/>
          <w:sz w:val="24"/>
          <w:szCs w:val="24"/>
        </w:rPr>
        <w:t>（五）价值时点</w:t>
      </w:r>
      <w:bookmarkEnd w:id="97"/>
    </w:p>
    <w:p>
      <w:pPr>
        <w:pStyle w:val="9"/>
        <w:adjustRightInd w:val="0"/>
        <w:snapToGrid w:val="0"/>
        <w:spacing w:line="288" w:lineRule="auto"/>
        <w:ind w:left="1276" w:firstLine="0" w:firstLineChars="0"/>
        <w:jc w:val="left"/>
        <w:rPr>
          <w:rFonts w:ascii="微软雅黑" w:hAnsi="微软雅黑" w:eastAsia="微软雅黑" w:cs="仿宋_GB2312"/>
          <w:szCs w:val="21"/>
        </w:rPr>
      </w:pPr>
      <w:bookmarkStart w:id="98" w:name="_Toc384364487"/>
      <w:bookmarkStart w:id="99" w:name="_Toc384323577"/>
      <w:r>
        <w:rPr>
          <w:rFonts w:hint="eastAsia" w:ascii="微软雅黑" w:hAnsi="微软雅黑" w:eastAsia="微软雅黑" w:cs="仿宋_GB2312"/>
          <w:szCs w:val="21"/>
        </w:rPr>
        <w:t>本次估价完成估价对象实地查勘之日为二〇二〇年八月二十一日，经与估价委托人商定，根据估价目的，价值时点确定为二〇二〇年八月二十一日。</w:t>
      </w:r>
      <w:bookmarkEnd w:id="98"/>
      <w:bookmarkEnd w:id="99"/>
    </w:p>
    <w:p>
      <w:pPr>
        <w:pStyle w:val="3"/>
        <w:spacing w:before="120" w:after="120" w:line="240" w:lineRule="auto"/>
        <w:ind w:left="424" w:leftChars="202"/>
        <w:rPr>
          <w:rFonts w:ascii="微软雅黑" w:hAnsi="微软雅黑" w:eastAsia="微软雅黑" w:cs="仿宋_GB2312"/>
          <w:sz w:val="24"/>
          <w:szCs w:val="24"/>
        </w:rPr>
      </w:pPr>
      <w:bookmarkStart w:id="100" w:name="_Toc301369720"/>
      <w:bookmarkStart w:id="101" w:name="_Toc254875144"/>
      <w:bookmarkStart w:id="102" w:name="_Toc269132873"/>
      <w:bookmarkStart w:id="103" w:name="_Toc243111690"/>
      <w:bookmarkStart w:id="104" w:name="_Toc367869502"/>
      <w:bookmarkStart w:id="105" w:name="_Toc243111719"/>
      <w:bookmarkStart w:id="106" w:name="_Toc130033726"/>
      <w:bookmarkStart w:id="107" w:name="_Toc270691072"/>
      <w:bookmarkStart w:id="108" w:name="_Toc135016176"/>
      <w:bookmarkStart w:id="109" w:name="_Toc254860130"/>
      <w:bookmarkStart w:id="110" w:name="_Toc50102001"/>
      <w:bookmarkStart w:id="111" w:name="_Toc471213362"/>
      <w:bookmarkStart w:id="112" w:name="_Toc471213332"/>
      <w:r>
        <w:rPr>
          <w:rFonts w:hint="eastAsia" w:ascii="微软雅黑" w:hAnsi="微软雅黑" w:eastAsia="微软雅黑" w:cs="仿宋_GB2312"/>
          <w:sz w:val="24"/>
          <w:szCs w:val="24"/>
        </w:rPr>
        <w:t>（六）价值</w:t>
      </w:r>
      <w:bookmarkEnd w:id="100"/>
      <w:bookmarkEnd w:id="101"/>
      <w:bookmarkEnd w:id="102"/>
      <w:bookmarkEnd w:id="103"/>
      <w:bookmarkEnd w:id="104"/>
      <w:bookmarkEnd w:id="105"/>
      <w:bookmarkEnd w:id="106"/>
      <w:bookmarkEnd w:id="107"/>
      <w:bookmarkEnd w:id="108"/>
      <w:bookmarkEnd w:id="109"/>
      <w:r>
        <w:rPr>
          <w:rFonts w:hint="eastAsia" w:ascii="微软雅黑" w:hAnsi="微软雅黑" w:eastAsia="微软雅黑" w:cs="仿宋_GB2312"/>
          <w:sz w:val="24"/>
          <w:szCs w:val="24"/>
        </w:rPr>
        <w:t>类型</w:t>
      </w:r>
      <w:bookmarkEnd w:id="110"/>
      <w:bookmarkEnd w:id="111"/>
      <w:bookmarkEnd w:id="112"/>
    </w:p>
    <w:p>
      <w:pPr>
        <w:pStyle w:val="9"/>
        <w:adjustRightInd w:val="0"/>
        <w:snapToGrid w:val="0"/>
        <w:spacing w:line="288" w:lineRule="auto"/>
        <w:ind w:left="1276" w:firstLine="0" w:firstLineChars="0"/>
        <w:jc w:val="left"/>
        <w:rPr>
          <w:rFonts w:ascii="微软雅黑" w:hAnsi="微软雅黑" w:eastAsia="微软雅黑" w:cs="仿宋_GB2312"/>
          <w:szCs w:val="21"/>
        </w:rPr>
      </w:pPr>
      <w:r>
        <w:rPr>
          <w:rFonts w:hint="eastAsia" w:ascii="微软雅黑" w:hAnsi="微软雅黑" w:eastAsia="微软雅黑" w:cs="仿宋_GB2312"/>
          <w:szCs w:val="21"/>
        </w:rPr>
        <w:t>本报告的房地产价值是指估价对象在在房地产公开市场条件下形成的于价值时点二〇二〇年八月二十一日的市场价值。</w:t>
      </w:r>
    </w:p>
    <w:p>
      <w:pPr>
        <w:pStyle w:val="9"/>
        <w:adjustRightInd w:val="0"/>
        <w:snapToGrid w:val="0"/>
        <w:spacing w:line="288" w:lineRule="auto"/>
        <w:ind w:left="1276" w:firstLine="0" w:firstLineChars="0"/>
        <w:jc w:val="left"/>
        <w:rPr>
          <w:rFonts w:ascii="微软雅黑" w:hAnsi="微软雅黑" w:eastAsia="微软雅黑" w:cs="仿宋_GB2312"/>
          <w:szCs w:val="21"/>
        </w:rPr>
      </w:pPr>
      <w:r>
        <w:rPr>
          <w:rFonts w:hint="eastAsia" w:ascii="宋体" w:hAnsi="宋体" w:cs="仿宋_GB2312"/>
          <w:bCs/>
          <w:snapToGrid w:val="0"/>
          <w:color w:val="000000"/>
          <w:kern w:val="0"/>
        </w:rPr>
        <w:t>◆</w:t>
      </w:r>
      <w:r>
        <w:rPr>
          <w:rFonts w:hint="eastAsia" w:ascii="微软雅黑" w:hAnsi="微软雅黑" w:eastAsia="微软雅黑" w:cs="仿宋_GB2312"/>
          <w:szCs w:val="21"/>
        </w:rPr>
        <w:t>设定状态如下：涉案的估价对象权属清晰，不考虑设定的抵押权、附带相关的拖欠物业管理费用、宽带、水电费等情况，能正常持续使用。</w:t>
      </w:r>
    </w:p>
    <w:p>
      <w:pPr>
        <w:pStyle w:val="9"/>
        <w:adjustRightInd w:val="0"/>
        <w:snapToGrid w:val="0"/>
        <w:spacing w:line="288" w:lineRule="auto"/>
        <w:ind w:left="1276" w:firstLine="0" w:firstLineChars="0"/>
        <w:jc w:val="left"/>
        <w:rPr>
          <w:rFonts w:ascii="微软雅黑" w:hAnsi="微软雅黑" w:eastAsia="微软雅黑" w:cs="仿宋_GB2312"/>
          <w:szCs w:val="21"/>
        </w:rPr>
      </w:pPr>
      <w:r>
        <w:rPr>
          <w:rFonts w:hint="eastAsia" w:ascii="宋体" w:hAnsi="宋体" w:cs="仿宋_GB2312"/>
          <w:bCs/>
          <w:snapToGrid w:val="0"/>
          <w:color w:val="000000"/>
          <w:kern w:val="0"/>
        </w:rPr>
        <w:t>◆</w:t>
      </w:r>
      <w:r>
        <w:rPr>
          <w:rFonts w:hint="eastAsia" w:ascii="微软雅黑" w:hAnsi="微软雅黑" w:eastAsia="微软雅黑" w:cs="仿宋_GB2312"/>
          <w:szCs w:val="21"/>
        </w:rPr>
        <w:t>房地产公开市场条件是指在下列交易条件下最可能实现的价格：①交易双方是自愿地进行交易的</w:t>
      </w:r>
      <w:r>
        <w:rPr>
          <w:rFonts w:ascii="微软雅黑" w:hAnsi="微软雅黑" w:eastAsia="微软雅黑" w:cs="仿宋_GB2312"/>
          <w:szCs w:val="21"/>
        </w:rPr>
        <w:t>——</w:t>
      </w:r>
      <w:r>
        <w:rPr>
          <w:rFonts w:hint="eastAsia" w:ascii="微软雅黑" w:hAnsi="微软雅黑" w:eastAsia="微软雅黑" w:cs="仿宋_GB2312"/>
          <w:szCs w:val="21"/>
        </w:rPr>
        <w:t>一个卖者并不是被迫将房地产卖给特定的买者，一个买者也不是被迫从特定的卖者那里购买房地产；②交易双方进行交易的目的是追求各自利益的最大化；③交易双方具有必要的专业知识并了解交易对象；④交易双方掌握必要的市场信息；⑤交易双方有较充裕的时间进行交易；⑥不存在买者因特殊兴趣而给予附加出价。</w:t>
      </w:r>
    </w:p>
    <w:p>
      <w:pPr>
        <w:pStyle w:val="9"/>
        <w:adjustRightInd w:val="0"/>
        <w:snapToGrid w:val="0"/>
        <w:spacing w:line="288" w:lineRule="auto"/>
        <w:ind w:left="1276" w:firstLine="0" w:firstLineChars="0"/>
        <w:jc w:val="left"/>
        <w:rPr>
          <w:rFonts w:ascii="微软雅黑" w:hAnsi="微软雅黑" w:eastAsia="微软雅黑" w:cs="仿宋_GB2312"/>
          <w:szCs w:val="21"/>
        </w:rPr>
      </w:pPr>
      <w:r>
        <w:rPr>
          <w:rFonts w:hint="eastAsia" w:ascii="宋体" w:hAnsi="宋体" w:cs="仿宋_GB2312"/>
          <w:bCs/>
          <w:snapToGrid w:val="0"/>
          <w:color w:val="000000"/>
          <w:kern w:val="0"/>
        </w:rPr>
        <w:t>◆</w:t>
      </w:r>
      <w:r>
        <w:rPr>
          <w:rFonts w:hint="eastAsia" w:ascii="微软雅黑" w:hAnsi="微软雅黑" w:eastAsia="微软雅黑" w:cs="仿宋_GB2312"/>
          <w:szCs w:val="21"/>
        </w:rPr>
        <w:t>本报告价格货币单位均为人民币。</w:t>
      </w:r>
    </w:p>
    <w:p>
      <w:pPr>
        <w:rPr>
          <w:rFonts w:hint="eastAsia" w:eastAsiaTheme="minorEastAsia"/>
          <w:lang w:eastAsia="zh-CN"/>
        </w:rPr>
      </w:pPr>
      <w:bookmarkStart w:id="113" w:name="_GoBack"/>
      <w:bookmarkEnd w:id="11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姚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before="120" w:beforeLines="50"/>
      <w:jc w:val="center"/>
    </w:pPr>
    <w:r>
      <mc:AlternateContent>
        <mc:Choice Requires="wps">
          <w:drawing>
            <wp:anchor distT="0" distB="0" distL="114300" distR="114300" simplePos="0" relativeHeight="251671552" behindDoc="0" locked="0" layoutInCell="1" allowOverlap="1">
              <wp:simplePos x="0" y="0"/>
              <wp:positionH relativeFrom="column">
                <wp:posOffset>-5080</wp:posOffset>
              </wp:positionH>
              <wp:positionV relativeFrom="paragraph">
                <wp:posOffset>57150</wp:posOffset>
              </wp:positionV>
              <wp:extent cx="5725160" cy="0"/>
              <wp:effectExtent l="0" t="0" r="0" b="0"/>
              <wp:wrapNone/>
              <wp:docPr id="4" name="直接箭头连接符 4"/>
              <wp:cNvGraphicFramePr/>
              <a:graphic xmlns:a="http://schemas.openxmlformats.org/drawingml/2006/main">
                <a:graphicData uri="http://schemas.microsoft.com/office/word/2010/wordprocessingShape">
                  <wps:wsp>
                    <wps:cNvCnPr/>
                    <wps:spPr>
                      <a:xfrm>
                        <a:off x="0" y="0"/>
                        <a:ext cx="572516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4pt;margin-top:4.5pt;height:0pt;width:450.8pt;z-index:251671552;mso-width-relative:page;mso-height-relative:page;" o:connectortype="straight" filled="f" coordsize="21600,21600" o:gfxdata="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haa7TTAAAABQEAAA8A&#10;AAAAAAAAAQAgAAAAIgAAAGRycy9kb3ducmV2LnhtbFBLAQIUABQAAAAIAIdO4kDO3eM84wEAAJ4D&#10;AAAOAAAAAAAAAAEAIAAAACIBAABkcnMvZTJvRG9jLnhtbFBLBQYAAAAABgAGAFkBAAB3BQAAAAA=&#10;">
              <v:path arrowok="t"/>
              <v:fill on="f" focussize="0,0"/>
              <v:stroke/>
              <v:imagedata o:title=""/>
              <o:lock v:ext="edit"/>
            </v:shape>
          </w:pict>
        </mc:Fallback>
      </mc:AlternateContent>
    </w:r>
    <w:r>
      <w:rPr>
        <w:rFonts w:hint="eastAsia" w:ascii="方正姚体" w:eastAsia="方正姚体" w:cs="方正姚体"/>
      </w:rPr>
      <w:t>地址：杭州市上城区庆春路</w:t>
    </w:r>
    <w:r>
      <w:rPr>
        <w:rFonts w:ascii="方正姚体" w:eastAsia="方正姚体" w:cs="方正姚体"/>
      </w:rPr>
      <w:t>159</w:t>
    </w:r>
    <w:r>
      <w:rPr>
        <w:rFonts w:hint="eastAsia" w:ascii="方正姚体" w:eastAsia="方正姚体" w:cs="方正姚体"/>
      </w:rPr>
      <w:t>号中河大厦</w:t>
    </w:r>
    <w:r>
      <w:rPr>
        <w:rFonts w:ascii="方正姚体" w:eastAsia="方正姚体" w:cs="方正姚体"/>
      </w:rPr>
      <w:t>70</w:t>
    </w:r>
    <w:r>
      <w:rPr>
        <w:rFonts w:hint="eastAsia" w:ascii="方正姚体" w:eastAsia="方正姚体" w:cs="方正姚体"/>
      </w:rPr>
      <w:t>1室                       联系电话</w:t>
    </w:r>
    <w:r>
      <w:rPr>
        <w:rFonts w:ascii="方正姚体" w:eastAsia="方正姚体" w:cs="方正姚体"/>
      </w:rPr>
      <w:t>/</w:t>
    </w:r>
    <w:r>
      <w:rPr>
        <w:rFonts w:hint="eastAsia" w:ascii="方正姚体" w:eastAsia="方正姚体" w:cs="方正姚体"/>
      </w:rPr>
      <w:t>客服电话：</w:t>
    </w:r>
    <w:r>
      <w:rPr>
        <w:rFonts w:ascii="方正姚体" w:eastAsia="方正姚体" w:cs="方正姚体"/>
      </w:rPr>
      <w:t>0571-</w:t>
    </w:r>
    <w:r>
      <w:rPr>
        <w:rFonts w:hint="eastAsia" w:ascii="方正姚体" w:eastAsia="方正姚体" w:cs="方正姚体"/>
      </w:rPr>
      <w:t>87793312</w:t>
    </w:r>
  </w:p>
  <w:p>
    <w:pPr>
      <w:pStyle w:val="4"/>
      <w:jc w:val="center"/>
    </w:pPr>
    <w:r>
      <w:rPr>
        <w:rFonts w:hint="eastAsia" w:ascii="方正姚体" w:eastAsia="方正姚体" w:cs="方正姚体"/>
      </w:rPr>
      <w:t>第</w:t>
    </w:r>
    <w:r>
      <w:rPr>
        <w:rFonts w:ascii="方正姚体" w:eastAsia="方正姚体" w:cs="方正姚体"/>
      </w:rPr>
      <w:fldChar w:fldCharType="begin"/>
    </w:r>
    <w:r>
      <w:rPr>
        <w:rFonts w:ascii="方正姚体" w:eastAsia="方正姚体" w:cs="方正姚体"/>
      </w:rPr>
      <w:instrText xml:space="preserve"> PAGE   \* MERGEFORMAT </w:instrText>
    </w:r>
    <w:r>
      <w:rPr>
        <w:rFonts w:ascii="方正姚体" w:eastAsia="方正姚体" w:cs="方正姚体"/>
      </w:rPr>
      <w:fldChar w:fldCharType="separate"/>
    </w:r>
    <w:r>
      <w:rPr>
        <w:rFonts w:ascii="方正姚体" w:eastAsia="方正姚体" w:cs="方正姚体"/>
        <w:lang w:val="zh-CN"/>
      </w:rPr>
      <w:t>3</w:t>
    </w:r>
    <w:r>
      <w:rPr>
        <w:rFonts w:ascii="方正姚体" w:eastAsia="方正姚体" w:cs="方正姚体"/>
      </w:rPr>
      <w:fldChar w:fldCharType="end"/>
    </w:r>
    <w:r>
      <w:rPr>
        <w:rFonts w:hint="eastAsia" w:ascii="方正姚体" w:eastAsia="方正姚体" w:cs="方正姚体"/>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left" w:pos="2490"/>
        <w:tab w:val="clear" w:pos="4153"/>
        <w:tab w:val="clear"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before="120" w:beforeLines="50"/>
      <w:jc w:val="center"/>
    </w:pPr>
    <w:r>
      <mc:AlternateContent>
        <mc:Choice Requires="wps">
          <w:drawing>
            <wp:anchor distT="0" distB="0" distL="114300" distR="114300" simplePos="0" relativeHeight="251673600" behindDoc="0" locked="0" layoutInCell="1" allowOverlap="1">
              <wp:simplePos x="0" y="0"/>
              <wp:positionH relativeFrom="column">
                <wp:posOffset>-5080</wp:posOffset>
              </wp:positionH>
              <wp:positionV relativeFrom="paragraph">
                <wp:posOffset>57150</wp:posOffset>
              </wp:positionV>
              <wp:extent cx="5725160" cy="0"/>
              <wp:effectExtent l="0" t="0" r="0" b="0"/>
              <wp:wrapNone/>
              <wp:docPr id="5" name="直接箭头连接符 5"/>
              <wp:cNvGraphicFramePr/>
              <a:graphic xmlns:a="http://schemas.openxmlformats.org/drawingml/2006/main">
                <a:graphicData uri="http://schemas.microsoft.com/office/word/2010/wordprocessingShape">
                  <wps:wsp>
                    <wps:cNvCnPr/>
                    <wps:spPr>
                      <a:xfrm>
                        <a:off x="0" y="0"/>
                        <a:ext cx="572516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4pt;margin-top:4.5pt;height:0pt;width:450.8pt;z-index:251673600;mso-width-relative:page;mso-height-relative:page;" o:connectortype="straight" filled="f" coordsize="21600,21600" o:gfxdata="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yFprtNMAAAAFAQAADwAA&#10;AAAAAAABACAAAAAiAAAAZHJzL2Rvd25yZXYueG1sUEsBAhQAFAAAAAgAh07iQKrKQKfiAQAAngMA&#10;AA4AAAAAAAAAAQAgAAAAIgEAAGRycy9lMm9Eb2MueG1sUEsFBgAAAAAGAAYAWQEAAHYFAAAAAA==&#10;">
              <v:path arrowok="t"/>
              <v:fill on="f" focussize="0,0"/>
              <v:stroke/>
              <v:imagedata o:title=""/>
              <o:lock v:ext="edit"/>
            </v:shape>
          </w:pict>
        </mc:Fallback>
      </mc:AlternateContent>
    </w:r>
    <w:r>
      <w:rPr>
        <w:rFonts w:hint="eastAsia" w:ascii="方正姚体" w:eastAsia="方正姚体" w:cs="方正姚体"/>
      </w:rPr>
      <w:t>地址：杭州市上城区庆春路</w:t>
    </w:r>
    <w:r>
      <w:rPr>
        <w:rFonts w:ascii="方正姚体" w:eastAsia="方正姚体" w:cs="方正姚体"/>
      </w:rPr>
      <w:t>159</w:t>
    </w:r>
    <w:r>
      <w:rPr>
        <w:rFonts w:hint="eastAsia" w:ascii="方正姚体" w:eastAsia="方正姚体" w:cs="方正姚体"/>
      </w:rPr>
      <w:t>号中河大厦</w:t>
    </w:r>
    <w:r>
      <w:rPr>
        <w:rFonts w:ascii="方正姚体" w:eastAsia="方正姚体" w:cs="方正姚体"/>
      </w:rPr>
      <w:t>70</w:t>
    </w:r>
    <w:r>
      <w:rPr>
        <w:rFonts w:hint="eastAsia" w:ascii="方正姚体" w:eastAsia="方正姚体" w:cs="方正姚体"/>
      </w:rPr>
      <w:t>1室                       联系电话</w:t>
    </w:r>
    <w:r>
      <w:rPr>
        <w:rFonts w:ascii="方正姚体" w:eastAsia="方正姚体" w:cs="方正姚体"/>
      </w:rPr>
      <w:t>/</w:t>
    </w:r>
    <w:r>
      <w:rPr>
        <w:rFonts w:hint="eastAsia" w:ascii="方正姚体" w:eastAsia="方正姚体" w:cs="方正姚体"/>
      </w:rPr>
      <w:t>客服电话：</w:t>
    </w:r>
    <w:r>
      <w:rPr>
        <w:rFonts w:ascii="方正姚体" w:eastAsia="方正姚体" w:cs="方正姚体"/>
      </w:rPr>
      <w:t>0571-</w:t>
    </w:r>
    <w:r>
      <w:rPr>
        <w:rFonts w:hint="eastAsia" w:ascii="方正姚体" w:eastAsia="方正姚体" w:cs="方正姚体"/>
      </w:rPr>
      <w:t>87793312</w:t>
    </w:r>
  </w:p>
  <w:p>
    <w:pPr>
      <w:pStyle w:val="4"/>
      <w:jc w:val="center"/>
      <w:rPr>
        <w:kern w:val="2"/>
        <w:sz w:val="21"/>
        <w:szCs w:val="21"/>
      </w:rPr>
    </w:pPr>
    <w:r>
      <w:rPr>
        <w:rFonts w:hint="eastAsia" w:ascii="方正姚体" w:eastAsia="方正姚体" w:cs="方正姚体"/>
      </w:rPr>
      <w:t>第</w:t>
    </w:r>
    <w:r>
      <w:rPr>
        <w:rFonts w:ascii="方正姚体" w:eastAsia="方正姚体" w:cs="方正姚体"/>
      </w:rPr>
      <w:fldChar w:fldCharType="begin"/>
    </w:r>
    <w:r>
      <w:rPr>
        <w:rFonts w:ascii="方正姚体" w:eastAsia="方正姚体" w:cs="方正姚体"/>
      </w:rPr>
      <w:instrText xml:space="preserve"> PAGE   \* MERGEFORMAT </w:instrText>
    </w:r>
    <w:r>
      <w:rPr>
        <w:rFonts w:ascii="方正姚体" w:eastAsia="方正姚体" w:cs="方正姚体"/>
      </w:rPr>
      <w:fldChar w:fldCharType="separate"/>
    </w:r>
    <w:r>
      <w:rPr>
        <w:rFonts w:ascii="方正姚体" w:eastAsia="方正姚体" w:cs="方正姚体"/>
        <w:lang w:val="zh-CN"/>
      </w:rPr>
      <w:t>18</w:t>
    </w:r>
    <w:r>
      <w:rPr>
        <w:rFonts w:ascii="方正姚体" w:eastAsia="方正姚体" w:cs="方正姚体"/>
      </w:rPr>
      <w:fldChar w:fldCharType="end"/>
    </w:r>
    <w:r>
      <w:rPr>
        <w:rFonts w:hint="eastAsia" w:ascii="方正姚体" w:eastAsia="方正姚体" w:cs="方正姚体"/>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pPr>
    <w:r>
      <mc:AlternateContent>
        <mc:Choice Requires="wps">
          <w:drawing>
            <wp:anchor distT="0" distB="0" distL="114300" distR="114300" simplePos="0" relativeHeight="251666432" behindDoc="0" locked="0" layoutInCell="1" allowOverlap="1">
              <wp:simplePos x="0" y="0"/>
              <wp:positionH relativeFrom="column">
                <wp:posOffset>42545</wp:posOffset>
              </wp:positionH>
              <wp:positionV relativeFrom="paragraph">
                <wp:posOffset>290830</wp:posOffset>
              </wp:positionV>
              <wp:extent cx="5725160" cy="0"/>
              <wp:effectExtent l="0" t="0" r="0" b="0"/>
              <wp:wrapNone/>
              <wp:docPr id="3" name="直接箭头连接符 3"/>
              <wp:cNvGraphicFramePr/>
              <a:graphic xmlns:a="http://schemas.openxmlformats.org/drawingml/2006/main">
                <a:graphicData uri="http://schemas.microsoft.com/office/word/2010/wordprocessingShape">
                  <wps:wsp>
                    <wps:cNvCnPr/>
                    <wps:spPr>
                      <a:xfrm>
                        <a:off x="0" y="0"/>
                        <a:ext cx="572516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3.35pt;margin-top:22.9pt;height:0pt;width:450.8pt;z-index:251666432;mso-width-relative:page;mso-height-relative:page;" o:connectortype="straight" filled="f" coordsize="21600,21600" o:gfxdata="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WZq+r1wAAAAcB&#10;AAAPAAAAAAAAAAEAIAAAACIAAABkcnMvZG93bnJldi54bWxQSwECFAAUAAAACACHTuJAcLVoSOMB&#10;AACeAwAADgAAAAAAAAABACAAAAAmAQAAZHJzL2Uyb0RvYy54bWxQSwUGAAAAAAYABgBZAQAAewUA&#10;AAAA&#10;">
              <v:path arrowok="t"/>
              <v:fill on="f" focussize="0,0"/>
              <v:stroke/>
              <v:imagedata o:title=""/>
              <o:lock v:ext="edit"/>
            </v:shape>
          </w:pict>
        </mc:Fallback>
      </mc:AlternateContent>
    </w:r>
    <w:r>
      <w:rPr>
        <w:rFonts w:hint="eastAsia" w:ascii="微软雅黑" w:hAnsi="微软雅黑" w:eastAsia="微软雅黑"/>
        <w:b/>
        <w:color w:val="595959" w:themeColor="text1" w:themeTint="A6"/>
        <w14:textFill>
          <w14:solidFill>
            <w14:schemeClr w14:val="tx1">
              <w14:lumMod w14:val="65000"/>
              <w14:lumOff w14:val="35000"/>
            </w14:schemeClr>
          </w14:solidFill>
        </w14:textFill>
      </w:rPr>
      <w:t>上海仲衡信银房地产评估有限公司浙江分公司</w:t>
    </w:r>
  </w:p>
  <w:p>
    <w:pPr>
      <w:pStyle w:val="5"/>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602C2"/>
    <w:multiLevelType w:val="multilevel"/>
    <w:tmpl w:val="02C602C2"/>
    <w:lvl w:ilvl="0" w:tentative="0">
      <w:start w:val="1"/>
      <w:numFmt w:val="japaneseCounting"/>
      <w:lvlText w:val="%1、"/>
      <w:lvlJc w:val="left"/>
      <w:pPr>
        <w:ind w:left="420" w:hanging="420"/>
      </w:pPr>
      <w:rPr>
        <w:rFonts w:hint="eastAsia"/>
        <w:b w:val="0"/>
        <w:bCs w:val="0"/>
      </w:rPr>
    </w:lvl>
    <w:lvl w:ilvl="1" w:tentative="0">
      <w:start w:val="1"/>
      <w:numFmt w:val="chineseCountingThousand"/>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rPr>
        <w:rFonts w:ascii="微软雅黑" w:hAnsi="微软雅黑" w:eastAsia="微软雅黑"/>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3A67A69"/>
    <w:multiLevelType w:val="multilevel"/>
    <w:tmpl w:val="13A67A69"/>
    <w:lvl w:ilvl="0" w:tentative="0">
      <w:start w:val="1"/>
      <w:numFmt w:val="decimal"/>
      <w:lvlText w:val="%1."/>
      <w:lvlJc w:val="left"/>
      <w:pPr>
        <w:ind w:left="2955" w:hanging="420"/>
      </w:pPr>
      <w:rPr>
        <w:rFonts w:hint="default"/>
      </w:rPr>
    </w:lvl>
    <w:lvl w:ilvl="1" w:tentative="0">
      <w:start w:val="1"/>
      <w:numFmt w:val="decimal"/>
      <w:lvlText w:val="%2、"/>
      <w:lvlJc w:val="left"/>
      <w:pPr>
        <w:ind w:left="3315" w:hanging="360"/>
      </w:pPr>
      <w:rPr>
        <w:rFonts w:hint="default"/>
      </w:rPr>
    </w:lvl>
    <w:lvl w:ilvl="2" w:tentative="0">
      <w:start w:val="1"/>
      <w:numFmt w:val="bullet"/>
      <w:lvlText w:val=""/>
      <w:lvlJc w:val="left"/>
      <w:pPr>
        <w:ind w:left="3795" w:hanging="420"/>
      </w:pPr>
      <w:rPr>
        <w:rFonts w:hint="default" w:ascii="Wingdings" w:hAnsi="Wingdings"/>
      </w:rPr>
    </w:lvl>
    <w:lvl w:ilvl="3" w:tentative="0">
      <w:start w:val="1"/>
      <w:numFmt w:val="bullet"/>
      <w:lvlText w:val=""/>
      <w:lvlJc w:val="left"/>
      <w:pPr>
        <w:ind w:left="4215" w:hanging="420"/>
      </w:pPr>
      <w:rPr>
        <w:rFonts w:hint="default" w:ascii="Wingdings" w:hAnsi="Wingdings"/>
      </w:rPr>
    </w:lvl>
    <w:lvl w:ilvl="4" w:tentative="0">
      <w:start w:val="1"/>
      <w:numFmt w:val="bullet"/>
      <w:lvlText w:val=""/>
      <w:lvlJc w:val="left"/>
      <w:pPr>
        <w:ind w:left="4635" w:hanging="420"/>
      </w:pPr>
      <w:rPr>
        <w:rFonts w:hint="default" w:ascii="Wingdings" w:hAnsi="Wingdings"/>
      </w:rPr>
    </w:lvl>
    <w:lvl w:ilvl="5" w:tentative="0">
      <w:start w:val="1"/>
      <w:numFmt w:val="bullet"/>
      <w:lvlText w:val=""/>
      <w:lvlJc w:val="left"/>
      <w:pPr>
        <w:ind w:left="5055" w:hanging="420"/>
      </w:pPr>
      <w:rPr>
        <w:rFonts w:hint="default" w:ascii="Wingdings" w:hAnsi="Wingdings"/>
      </w:rPr>
    </w:lvl>
    <w:lvl w:ilvl="6" w:tentative="0">
      <w:start w:val="1"/>
      <w:numFmt w:val="bullet"/>
      <w:lvlText w:val=""/>
      <w:lvlJc w:val="left"/>
      <w:pPr>
        <w:ind w:left="5475" w:hanging="420"/>
      </w:pPr>
      <w:rPr>
        <w:rFonts w:hint="default" w:ascii="Wingdings" w:hAnsi="Wingdings"/>
      </w:rPr>
    </w:lvl>
    <w:lvl w:ilvl="7" w:tentative="0">
      <w:start w:val="1"/>
      <w:numFmt w:val="bullet"/>
      <w:lvlText w:val=""/>
      <w:lvlJc w:val="left"/>
      <w:pPr>
        <w:ind w:left="5895" w:hanging="420"/>
      </w:pPr>
      <w:rPr>
        <w:rFonts w:hint="default" w:ascii="Wingdings" w:hAnsi="Wingdings"/>
      </w:rPr>
    </w:lvl>
    <w:lvl w:ilvl="8" w:tentative="0">
      <w:start w:val="1"/>
      <w:numFmt w:val="bullet"/>
      <w:lvlText w:val=""/>
      <w:lvlJc w:val="left"/>
      <w:pPr>
        <w:ind w:left="6315" w:hanging="420"/>
      </w:pPr>
      <w:rPr>
        <w:rFonts w:hint="default" w:ascii="Wingdings" w:hAnsi="Wingdings"/>
      </w:rPr>
    </w:lvl>
  </w:abstractNum>
  <w:abstractNum w:abstractNumId="2">
    <w:nsid w:val="14B63FFC"/>
    <w:multiLevelType w:val="multilevel"/>
    <w:tmpl w:val="14B63FFC"/>
    <w:lvl w:ilvl="0" w:tentative="0">
      <w:start w:val="1"/>
      <w:numFmt w:val="decimal"/>
      <w:lvlText w:val="（%1）"/>
      <w:lvlJc w:val="left"/>
      <w:pPr>
        <w:ind w:left="1568" w:hanging="720"/>
      </w:pPr>
      <w:rPr>
        <w:rFonts w:hint="default"/>
      </w:rPr>
    </w:lvl>
    <w:lvl w:ilvl="1" w:tentative="0">
      <w:start w:val="1"/>
      <w:numFmt w:val="lowerLetter"/>
      <w:lvlText w:val="%2)"/>
      <w:lvlJc w:val="left"/>
      <w:pPr>
        <w:ind w:left="1688" w:hanging="420"/>
      </w:pPr>
    </w:lvl>
    <w:lvl w:ilvl="2" w:tentative="0">
      <w:start w:val="1"/>
      <w:numFmt w:val="lowerRoman"/>
      <w:lvlText w:val="%3."/>
      <w:lvlJc w:val="right"/>
      <w:pPr>
        <w:ind w:left="2108" w:hanging="420"/>
      </w:pPr>
    </w:lvl>
    <w:lvl w:ilvl="3" w:tentative="0">
      <w:start w:val="1"/>
      <w:numFmt w:val="decimal"/>
      <w:lvlText w:val="%4."/>
      <w:lvlJc w:val="left"/>
      <w:pPr>
        <w:ind w:left="2528" w:hanging="420"/>
      </w:pPr>
    </w:lvl>
    <w:lvl w:ilvl="4" w:tentative="0">
      <w:start w:val="1"/>
      <w:numFmt w:val="lowerLetter"/>
      <w:lvlText w:val="%5)"/>
      <w:lvlJc w:val="left"/>
      <w:pPr>
        <w:ind w:left="2948" w:hanging="420"/>
      </w:pPr>
    </w:lvl>
    <w:lvl w:ilvl="5" w:tentative="0">
      <w:start w:val="1"/>
      <w:numFmt w:val="lowerRoman"/>
      <w:lvlText w:val="%6."/>
      <w:lvlJc w:val="right"/>
      <w:pPr>
        <w:ind w:left="3368" w:hanging="420"/>
      </w:pPr>
    </w:lvl>
    <w:lvl w:ilvl="6" w:tentative="0">
      <w:start w:val="1"/>
      <w:numFmt w:val="decimal"/>
      <w:lvlText w:val="%7."/>
      <w:lvlJc w:val="left"/>
      <w:pPr>
        <w:ind w:left="3788" w:hanging="420"/>
      </w:pPr>
    </w:lvl>
    <w:lvl w:ilvl="7" w:tentative="0">
      <w:start w:val="1"/>
      <w:numFmt w:val="lowerLetter"/>
      <w:lvlText w:val="%8)"/>
      <w:lvlJc w:val="left"/>
      <w:pPr>
        <w:ind w:left="4208" w:hanging="420"/>
      </w:pPr>
    </w:lvl>
    <w:lvl w:ilvl="8" w:tentative="0">
      <w:start w:val="1"/>
      <w:numFmt w:val="lowerRoman"/>
      <w:lvlText w:val="%9."/>
      <w:lvlJc w:val="right"/>
      <w:pPr>
        <w:ind w:left="4628" w:hanging="420"/>
      </w:pPr>
    </w:lvl>
  </w:abstractNum>
  <w:abstractNum w:abstractNumId="3">
    <w:nsid w:val="236C18B5"/>
    <w:multiLevelType w:val="multilevel"/>
    <w:tmpl w:val="236C18B5"/>
    <w:lvl w:ilvl="0" w:tentative="0">
      <w:start w:val="1"/>
      <w:numFmt w:val="decimal"/>
      <w:lvlText w:val="%1."/>
      <w:lvlJc w:val="left"/>
      <w:pPr>
        <w:ind w:left="2955"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7EF77B1"/>
    <w:multiLevelType w:val="multilevel"/>
    <w:tmpl w:val="37EF77B1"/>
    <w:lvl w:ilvl="0" w:tentative="0">
      <w:start w:val="1"/>
      <w:numFmt w:val="decimal"/>
      <w:lvlText w:val="（%1）"/>
      <w:lvlJc w:val="left"/>
      <w:pPr>
        <w:ind w:left="840" w:hanging="840"/>
      </w:pPr>
      <w:rPr>
        <w:rFonts w:hint="default" w:ascii="微软雅黑" w:hAnsi="微软雅黑" w:eastAsia="微软雅黑"/>
        <w:b/>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9577CA2"/>
    <w:multiLevelType w:val="multilevel"/>
    <w:tmpl w:val="39577CA2"/>
    <w:lvl w:ilvl="0" w:tentative="0">
      <w:start w:val="1"/>
      <w:numFmt w:val="decimal"/>
      <w:lvlText w:val="%1."/>
      <w:lvlJc w:val="left"/>
      <w:pPr>
        <w:ind w:left="1271" w:hanging="420"/>
      </w:pPr>
    </w:lvl>
    <w:lvl w:ilvl="1" w:tentative="0">
      <w:start w:val="1"/>
      <w:numFmt w:val="lowerLetter"/>
      <w:lvlText w:val="%2)"/>
      <w:lvlJc w:val="left"/>
      <w:pPr>
        <w:ind w:left="1691" w:hanging="420"/>
      </w:p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abstractNum w:abstractNumId="6">
    <w:nsid w:val="513C437B"/>
    <w:multiLevelType w:val="multilevel"/>
    <w:tmpl w:val="513C437B"/>
    <w:lvl w:ilvl="0" w:tentative="0">
      <w:start w:val="1"/>
      <w:numFmt w:val="decimal"/>
      <w:lvlText w:val="%1."/>
      <w:lvlJc w:val="left"/>
      <w:pPr>
        <w:ind w:left="2955" w:hanging="420"/>
      </w:pPr>
      <w:rPr>
        <w:rFonts w:hint="default"/>
      </w:rPr>
    </w:lvl>
    <w:lvl w:ilvl="1" w:tentative="0">
      <w:start w:val="1"/>
      <w:numFmt w:val="bullet"/>
      <w:lvlText w:val=""/>
      <w:lvlJc w:val="left"/>
      <w:pPr>
        <w:ind w:left="3375" w:hanging="420"/>
      </w:pPr>
      <w:rPr>
        <w:rFonts w:hint="default" w:ascii="Wingdings" w:hAnsi="Wingdings"/>
      </w:rPr>
    </w:lvl>
    <w:lvl w:ilvl="2" w:tentative="0">
      <w:start w:val="1"/>
      <w:numFmt w:val="bullet"/>
      <w:lvlText w:val=""/>
      <w:lvlJc w:val="left"/>
      <w:pPr>
        <w:ind w:left="3795" w:hanging="420"/>
      </w:pPr>
      <w:rPr>
        <w:rFonts w:hint="default" w:ascii="Wingdings" w:hAnsi="Wingdings"/>
      </w:rPr>
    </w:lvl>
    <w:lvl w:ilvl="3" w:tentative="0">
      <w:start w:val="1"/>
      <w:numFmt w:val="decimal"/>
      <w:lvlText w:val="%4."/>
      <w:lvlJc w:val="left"/>
      <w:pPr>
        <w:ind w:left="4215" w:hanging="420"/>
      </w:pPr>
      <w:rPr>
        <w:rFonts w:hint="default"/>
      </w:rPr>
    </w:lvl>
    <w:lvl w:ilvl="4" w:tentative="0">
      <w:start w:val="1"/>
      <w:numFmt w:val="bullet"/>
      <w:lvlText w:val=""/>
      <w:lvlJc w:val="left"/>
      <w:pPr>
        <w:ind w:left="4635" w:hanging="420"/>
      </w:pPr>
      <w:rPr>
        <w:rFonts w:hint="default" w:ascii="Wingdings" w:hAnsi="Wingdings"/>
      </w:rPr>
    </w:lvl>
    <w:lvl w:ilvl="5" w:tentative="0">
      <w:start w:val="1"/>
      <w:numFmt w:val="bullet"/>
      <w:lvlText w:val=""/>
      <w:lvlJc w:val="left"/>
      <w:pPr>
        <w:ind w:left="5055" w:hanging="420"/>
      </w:pPr>
      <w:rPr>
        <w:rFonts w:hint="default" w:ascii="Wingdings" w:hAnsi="Wingdings"/>
      </w:rPr>
    </w:lvl>
    <w:lvl w:ilvl="6" w:tentative="0">
      <w:start w:val="1"/>
      <w:numFmt w:val="bullet"/>
      <w:lvlText w:val=""/>
      <w:lvlJc w:val="left"/>
      <w:pPr>
        <w:ind w:left="5475" w:hanging="420"/>
      </w:pPr>
      <w:rPr>
        <w:rFonts w:hint="default" w:ascii="Wingdings" w:hAnsi="Wingdings"/>
      </w:rPr>
    </w:lvl>
    <w:lvl w:ilvl="7" w:tentative="0">
      <w:start w:val="1"/>
      <w:numFmt w:val="bullet"/>
      <w:lvlText w:val=""/>
      <w:lvlJc w:val="left"/>
      <w:pPr>
        <w:ind w:left="5895" w:hanging="420"/>
      </w:pPr>
      <w:rPr>
        <w:rFonts w:hint="default" w:ascii="Wingdings" w:hAnsi="Wingdings"/>
      </w:rPr>
    </w:lvl>
    <w:lvl w:ilvl="8" w:tentative="0">
      <w:start w:val="1"/>
      <w:numFmt w:val="bullet"/>
      <w:lvlText w:val=""/>
      <w:lvlJc w:val="left"/>
      <w:pPr>
        <w:ind w:left="6315" w:hanging="420"/>
      </w:pPr>
      <w:rPr>
        <w:rFonts w:hint="default" w:ascii="Wingdings" w:hAnsi="Wingdings"/>
      </w:rPr>
    </w:lvl>
  </w:abstractNum>
  <w:num w:numId="1">
    <w:abstractNumId w:val="4"/>
  </w:num>
  <w:num w:numId="2">
    <w:abstractNumId w:val="0"/>
  </w:num>
  <w:num w:numId="3">
    <w:abstractNumId w:val="6"/>
  </w:num>
  <w:num w:numId="4">
    <w:abstractNumId w:val="1"/>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9556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9"/>
    <w:pPr>
      <w:keepNext/>
      <w:keepLines/>
      <w:spacing w:before="340" w:after="330" w:line="578" w:lineRule="auto"/>
      <w:outlineLvl w:val="0"/>
    </w:pPr>
    <w:rPr>
      <w:b/>
      <w:bCs/>
      <w:kern w:val="44"/>
      <w:sz w:val="44"/>
      <w:szCs w:val="44"/>
    </w:rPr>
  </w:style>
  <w:style w:type="paragraph" w:styleId="3">
    <w:name w:val="heading 2"/>
    <w:basedOn w:val="1"/>
    <w:next w:val="1"/>
    <w:qFormat/>
    <w:uiPriority w:val="99"/>
    <w:pPr>
      <w:keepNext/>
      <w:keepLines/>
      <w:spacing w:before="260" w:after="260" w:line="416" w:lineRule="auto"/>
      <w:outlineLvl w:val="1"/>
    </w:pPr>
    <w:rPr>
      <w:rFonts w:ascii="Arial" w:hAnsi="Arial" w:eastAsia="黑体" w:cs="Arial"/>
      <w:b/>
      <w:bCs/>
      <w:sz w:val="32"/>
      <w:szCs w:val="32"/>
    </w:rPr>
  </w:style>
  <w:style w:type="character" w:default="1" w:styleId="7">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4">
    <w:name w:val="footer"/>
    <w:basedOn w:val="1"/>
    <w:qFormat/>
    <w:uiPriority w:val="99"/>
    <w:pPr>
      <w:tabs>
        <w:tab w:val="center" w:pos="4153"/>
        <w:tab w:val="right" w:pos="8306"/>
      </w:tabs>
      <w:adjustRightInd w:val="0"/>
      <w:spacing w:line="240" w:lineRule="atLeast"/>
      <w:jc w:val="left"/>
      <w:textAlignment w:val="baseline"/>
    </w:pPr>
    <w:rPr>
      <w:kern w:val="0"/>
      <w:sz w:val="18"/>
      <w:szCs w:val="18"/>
    </w:rPr>
  </w:style>
  <w:style w:type="paragraph" w:styleId="5">
    <w:name w:val="header"/>
    <w:basedOn w:val="1"/>
    <w:qFormat/>
    <w:uiPriority w:val="99"/>
    <w:pPr>
      <w:tabs>
        <w:tab w:val="center" w:pos="4153"/>
        <w:tab w:val="right" w:pos="8306"/>
      </w:tabs>
      <w:snapToGrid w:val="0"/>
      <w:jc w:val="center"/>
    </w:pPr>
    <w:rPr>
      <w:sz w:val="18"/>
      <w:szCs w:val="18"/>
    </w:rPr>
  </w:style>
  <w:style w:type="paragraph" w:customStyle="1" w:styleId="8">
    <w:name w:val="列出段落1"/>
    <w:basedOn w:val="1"/>
    <w:qFormat/>
    <w:uiPriority w:val="0"/>
    <w:pPr>
      <w:ind w:firstLine="420" w:firstLineChars="200"/>
    </w:pPr>
  </w:style>
  <w:style w:type="paragraph" w:styleId="9">
    <w:name w:val="List Paragraph"/>
    <w:basedOn w:val="1"/>
    <w:qFormat/>
    <w:uiPriority w:val="34"/>
    <w:pPr>
      <w:ind w:firstLine="420" w:firstLineChars="200"/>
    </w:pPr>
    <w:rPr>
      <w:szCs w:val="24"/>
    </w:rPr>
  </w:style>
  <w:style w:type="paragraph" w:customStyle="1" w:styleId="10">
    <w:name w:val="列出段落3"/>
    <w:basedOn w:val="1"/>
    <w:qFormat/>
    <w:uiPriority w:val="99"/>
    <w:pPr>
      <w:ind w:firstLine="420" w:firstLineChars="200"/>
    </w:pPr>
  </w:style>
  <w:style w:type="paragraph" w:customStyle="1" w:styleId="11">
    <w:name w:val="无间隔1"/>
    <w:qFormat/>
    <w:uiPriority w:val="1"/>
    <w:pPr>
      <w:widowControl w:val="0"/>
      <w:jc w:val="both"/>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2020-09-22T01:01:39Z</dcterms:created>
  <dc:creator>Administrator</dc:creator>
  <cp:lastModifiedBy>NTKO</cp:lastModifiedBy>
  <dcterms:modified xsi:type="dcterms:W3CDTF">2020-09-22T01:04:23Z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2052-11.8.2.8276</vt:lpwstr>
  </property>
</Properties>
</file>