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楷体" w:hAnsi="楷体" w:eastAsia="楷体" w:cs="楷体"/>
          <w:b/>
          <w:bCs/>
          <w:color w:val="000000" w:themeColor="text1"/>
          <w:sz w:val="52"/>
          <w:szCs w:val="52"/>
          <w:highlight w:val="none"/>
        </w:rPr>
      </w:pPr>
      <w:r>
        <w:rPr>
          <w:rFonts w:hint="eastAsia" w:ascii="楷体" w:hAnsi="楷体" w:eastAsia="楷体" w:cs="楷体"/>
          <w:b/>
          <w:bCs/>
          <w:color w:val="000000" w:themeColor="text1"/>
          <w:sz w:val="52"/>
          <w:szCs w:val="52"/>
          <w:highlight w:val="none"/>
        </w:rPr>
        <w:t xml:space="preserve">                                                                                                                    </w:t>
      </w:r>
    </w:p>
    <w:p>
      <w:pPr>
        <w:jc w:val="center"/>
        <w:rPr>
          <w:rFonts w:eastAsia="黑体"/>
          <w:b/>
          <w:sz w:val="44"/>
          <w:highlight w:val="none"/>
        </w:rPr>
      </w:pPr>
      <w:bookmarkStart w:id="0" w:name="_Toc28208"/>
      <w:bookmarkStart w:id="1" w:name="_Toc29133"/>
      <w:bookmarkStart w:id="2" w:name="_Toc76"/>
      <w:bookmarkStart w:id="3" w:name="_Toc243366088"/>
    </w:p>
    <w:p>
      <w:pPr>
        <w:jc w:val="center"/>
        <w:rPr>
          <w:rFonts w:eastAsia="黑体"/>
          <w:b/>
          <w:sz w:val="44"/>
          <w:highlight w:val="none"/>
        </w:rPr>
      </w:pPr>
    </w:p>
    <w:bookmarkEnd w:id="0"/>
    <w:bookmarkEnd w:id="1"/>
    <w:bookmarkEnd w:id="2"/>
    <w:p>
      <w:pPr>
        <w:spacing w:line="630" w:lineRule="exact"/>
        <w:jc w:val="center"/>
        <w:rPr>
          <w:rFonts w:eastAsia="黑体"/>
          <w:b/>
          <w:sz w:val="44"/>
          <w:highlight w:val="none"/>
        </w:rPr>
      </w:pPr>
      <w:bookmarkStart w:id="4" w:name="_Toc20347"/>
      <w:bookmarkStart w:id="5" w:name="_Toc456096203"/>
      <w:bookmarkStart w:id="6" w:name="_Toc4789"/>
      <w:bookmarkStart w:id="7" w:name="_Toc452629514"/>
      <w:bookmarkStart w:id="8" w:name="_Toc4856"/>
      <w:bookmarkStart w:id="9" w:name="_Toc980"/>
      <w:bookmarkStart w:id="10" w:name="_Toc25007"/>
      <w:r>
        <w:rPr>
          <w:rFonts w:hint="eastAsia" w:eastAsia="黑体"/>
          <w:b/>
          <w:sz w:val="44"/>
          <w:highlight w:val="none"/>
        </w:rPr>
        <w:t>房地产估价报告</w:t>
      </w:r>
    </w:p>
    <w:p>
      <w:pPr>
        <w:spacing w:line="630" w:lineRule="exact"/>
        <w:rPr>
          <w:highlight w:val="none"/>
        </w:rPr>
      </w:pPr>
    </w:p>
    <w:p>
      <w:pPr>
        <w:spacing w:line="630" w:lineRule="exact"/>
        <w:rPr>
          <w:b/>
          <w:sz w:val="28"/>
          <w:highlight w:val="none"/>
        </w:rPr>
      </w:pPr>
    </w:p>
    <w:p>
      <w:pPr>
        <w:spacing w:line="630" w:lineRule="exact"/>
        <w:rPr>
          <w:rFonts w:eastAsia="楷体"/>
          <w:sz w:val="28"/>
          <w:highlight w:val="none"/>
        </w:rPr>
      </w:pPr>
      <w:r>
        <w:rPr>
          <w:rFonts w:hint="eastAsia" w:eastAsia="楷体"/>
          <w:b/>
          <w:sz w:val="28"/>
          <w:highlight w:val="none"/>
        </w:rPr>
        <w:t>估价报告编号</w:t>
      </w:r>
      <w:r>
        <w:rPr>
          <w:rFonts w:hint="eastAsia" w:eastAsia="楷体"/>
          <w:sz w:val="28"/>
          <w:highlight w:val="none"/>
        </w:rPr>
        <w:t>：杭天平房估（</w:t>
      </w:r>
      <w:r>
        <w:rPr>
          <w:rFonts w:ascii="楷体" w:hAnsi="楷体" w:eastAsia="楷体"/>
          <w:sz w:val="28"/>
          <w:highlight w:val="none"/>
        </w:rPr>
        <w:t>202</w:t>
      </w:r>
      <w:r>
        <w:rPr>
          <w:rFonts w:hint="eastAsia" w:ascii="楷体" w:hAnsi="楷体" w:eastAsia="楷体"/>
          <w:sz w:val="28"/>
          <w:highlight w:val="none"/>
          <w:lang w:val="en-US" w:eastAsia="zh-CN"/>
        </w:rPr>
        <w:t>2</w:t>
      </w:r>
      <w:r>
        <w:rPr>
          <w:rFonts w:hint="eastAsia" w:eastAsia="楷体"/>
          <w:sz w:val="28"/>
          <w:highlight w:val="none"/>
        </w:rPr>
        <w:t>）字第</w:t>
      </w:r>
      <w:r>
        <w:rPr>
          <w:rFonts w:hint="eastAsia" w:ascii="楷体" w:hAnsi="楷体" w:eastAsia="楷体" w:cs="楷体"/>
          <w:sz w:val="28"/>
          <w:highlight w:val="none"/>
          <w:lang w:val="en-US" w:eastAsia="zh-CN"/>
        </w:rPr>
        <w:t>1295</w:t>
      </w:r>
      <w:r>
        <w:rPr>
          <w:rFonts w:hint="eastAsia" w:ascii="楷体" w:hAnsi="楷体" w:eastAsia="楷体"/>
          <w:sz w:val="28"/>
          <w:highlight w:val="none"/>
        </w:rPr>
        <w:t>号</w:t>
      </w:r>
    </w:p>
    <w:p>
      <w:pPr>
        <w:spacing w:line="630" w:lineRule="exact"/>
        <w:rPr>
          <w:rFonts w:eastAsia="楷体"/>
          <w:sz w:val="28"/>
          <w:highlight w:val="none"/>
        </w:rPr>
      </w:pPr>
    </w:p>
    <w:p>
      <w:pPr>
        <w:spacing w:line="630" w:lineRule="exact"/>
        <w:ind w:left="1968" w:hanging="1968" w:hangingChars="700"/>
        <w:rPr>
          <w:rFonts w:ascii="楷体" w:hAnsi="楷体" w:eastAsia="楷体"/>
          <w:spacing w:val="-6"/>
          <w:sz w:val="28"/>
          <w:szCs w:val="28"/>
          <w:highlight w:val="none"/>
        </w:rPr>
      </w:pPr>
      <w:r>
        <w:rPr>
          <w:rFonts w:hint="eastAsia" w:eastAsia="楷体"/>
          <w:b/>
          <w:sz w:val="28"/>
          <w:highlight w:val="none"/>
        </w:rPr>
        <w:t>估价项目名称：</w:t>
      </w:r>
      <w:r>
        <w:rPr>
          <w:rFonts w:hint="eastAsia" w:ascii="楷体" w:hAnsi="楷体" w:eastAsia="楷体"/>
          <w:spacing w:val="-6"/>
          <w:sz w:val="28"/>
          <w:szCs w:val="28"/>
          <w:highlight w:val="none"/>
          <w:lang w:val="en-US" w:eastAsia="zh-CN"/>
        </w:rPr>
        <w:t>杭州市余杭区仁和街道清合嘉园西区24幢1单元401室住宅</w:t>
      </w:r>
      <w:r>
        <w:rPr>
          <w:rFonts w:hint="eastAsia" w:eastAsia="楷体"/>
          <w:spacing w:val="-6"/>
          <w:sz w:val="28"/>
          <w:highlight w:val="none"/>
        </w:rPr>
        <w:t xml:space="preserve">房地产司法估价 </w:t>
      </w:r>
    </w:p>
    <w:p>
      <w:pPr>
        <w:spacing w:line="630" w:lineRule="exact"/>
        <w:ind w:left="1968" w:hanging="1968" w:hangingChars="700"/>
        <w:rPr>
          <w:rFonts w:eastAsia="楷体"/>
          <w:b/>
          <w:sz w:val="28"/>
          <w:highlight w:val="none"/>
        </w:rPr>
      </w:pPr>
    </w:p>
    <w:p>
      <w:pPr>
        <w:spacing w:line="630" w:lineRule="exact"/>
        <w:ind w:left="1968" w:hanging="1968" w:hangingChars="700"/>
        <w:rPr>
          <w:rFonts w:hint="eastAsia" w:eastAsia="楷体"/>
          <w:sz w:val="28"/>
          <w:highlight w:val="none"/>
          <w:lang w:eastAsia="zh-CN"/>
        </w:rPr>
      </w:pPr>
      <w:r>
        <w:rPr>
          <w:rFonts w:hint="eastAsia" w:eastAsia="楷体"/>
          <w:b/>
          <w:sz w:val="28"/>
          <w:highlight w:val="none"/>
        </w:rPr>
        <w:t>估价委托人：</w:t>
      </w:r>
      <w:r>
        <w:rPr>
          <w:rFonts w:hint="eastAsia" w:ascii="楷体" w:hAnsi="楷体" w:eastAsia="楷体"/>
          <w:sz w:val="28"/>
          <w:highlight w:val="none"/>
          <w:lang w:eastAsia="zh-CN"/>
        </w:rPr>
        <w:t>杭州市上城区人民法院</w:t>
      </w:r>
    </w:p>
    <w:p>
      <w:pPr>
        <w:spacing w:line="630" w:lineRule="exact"/>
        <w:rPr>
          <w:rFonts w:eastAsia="楷体"/>
          <w:b/>
          <w:sz w:val="28"/>
          <w:highlight w:val="none"/>
        </w:rPr>
      </w:pPr>
    </w:p>
    <w:p>
      <w:pPr>
        <w:spacing w:line="630" w:lineRule="exact"/>
        <w:rPr>
          <w:rFonts w:eastAsia="楷体"/>
          <w:sz w:val="28"/>
          <w:highlight w:val="none"/>
        </w:rPr>
      </w:pPr>
      <w:r>
        <w:rPr>
          <w:rFonts w:hint="eastAsia" w:eastAsia="楷体"/>
          <w:b/>
          <w:sz w:val="28"/>
          <w:highlight w:val="none"/>
        </w:rPr>
        <w:t>房地产估价机构：</w:t>
      </w:r>
      <w:r>
        <w:rPr>
          <w:rFonts w:hint="eastAsia" w:eastAsia="楷体"/>
          <w:sz w:val="28"/>
          <w:highlight w:val="none"/>
        </w:rPr>
        <w:t>杭州天平房地产评估有限公司</w:t>
      </w:r>
    </w:p>
    <w:p>
      <w:pPr>
        <w:spacing w:line="630" w:lineRule="exact"/>
        <w:rPr>
          <w:rFonts w:eastAsia="楷体"/>
          <w:b/>
          <w:sz w:val="28"/>
          <w:highlight w:val="none"/>
        </w:rPr>
      </w:pPr>
    </w:p>
    <w:p>
      <w:pPr>
        <w:spacing w:line="630" w:lineRule="exact"/>
        <w:rPr>
          <w:rFonts w:ascii="楷体" w:hAnsi="楷体" w:eastAsia="楷体" w:cs="楷体"/>
          <w:sz w:val="28"/>
          <w:highlight w:val="none"/>
        </w:rPr>
      </w:pPr>
      <w:r>
        <w:rPr>
          <w:rFonts w:hint="eastAsia" w:eastAsia="楷体"/>
          <w:b/>
          <w:sz w:val="28"/>
          <w:highlight w:val="none"/>
        </w:rPr>
        <w:t>注册房地产估价师：</w:t>
      </w:r>
      <w:r>
        <w:rPr>
          <w:rFonts w:hint="eastAsia" w:eastAsia="楷体"/>
          <w:sz w:val="28"/>
          <w:highlight w:val="none"/>
          <w:lang w:val="en-US" w:eastAsia="zh-CN"/>
        </w:rPr>
        <w:t>郑  玺</w:t>
      </w:r>
      <w:r>
        <w:rPr>
          <w:rFonts w:hint="eastAsia" w:eastAsia="楷体"/>
          <w:sz w:val="28"/>
          <w:highlight w:val="none"/>
        </w:rPr>
        <w:t xml:space="preserve">  </w:t>
      </w:r>
      <w:r>
        <w:rPr>
          <w:rFonts w:hint="eastAsia" w:eastAsia="楷体"/>
          <w:sz w:val="28"/>
          <w:szCs w:val="28"/>
          <w:highlight w:val="none"/>
        </w:rPr>
        <w:t>（注册号：</w:t>
      </w:r>
      <w:r>
        <w:rPr>
          <w:rFonts w:hint="eastAsia" w:ascii="楷体" w:hAnsi="楷体" w:eastAsia="楷体" w:cs="楷体"/>
          <w:sz w:val="28"/>
          <w:szCs w:val="28"/>
          <w:highlight w:val="none"/>
        </w:rPr>
        <w:t>33201</w:t>
      </w:r>
      <w:r>
        <w:rPr>
          <w:rFonts w:hint="eastAsia" w:ascii="楷体" w:hAnsi="楷体" w:eastAsia="楷体" w:cs="楷体"/>
          <w:sz w:val="28"/>
          <w:szCs w:val="28"/>
          <w:highlight w:val="none"/>
          <w:lang w:val="en-US" w:eastAsia="zh-CN"/>
        </w:rPr>
        <w:t>3</w:t>
      </w:r>
      <w:r>
        <w:rPr>
          <w:rFonts w:hint="eastAsia" w:ascii="楷体" w:hAnsi="楷体" w:eastAsia="楷体" w:cs="楷体"/>
          <w:sz w:val="28"/>
          <w:szCs w:val="28"/>
          <w:highlight w:val="none"/>
        </w:rPr>
        <w:t>0</w:t>
      </w:r>
      <w:r>
        <w:rPr>
          <w:rFonts w:hint="eastAsia" w:ascii="楷体" w:hAnsi="楷体" w:eastAsia="楷体" w:cs="楷体"/>
          <w:sz w:val="28"/>
          <w:szCs w:val="28"/>
          <w:highlight w:val="none"/>
          <w:lang w:val="en-US" w:eastAsia="zh-CN"/>
        </w:rPr>
        <w:t>035</w:t>
      </w:r>
      <w:r>
        <w:rPr>
          <w:rFonts w:hint="eastAsia" w:ascii="楷体" w:hAnsi="楷体" w:eastAsia="楷体" w:cs="楷体"/>
          <w:sz w:val="28"/>
          <w:szCs w:val="28"/>
          <w:highlight w:val="none"/>
        </w:rPr>
        <w:t>）</w:t>
      </w:r>
    </w:p>
    <w:p>
      <w:pPr>
        <w:tabs>
          <w:tab w:val="left" w:pos="1701"/>
          <w:tab w:val="left" w:pos="1843"/>
          <w:tab w:val="left" w:pos="1985"/>
          <w:tab w:val="left" w:pos="2127"/>
          <w:tab w:val="left" w:pos="2410"/>
          <w:tab w:val="left" w:pos="2552"/>
        </w:tabs>
        <w:spacing w:line="630" w:lineRule="exact"/>
        <w:ind w:firstLine="2520" w:firstLineChars="900"/>
        <w:rPr>
          <w:rFonts w:ascii="楷体" w:hAnsi="楷体" w:eastAsia="楷体" w:cs="楷体"/>
          <w:sz w:val="28"/>
          <w:highlight w:val="none"/>
        </w:rPr>
      </w:pPr>
    </w:p>
    <w:p>
      <w:pPr>
        <w:tabs>
          <w:tab w:val="left" w:pos="1701"/>
          <w:tab w:val="left" w:pos="1843"/>
          <w:tab w:val="left" w:pos="1985"/>
          <w:tab w:val="left" w:pos="2127"/>
          <w:tab w:val="left" w:pos="2410"/>
          <w:tab w:val="left" w:pos="2552"/>
        </w:tabs>
        <w:spacing w:line="630" w:lineRule="exact"/>
        <w:ind w:firstLine="2520" w:firstLineChars="900"/>
        <w:rPr>
          <w:rFonts w:ascii="宋体" w:hAnsi="宋体" w:eastAsia="楷体"/>
          <w:b/>
          <w:sz w:val="28"/>
          <w:highlight w:val="none"/>
        </w:rPr>
      </w:pPr>
      <w:r>
        <w:rPr>
          <w:rFonts w:hint="eastAsia" w:ascii="楷体" w:hAnsi="楷体" w:eastAsia="楷体" w:cs="楷体"/>
          <w:sz w:val="28"/>
          <w:highlight w:val="none"/>
        </w:rPr>
        <w:t xml:space="preserve">秦振贤  </w:t>
      </w:r>
      <w:r>
        <w:rPr>
          <w:rFonts w:hint="eastAsia" w:ascii="楷体" w:hAnsi="楷体" w:eastAsia="楷体" w:cs="楷体"/>
          <w:sz w:val="28"/>
          <w:szCs w:val="28"/>
          <w:highlight w:val="none"/>
        </w:rPr>
        <w:t>（注册号：3320190188）</w:t>
      </w:r>
    </w:p>
    <w:p>
      <w:pPr>
        <w:spacing w:line="630" w:lineRule="exact"/>
        <w:rPr>
          <w:rFonts w:eastAsia="楷体"/>
          <w:sz w:val="28"/>
          <w:highlight w:val="none"/>
        </w:rPr>
      </w:pPr>
    </w:p>
    <w:p>
      <w:pPr>
        <w:spacing w:line="630" w:lineRule="exact"/>
        <w:ind w:left="2238" w:hanging="2238" w:hangingChars="796"/>
        <w:rPr>
          <w:rFonts w:hint="eastAsia" w:eastAsia="楷体"/>
          <w:sz w:val="28"/>
          <w:highlight w:val="none"/>
          <w:lang w:val="en-US" w:eastAsia="zh-CN"/>
        </w:rPr>
      </w:pPr>
      <w:r>
        <w:rPr>
          <w:rFonts w:hint="eastAsia" w:eastAsia="楷体"/>
          <w:b/>
          <w:sz w:val="28"/>
          <w:highlight w:val="none"/>
        </w:rPr>
        <w:t>估价报告出具日期</w:t>
      </w:r>
      <w:r>
        <w:rPr>
          <w:rFonts w:hint="eastAsia" w:ascii="仿宋_GB2312" w:hAnsi="宋体" w:eastAsia="楷体"/>
          <w:b/>
          <w:sz w:val="28"/>
          <w:szCs w:val="28"/>
          <w:highlight w:val="none"/>
        </w:rPr>
        <w:t>：</w:t>
      </w:r>
      <w:r>
        <w:rPr>
          <w:rFonts w:hint="eastAsia" w:eastAsia="楷体"/>
          <w:sz w:val="28"/>
          <w:highlight w:val="none"/>
        </w:rPr>
        <w:t xml:space="preserve"> </w:t>
      </w:r>
      <w:r>
        <w:rPr>
          <w:rFonts w:hint="eastAsia" w:eastAsia="楷体"/>
          <w:sz w:val="28"/>
          <w:highlight w:val="none"/>
          <w:lang w:eastAsia="zh-CN"/>
        </w:rPr>
        <w:t>二Ο二二年七月</w:t>
      </w:r>
      <w:r>
        <w:rPr>
          <w:rFonts w:hint="eastAsia" w:eastAsia="楷体"/>
          <w:sz w:val="28"/>
          <w:highlight w:val="none"/>
          <w:lang w:val="en-US" w:eastAsia="zh-CN"/>
        </w:rPr>
        <w:t>二</w:t>
      </w:r>
      <w:r>
        <w:rPr>
          <w:rFonts w:hint="eastAsia" w:eastAsia="楷体"/>
          <w:sz w:val="28"/>
          <w:highlight w:val="none"/>
          <w:lang w:eastAsia="zh-CN"/>
        </w:rPr>
        <w:t>十</w:t>
      </w:r>
      <w:r>
        <w:rPr>
          <w:rFonts w:hint="eastAsia" w:eastAsia="楷体"/>
          <w:sz w:val="28"/>
          <w:highlight w:val="none"/>
          <w:lang w:val="en-US" w:eastAsia="zh-CN"/>
        </w:rPr>
        <w:t>九</w:t>
      </w:r>
      <w:r>
        <w:rPr>
          <w:rFonts w:hint="eastAsia" w:eastAsia="楷体"/>
          <w:sz w:val="28"/>
          <w:highlight w:val="none"/>
          <w:lang w:eastAsia="zh-CN"/>
        </w:rPr>
        <w:t>日</w:t>
      </w:r>
    </w:p>
    <w:p>
      <w:pPr>
        <w:spacing w:line="630" w:lineRule="exact"/>
        <w:ind w:left="2238" w:hanging="2228" w:hangingChars="796"/>
        <w:rPr>
          <w:rFonts w:hint="eastAsia" w:eastAsia="楷体"/>
          <w:sz w:val="28"/>
          <w:highlight w:val="none"/>
          <w:lang w:val="en-US" w:eastAsia="zh-CN"/>
        </w:rPr>
      </w:pPr>
    </w:p>
    <w:p>
      <w:pPr>
        <w:spacing w:line="630" w:lineRule="exact"/>
        <w:ind w:left="2238" w:hanging="2228" w:hangingChars="796"/>
        <w:rPr>
          <w:rFonts w:hint="eastAsia" w:eastAsia="楷体"/>
          <w:sz w:val="28"/>
          <w:highlight w:val="none"/>
          <w:lang w:val="en-US" w:eastAsia="zh-CN"/>
        </w:rPr>
      </w:pPr>
    </w:p>
    <w:p>
      <w:pPr>
        <w:keepNext w:val="0"/>
        <w:keepLines w:val="0"/>
        <w:pageBreakBefore w:val="0"/>
        <w:widowControl w:val="0"/>
        <w:kinsoku/>
        <w:wordWrap/>
        <w:overflowPunct/>
        <w:topLinePunct w:val="0"/>
        <w:autoSpaceDE/>
        <w:autoSpaceDN/>
        <w:bidi w:val="0"/>
        <w:adjustRightInd/>
        <w:snapToGrid/>
        <w:spacing w:before="0" w:afterLines="50" w:line="200" w:lineRule="exact"/>
        <w:jc w:val="center"/>
        <w:textAlignment w:val="auto"/>
        <w:rPr>
          <w:rFonts w:hint="eastAsia" w:ascii="黑体" w:hAnsi="黑体" w:eastAsia="黑体" w:cs="黑体"/>
          <w:b/>
          <w:bCs/>
          <w:color w:val="000000" w:themeColor="text1"/>
          <w:sz w:val="32"/>
          <w:szCs w:val="32"/>
          <w:highlight w:val="none"/>
        </w:rPr>
      </w:pPr>
      <w:bookmarkStart w:id="11" w:name="_Toc243366084"/>
    </w:p>
    <w:p>
      <w:pPr>
        <w:keepNext w:val="0"/>
        <w:keepLines w:val="0"/>
        <w:pageBreakBefore w:val="0"/>
        <w:widowControl w:val="0"/>
        <w:kinsoku/>
        <w:wordWrap/>
        <w:overflowPunct/>
        <w:topLinePunct w:val="0"/>
        <w:autoSpaceDE/>
        <w:autoSpaceDN/>
        <w:bidi w:val="0"/>
        <w:adjustRightInd/>
        <w:snapToGrid/>
        <w:spacing w:before="0" w:afterLines="50" w:line="630" w:lineRule="exact"/>
        <w:jc w:val="center"/>
        <w:textAlignment w:val="auto"/>
        <w:rPr>
          <w:rFonts w:ascii="楷体" w:hAnsi="楷体" w:eastAsia="楷体" w:cs="楷体"/>
          <w:b/>
          <w:bCs/>
          <w:color w:val="000000" w:themeColor="text1"/>
          <w:sz w:val="44"/>
          <w:szCs w:val="44"/>
          <w:highlight w:val="none"/>
        </w:rPr>
      </w:pPr>
      <w:r>
        <w:rPr>
          <w:rFonts w:hint="eastAsia" w:ascii="黑体" w:hAnsi="黑体" w:eastAsia="黑体" w:cs="黑体"/>
          <w:b/>
          <w:bCs/>
          <w:color w:val="000000" w:themeColor="text1"/>
          <w:sz w:val="32"/>
          <w:szCs w:val="32"/>
          <w:highlight w:val="none"/>
        </w:rPr>
        <w:t>致估价委托人函</w:t>
      </w:r>
      <w:bookmarkEnd w:id="11"/>
    </w:p>
    <w:p>
      <w:pPr>
        <w:keepNext w:val="0"/>
        <w:keepLines w:val="0"/>
        <w:pageBreakBefore w:val="0"/>
        <w:widowControl w:val="0"/>
        <w:kinsoku/>
        <w:wordWrap/>
        <w:overflowPunct/>
        <w:topLinePunct w:val="0"/>
        <w:autoSpaceDN/>
        <w:bidi w:val="0"/>
        <w:adjustRightInd/>
        <w:snapToGrid/>
        <w:spacing w:line="570" w:lineRule="exact"/>
        <w:rPr>
          <w:rFonts w:eastAsia="楷体"/>
          <w:sz w:val="28"/>
          <w:highlight w:val="none"/>
        </w:rPr>
      </w:pPr>
      <w:r>
        <w:rPr>
          <w:rFonts w:hint="eastAsia" w:ascii="楷体" w:hAnsi="楷体" w:eastAsia="楷体"/>
          <w:sz w:val="28"/>
          <w:szCs w:val="28"/>
          <w:highlight w:val="none"/>
          <w:lang w:eastAsia="zh-CN"/>
        </w:rPr>
        <w:t>杭州市上城区人民法院</w:t>
      </w:r>
      <w:r>
        <w:rPr>
          <w:rFonts w:hint="eastAsia" w:eastAsia="楷体"/>
          <w:sz w:val="28"/>
          <w:highlight w:val="none"/>
        </w:rPr>
        <w:t>：</w:t>
      </w:r>
    </w:p>
    <w:p>
      <w:pPr>
        <w:keepNext w:val="0"/>
        <w:keepLines w:val="0"/>
        <w:pageBreakBefore w:val="0"/>
        <w:widowControl w:val="0"/>
        <w:kinsoku/>
        <w:wordWrap/>
        <w:overflowPunct/>
        <w:topLinePunct w:val="0"/>
        <w:autoSpaceDE w:val="0"/>
        <w:autoSpaceDN/>
        <w:bidi w:val="0"/>
        <w:adjustRightInd/>
        <w:snapToGrid/>
        <w:spacing w:line="570" w:lineRule="exact"/>
        <w:ind w:firstLine="560" w:firstLineChars="200"/>
        <w:textAlignment w:val="bottom"/>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rPr>
        <w:t>受贵方委托，</w:t>
      </w:r>
      <w:r>
        <w:rPr>
          <w:rFonts w:hint="eastAsia" w:ascii="楷体" w:hAnsi="楷体" w:eastAsia="楷体" w:cs="楷体"/>
          <w:color w:val="000000"/>
          <w:sz w:val="28"/>
          <w:szCs w:val="28"/>
          <w:highlight w:val="none"/>
          <w:lang w:val="en-US" w:eastAsia="zh-CN"/>
        </w:rPr>
        <w:t>根据（2022）浙0102委评222号《资产评估委托书》</w:t>
      </w:r>
      <w:r>
        <w:rPr>
          <w:rFonts w:hint="eastAsia" w:ascii="楷体" w:hAnsi="楷体" w:eastAsia="楷体" w:cs="楷体"/>
          <w:sz w:val="28"/>
          <w:szCs w:val="28"/>
          <w:highlight w:val="none"/>
        </w:rPr>
        <w:t>，</w:t>
      </w:r>
      <w:r>
        <w:rPr>
          <w:rFonts w:hint="eastAsia" w:ascii="楷体" w:hAnsi="楷体" w:eastAsia="楷体" w:cs="楷体"/>
          <w:color w:val="000000"/>
          <w:sz w:val="28"/>
          <w:szCs w:val="28"/>
          <w:highlight w:val="none"/>
        </w:rPr>
        <w:t>我们按照估价程序，遵照《中华人民共和国城市房地产管理法》、《房地产估价规范》、</w:t>
      </w:r>
      <w:r>
        <w:rPr>
          <w:rFonts w:hint="eastAsia" w:ascii="楷体" w:hAnsi="楷体" w:eastAsia="楷体"/>
          <w:sz w:val="28"/>
          <w:szCs w:val="28"/>
          <w:highlight w:val="none"/>
        </w:rPr>
        <w:t>《最高人民法院关于人民法院确定财产处置参考价若干问题的规定》</w:t>
      </w:r>
      <w:r>
        <w:rPr>
          <w:rFonts w:hint="eastAsia" w:ascii="楷体" w:hAnsi="楷体" w:eastAsia="楷体" w:cs="楷体"/>
          <w:color w:val="000000"/>
          <w:sz w:val="28"/>
          <w:szCs w:val="28"/>
          <w:highlight w:val="none"/>
        </w:rPr>
        <w:t xml:space="preserve">等法律法规和技术标准对委托房地产进行了分析、测算和判断，现将估价结果报告如下： </w:t>
      </w:r>
    </w:p>
    <w:p>
      <w:pPr>
        <w:keepNext w:val="0"/>
        <w:keepLines w:val="0"/>
        <w:pageBreakBefore w:val="0"/>
        <w:widowControl w:val="0"/>
        <w:kinsoku/>
        <w:wordWrap/>
        <w:overflowPunct/>
        <w:topLinePunct w:val="0"/>
        <w:autoSpaceDE w:val="0"/>
        <w:autoSpaceDN/>
        <w:bidi w:val="0"/>
        <w:adjustRightInd/>
        <w:snapToGrid/>
        <w:spacing w:line="570" w:lineRule="exact"/>
        <w:ind w:firstLine="560" w:firstLineChars="200"/>
        <w:textAlignment w:val="bottom"/>
        <w:rPr>
          <w:rFonts w:hint="default" w:ascii="楷体" w:hAnsi="楷体" w:eastAsia="楷体"/>
          <w:sz w:val="28"/>
          <w:szCs w:val="28"/>
          <w:highlight w:val="none"/>
          <w:lang w:val="en-US"/>
        </w:rPr>
      </w:pPr>
      <w:r>
        <w:rPr>
          <w:rFonts w:hint="eastAsia" w:ascii="楷体" w:hAnsi="楷体" w:eastAsia="楷体" w:cs="楷体"/>
          <w:color w:val="000000"/>
          <w:sz w:val="28"/>
          <w:szCs w:val="28"/>
          <w:highlight w:val="none"/>
        </w:rPr>
        <w:t>【估价对象】</w:t>
      </w:r>
      <w:r>
        <w:rPr>
          <w:rFonts w:hint="eastAsia" w:ascii="楷体" w:hAnsi="楷体" w:eastAsia="楷体"/>
          <w:sz w:val="28"/>
          <w:szCs w:val="28"/>
          <w:highlight w:val="none"/>
          <w:lang w:val="en-US" w:eastAsia="zh-CN"/>
        </w:rPr>
        <w:t>张祥荣、徐忠联</w:t>
      </w:r>
      <w:r>
        <w:rPr>
          <w:rFonts w:hint="eastAsia" w:ascii="楷体" w:hAnsi="楷体" w:eastAsia="楷体"/>
          <w:sz w:val="28"/>
          <w:szCs w:val="28"/>
          <w:highlight w:val="none"/>
        </w:rPr>
        <w:t>所有的位于</w:t>
      </w:r>
      <w:r>
        <w:rPr>
          <w:rFonts w:hint="eastAsia" w:ascii="楷体" w:hAnsi="楷体" w:eastAsia="楷体"/>
          <w:spacing w:val="-6"/>
          <w:sz w:val="28"/>
          <w:szCs w:val="28"/>
          <w:highlight w:val="none"/>
          <w:lang w:val="en-US" w:eastAsia="zh-CN"/>
        </w:rPr>
        <w:t>杭州市余杭区仁和街道清合嘉园西区24幢1单元401室</w:t>
      </w:r>
      <w:r>
        <w:rPr>
          <w:rFonts w:hint="eastAsia" w:ascii="楷体" w:hAnsi="楷体" w:eastAsia="楷体"/>
          <w:sz w:val="28"/>
          <w:szCs w:val="28"/>
          <w:highlight w:val="none"/>
        </w:rPr>
        <w:t>住宅房地产（包含估价对象房屋所有权、国有土地使用权</w:t>
      </w:r>
      <w:r>
        <w:rPr>
          <w:rFonts w:hint="eastAsia" w:ascii="楷体" w:hAnsi="楷体" w:eastAsia="楷体"/>
          <w:sz w:val="28"/>
          <w:szCs w:val="28"/>
          <w:highlight w:val="none"/>
          <w:lang w:val="en-US" w:eastAsia="zh-CN"/>
        </w:rPr>
        <w:t>及室内固定装修</w:t>
      </w:r>
      <w:r>
        <w:rPr>
          <w:rFonts w:hint="eastAsia" w:ascii="楷体" w:hAnsi="楷体" w:eastAsia="楷体"/>
          <w:sz w:val="28"/>
          <w:szCs w:val="28"/>
          <w:highlight w:val="none"/>
        </w:rPr>
        <w:t>）。估价对象房屋</w:t>
      </w:r>
      <w:r>
        <w:rPr>
          <w:rFonts w:hint="eastAsia" w:ascii="楷体" w:hAnsi="楷体" w:eastAsia="楷体"/>
          <w:sz w:val="28"/>
          <w:szCs w:val="28"/>
          <w:highlight w:val="none"/>
          <w:lang w:eastAsia="zh-CN"/>
        </w:rPr>
        <w:t>建筑面积172.28平方米</w:t>
      </w:r>
      <w:r>
        <w:rPr>
          <w:rFonts w:hint="eastAsia" w:ascii="楷体" w:hAnsi="楷体" w:eastAsia="楷体"/>
          <w:sz w:val="28"/>
          <w:szCs w:val="28"/>
          <w:highlight w:val="none"/>
        </w:rPr>
        <w:t>，</w:t>
      </w:r>
      <w:r>
        <w:rPr>
          <w:rFonts w:hint="eastAsia" w:ascii="楷体" w:hAnsi="楷体" w:eastAsia="楷体"/>
          <w:sz w:val="28"/>
          <w:szCs w:val="28"/>
          <w:highlight w:val="none"/>
          <w:lang w:val="en-US" w:eastAsia="zh-CN"/>
        </w:rPr>
        <w:t>土地使用权面积90.1平方米，权利类型为国有建设用地使用权/房屋（构筑物）所有权，权利性质为出让/存量房产，使用期限至2073年06月28日。</w:t>
      </w:r>
    </w:p>
    <w:p>
      <w:pPr>
        <w:keepNext w:val="0"/>
        <w:keepLines w:val="0"/>
        <w:pageBreakBefore w:val="0"/>
        <w:widowControl w:val="0"/>
        <w:kinsoku/>
        <w:wordWrap/>
        <w:overflowPunct/>
        <w:topLinePunct w:val="0"/>
        <w:autoSpaceDE w:val="0"/>
        <w:autoSpaceDN/>
        <w:bidi w:val="0"/>
        <w:adjustRightInd/>
        <w:snapToGrid/>
        <w:spacing w:line="570" w:lineRule="exact"/>
        <w:ind w:firstLine="560" w:firstLineChars="200"/>
        <w:textAlignment w:val="bottom"/>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rPr>
        <w:t>【估价目的】</w:t>
      </w:r>
      <w:r>
        <w:rPr>
          <w:rFonts w:hint="eastAsia" w:ascii="楷体" w:hAnsi="楷体" w:eastAsia="楷体"/>
          <w:sz w:val="28"/>
          <w:highlight w:val="none"/>
        </w:rPr>
        <w:t>为人民法院确定财产处置参考价提供参考依据。</w:t>
      </w:r>
    </w:p>
    <w:p>
      <w:pPr>
        <w:keepNext w:val="0"/>
        <w:keepLines w:val="0"/>
        <w:pageBreakBefore w:val="0"/>
        <w:widowControl w:val="0"/>
        <w:kinsoku/>
        <w:wordWrap/>
        <w:overflowPunct/>
        <w:topLinePunct w:val="0"/>
        <w:autoSpaceDE w:val="0"/>
        <w:autoSpaceDN/>
        <w:bidi w:val="0"/>
        <w:adjustRightInd/>
        <w:snapToGrid/>
        <w:spacing w:line="570" w:lineRule="exact"/>
        <w:ind w:firstLine="560" w:firstLineChars="200"/>
        <w:textAlignment w:val="bottom"/>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rPr>
        <w:t>【价值时点】</w:t>
      </w:r>
      <w:r>
        <w:rPr>
          <w:rFonts w:hint="eastAsia" w:ascii="楷体" w:hAnsi="楷体" w:eastAsia="楷体" w:cs="楷体"/>
          <w:color w:val="000000"/>
          <w:sz w:val="28"/>
          <w:szCs w:val="28"/>
          <w:highlight w:val="none"/>
          <w:lang w:eastAsia="zh-CN"/>
        </w:rPr>
        <w:t>二Ο二二年七月二十五日</w:t>
      </w:r>
      <w:r>
        <w:rPr>
          <w:rFonts w:hint="eastAsia" w:ascii="楷体" w:hAnsi="楷体" w:eastAsia="楷体" w:cs="楷体"/>
          <w:color w:val="000000"/>
          <w:sz w:val="28"/>
          <w:szCs w:val="28"/>
          <w:highlight w:val="none"/>
        </w:rPr>
        <w:t>(实地查勘</w:t>
      </w:r>
      <w:r>
        <w:rPr>
          <w:rFonts w:hint="eastAsia" w:ascii="楷体" w:hAnsi="楷体" w:eastAsia="楷体" w:cs="楷体"/>
          <w:color w:val="000000"/>
          <w:sz w:val="28"/>
          <w:szCs w:val="28"/>
          <w:highlight w:val="none"/>
          <w:lang w:val="en-US" w:eastAsia="zh-CN"/>
        </w:rPr>
        <w:t>之</w:t>
      </w:r>
      <w:r>
        <w:rPr>
          <w:rFonts w:hint="eastAsia" w:ascii="楷体" w:hAnsi="楷体" w:eastAsia="楷体" w:cs="楷体"/>
          <w:color w:val="000000"/>
          <w:sz w:val="28"/>
          <w:szCs w:val="28"/>
          <w:highlight w:val="none"/>
        </w:rPr>
        <w:t>日)。</w:t>
      </w:r>
    </w:p>
    <w:p>
      <w:pPr>
        <w:keepNext w:val="0"/>
        <w:keepLines w:val="0"/>
        <w:pageBreakBefore w:val="0"/>
        <w:widowControl w:val="0"/>
        <w:kinsoku/>
        <w:wordWrap/>
        <w:overflowPunct/>
        <w:topLinePunct w:val="0"/>
        <w:autoSpaceDE w:val="0"/>
        <w:autoSpaceDN/>
        <w:bidi w:val="0"/>
        <w:adjustRightInd/>
        <w:snapToGrid/>
        <w:spacing w:line="570" w:lineRule="exact"/>
        <w:ind w:firstLine="560" w:firstLineChars="200"/>
        <w:textAlignment w:val="bottom"/>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rPr>
        <w:t>【价值类型】本次估价结果为估价对象在价值时点的市场价值。</w:t>
      </w:r>
    </w:p>
    <w:p>
      <w:pPr>
        <w:keepNext w:val="0"/>
        <w:keepLines w:val="0"/>
        <w:pageBreakBefore w:val="0"/>
        <w:widowControl w:val="0"/>
        <w:kinsoku/>
        <w:wordWrap/>
        <w:overflowPunct/>
        <w:topLinePunct w:val="0"/>
        <w:autoSpaceDE w:val="0"/>
        <w:autoSpaceDN/>
        <w:bidi w:val="0"/>
        <w:adjustRightInd/>
        <w:snapToGrid/>
        <w:spacing w:line="570" w:lineRule="exact"/>
        <w:ind w:firstLine="560" w:firstLineChars="200"/>
        <w:textAlignment w:val="bottom"/>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rPr>
        <w:t>【估价方法】</w:t>
      </w:r>
      <w:r>
        <w:rPr>
          <w:rFonts w:hint="eastAsia" w:ascii="楷体" w:hAnsi="楷体" w:eastAsia="楷体" w:cs="楷体"/>
          <w:color w:val="000000"/>
          <w:sz w:val="28"/>
          <w:szCs w:val="28"/>
          <w:highlight w:val="none"/>
          <w:lang w:val="en-US" w:eastAsia="zh-CN"/>
        </w:rPr>
        <w:t>本次估价</w:t>
      </w:r>
      <w:r>
        <w:rPr>
          <w:rFonts w:hint="eastAsia" w:ascii="楷体" w:hAnsi="楷体" w:eastAsia="楷体" w:cs="楷体"/>
          <w:color w:val="000000"/>
          <w:sz w:val="28"/>
          <w:szCs w:val="28"/>
          <w:highlight w:val="none"/>
        </w:rPr>
        <w:t>采用比较法</w:t>
      </w:r>
      <w:r>
        <w:rPr>
          <w:rFonts w:hint="eastAsia" w:ascii="楷体" w:hAnsi="楷体" w:eastAsia="楷体" w:cs="楷体"/>
          <w:color w:val="000000"/>
          <w:sz w:val="28"/>
          <w:szCs w:val="28"/>
          <w:highlight w:val="none"/>
          <w:lang w:val="en-US" w:eastAsia="zh-CN"/>
        </w:rPr>
        <w:t>和收益法</w:t>
      </w:r>
      <w:r>
        <w:rPr>
          <w:rFonts w:hint="eastAsia" w:ascii="楷体" w:hAnsi="楷体" w:eastAsia="楷体" w:cs="楷体"/>
          <w:color w:val="000000"/>
          <w:sz w:val="28"/>
          <w:szCs w:val="28"/>
          <w:highlight w:val="none"/>
        </w:rPr>
        <w:t>对估价对象进行测算。</w:t>
      </w:r>
    </w:p>
    <w:p>
      <w:pPr>
        <w:keepNext w:val="0"/>
        <w:keepLines w:val="0"/>
        <w:pageBreakBefore w:val="0"/>
        <w:widowControl w:val="0"/>
        <w:kinsoku/>
        <w:wordWrap/>
        <w:overflowPunct/>
        <w:topLinePunct w:val="0"/>
        <w:autoSpaceDN/>
        <w:bidi w:val="0"/>
        <w:adjustRightInd/>
        <w:snapToGrid/>
        <w:spacing w:line="570" w:lineRule="exact"/>
        <w:ind w:firstLine="560" w:firstLineChars="200"/>
        <w:rPr>
          <w:rFonts w:ascii="楷体" w:hAnsi="楷体" w:eastAsia="楷体"/>
          <w:bCs/>
          <w:sz w:val="28"/>
          <w:szCs w:val="22"/>
          <w:highlight w:val="none"/>
        </w:rPr>
      </w:pPr>
      <w:r>
        <w:rPr>
          <w:rFonts w:hint="eastAsia" w:ascii="楷体" w:hAnsi="楷体" w:eastAsia="楷体" w:cs="楷体"/>
          <w:color w:val="000000"/>
          <w:sz w:val="28"/>
          <w:szCs w:val="28"/>
          <w:highlight w:val="none"/>
        </w:rPr>
        <w:t>【估价结果】估价对象受本报告估价目的与</w:t>
      </w:r>
      <w:r>
        <w:rPr>
          <w:rFonts w:hint="eastAsia" w:ascii="楷体" w:hAnsi="楷体" w:eastAsia="楷体" w:cs="楷体"/>
          <w:color w:val="000000"/>
          <w:sz w:val="28"/>
          <w:szCs w:val="28"/>
          <w:highlight w:val="none"/>
          <w:lang w:val="en-US" w:eastAsia="zh-CN"/>
        </w:rPr>
        <w:t>估价</w:t>
      </w:r>
      <w:r>
        <w:rPr>
          <w:rFonts w:hint="eastAsia" w:ascii="楷体" w:hAnsi="楷体" w:eastAsia="楷体" w:cs="楷体"/>
          <w:color w:val="000000"/>
          <w:sz w:val="28"/>
          <w:szCs w:val="28"/>
          <w:highlight w:val="none"/>
        </w:rPr>
        <w:t>假设</w:t>
      </w:r>
      <w:r>
        <w:rPr>
          <w:rFonts w:hint="eastAsia" w:ascii="楷体" w:hAnsi="楷体" w:eastAsia="楷体" w:cs="楷体"/>
          <w:color w:val="000000"/>
          <w:sz w:val="28"/>
          <w:szCs w:val="28"/>
          <w:highlight w:val="none"/>
          <w:lang w:val="en-US" w:eastAsia="zh-CN"/>
        </w:rPr>
        <w:t>和</w:t>
      </w:r>
      <w:r>
        <w:rPr>
          <w:rFonts w:hint="eastAsia" w:ascii="楷体" w:hAnsi="楷体" w:eastAsia="楷体" w:cs="楷体"/>
          <w:color w:val="000000"/>
          <w:sz w:val="28"/>
          <w:szCs w:val="28"/>
          <w:highlight w:val="none"/>
        </w:rPr>
        <w:t>限制条件制约，于价值时点</w:t>
      </w:r>
      <w:r>
        <w:rPr>
          <w:rFonts w:hint="eastAsia" w:ascii="楷体" w:hAnsi="楷体" w:eastAsia="楷体"/>
          <w:sz w:val="28"/>
          <w:highlight w:val="none"/>
        </w:rPr>
        <w:t>的市场价值</w:t>
      </w:r>
      <w:r>
        <w:rPr>
          <w:rFonts w:hint="eastAsia" w:ascii="楷体" w:hAnsi="楷体" w:eastAsia="楷体"/>
          <w:sz w:val="28"/>
          <w:highlight w:val="none"/>
          <w:lang w:val="en-US" w:eastAsia="zh-CN"/>
        </w:rPr>
        <w:t>取整</w:t>
      </w:r>
      <w:r>
        <w:rPr>
          <w:rFonts w:hint="eastAsia" w:ascii="楷体" w:hAnsi="楷体" w:eastAsia="楷体"/>
          <w:sz w:val="28"/>
          <w:highlight w:val="none"/>
        </w:rPr>
        <w:t>为</w:t>
      </w:r>
      <w:r>
        <w:rPr>
          <w:rFonts w:hint="eastAsia" w:ascii="楷体" w:hAnsi="楷体" w:eastAsia="楷体"/>
          <w:b/>
          <w:sz w:val="28"/>
          <w:highlight w:val="none"/>
          <w:lang w:val="en-US" w:eastAsia="zh-CN"/>
        </w:rPr>
        <w:t>人民币293万元整（单价17000元/平方米），大写为人民币贰佰玖拾叁万元整。</w:t>
      </w:r>
    </w:p>
    <w:p>
      <w:pPr>
        <w:pStyle w:val="10"/>
        <w:keepNext w:val="0"/>
        <w:keepLines w:val="0"/>
        <w:pageBreakBefore w:val="0"/>
        <w:widowControl w:val="0"/>
        <w:kinsoku/>
        <w:wordWrap/>
        <w:overflowPunct/>
        <w:topLinePunct w:val="0"/>
        <w:autoSpaceDE/>
        <w:autoSpaceDN/>
        <w:bidi w:val="0"/>
        <w:adjustRightInd/>
        <w:snapToGrid/>
        <w:spacing w:before="0" w:after="0" w:afterLines="50" w:line="570" w:lineRule="exact"/>
        <w:ind w:firstLine="560" w:firstLineChars="200"/>
        <w:jc w:val="left"/>
        <w:textAlignment w:val="baseline"/>
        <w:rPr>
          <w:rFonts w:hint="eastAsia" w:ascii="楷体" w:hAnsi="楷体" w:eastAsia="楷体" w:cs="楷体"/>
          <w:color w:val="000000" w:themeColor="text1"/>
          <w:kern w:val="2"/>
          <w:szCs w:val="28"/>
          <w:highlight w:val="none"/>
        </w:rPr>
      </w:pPr>
      <w:r>
        <w:rPr>
          <w:rFonts w:hint="eastAsia" w:ascii="楷体" w:hAnsi="楷体" w:eastAsia="楷体" w:cs="楷体"/>
          <w:color w:val="000000" w:themeColor="text1"/>
          <w:kern w:val="2"/>
          <w:szCs w:val="28"/>
          <w:highlight w:val="none"/>
        </w:rPr>
        <w:t>特此函告！</w:t>
      </w:r>
    </w:p>
    <w:p>
      <w:pPr>
        <w:keepNext w:val="0"/>
        <w:keepLines w:val="0"/>
        <w:pageBreakBefore w:val="0"/>
        <w:widowControl w:val="0"/>
        <w:kinsoku/>
        <w:wordWrap/>
        <w:overflowPunct/>
        <w:topLinePunct w:val="0"/>
        <w:autoSpaceDE/>
        <w:autoSpaceDN/>
        <w:bidi w:val="0"/>
        <w:adjustRightInd/>
        <w:snapToGrid/>
        <w:spacing w:line="500" w:lineRule="exact"/>
        <w:jc w:val="right"/>
        <w:textAlignment w:val="auto"/>
        <w:rPr>
          <w:rFonts w:ascii="楷体" w:hAnsi="楷体" w:eastAsia="楷体" w:cs="楷体"/>
          <w:color w:val="000000" w:themeColor="text1"/>
          <w:sz w:val="28"/>
          <w:szCs w:val="28"/>
          <w:highlight w:val="none"/>
        </w:rPr>
      </w:pPr>
      <w:r>
        <w:rPr>
          <w:rFonts w:hint="eastAsia" w:ascii="楷体" w:hAnsi="楷体" w:eastAsia="楷体" w:cs="楷体"/>
          <w:color w:val="000000" w:themeColor="text1"/>
          <w:sz w:val="28"/>
          <w:szCs w:val="28"/>
          <w:highlight w:val="none"/>
        </w:rPr>
        <w:t>杭州天平房地产评估有限公司</w:t>
      </w:r>
    </w:p>
    <w:p>
      <w:pPr>
        <w:keepNext w:val="0"/>
        <w:keepLines w:val="0"/>
        <w:pageBreakBefore w:val="0"/>
        <w:widowControl w:val="0"/>
        <w:kinsoku/>
        <w:wordWrap/>
        <w:overflowPunct/>
        <w:topLinePunct w:val="0"/>
        <w:autoSpaceDE/>
        <w:autoSpaceDN/>
        <w:bidi w:val="0"/>
        <w:adjustRightInd/>
        <w:snapToGrid/>
        <w:spacing w:line="500" w:lineRule="exact"/>
        <w:ind w:firstLine="5880" w:firstLineChars="2100"/>
        <w:jc w:val="center"/>
        <w:textAlignment w:val="auto"/>
        <w:rPr>
          <w:rFonts w:ascii="楷体" w:hAnsi="楷体" w:eastAsia="楷体" w:cs="楷体"/>
          <w:color w:val="000000" w:themeColor="text1"/>
          <w:sz w:val="28"/>
          <w:szCs w:val="28"/>
          <w:highlight w:val="none"/>
        </w:rPr>
      </w:pPr>
      <w:r>
        <w:rPr>
          <w:rFonts w:hint="eastAsia" w:ascii="楷体" w:hAnsi="楷体" w:eastAsia="楷体" w:cs="楷体"/>
          <w:color w:val="000000" w:themeColor="text1"/>
          <w:sz w:val="28"/>
          <w:szCs w:val="28"/>
          <w:highlight w:val="none"/>
        </w:rPr>
        <w:t>法定代表人：</w:t>
      </w:r>
      <w:r>
        <w:rPr>
          <w:rFonts w:hint="eastAsia" w:eastAsia="楷体"/>
          <w:sz w:val="28"/>
          <w:szCs w:val="28"/>
          <w:highlight w:val="none"/>
        </w:rPr>
        <w:t>杨甦</w:t>
      </w:r>
    </w:p>
    <w:p>
      <w:pPr>
        <w:keepNext w:val="0"/>
        <w:keepLines w:val="0"/>
        <w:pageBreakBefore w:val="0"/>
        <w:widowControl w:val="0"/>
        <w:kinsoku/>
        <w:wordWrap/>
        <w:overflowPunct/>
        <w:topLinePunct w:val="0"/>
        <w:autoSpaceDE/>
        <w:autoSpaceDN/>
        <w:bidi w:val="0"/>
        <w:adjustRightInd/>
        <w:snapToGrid/>
        <w:spacing w:line="500" w:lineRule="exact"/>
        <w:ind w:left="2238" w:hanging="2228" w:hangingChars="796"/>
        <w:jc w:val="right"/>
        <w:textAlignment w:val="auto"/>
        <w:rPr>
          <w:rFonts w:hint="eastAsia" w:eastAsia="楷体"/>
          <w:sz w:val="28"/>
          <w:highlight w:val="none"/>
          <w:lang w:eastAsia="zh-CN"/>
        </w:rPr>
      </w:pPr>
      <w:r>
        <w:rPr>
          <w:rFonts w:hint="eastAsia" w:ascii="楷体" w:hAnsi="楷体" w:eastAsia="楷体" w:cs="楷体"/>
          <w:color w:val="000000" w:themeColor="text1"/>
          <w:sz w:val="28"/>
          <w:szCs w:val="28"/>
          <w:highlight w:val="none"/>
        </w:rPr>
        <w:t xml:space="preserve">                  </w:t>
      </w:r>
      <w:r>
        <w:rPr>
          <w:rFonts w:hint="eastAsia"/>
          <w:sz w:val="28"/>
          <w:highlight w:val="none"/>
        </w:rPr>
        <w:t xml:space="preserve">             </w:t>
      </w:r>
      <w:r>
        <w:rPr>
          <w:rFonts w:hint="eastAsia"/>
          <w:sz w:val="28"/>
          <w:highlight w:val="none"/>
          <w:lang w:val="en-US" w:eastAsia="zh-CN"/>
        </w:rPr>
        <w:t xml:space="preserve">       </w:t>
      </w:r>
      <w:r>
        <w:rPr>
          <w:rFonts w:hint="eastAsia" w:eastAsia="楷体"/>
          <w:sz w:val="28"/>
          <w:highlight w:val="none"/>
          <w:lang w:eastAsia="zh-CN"/>
        </w:rPr>
        <w:t>二Ο二二年七月</w:t>
      </w:r>
      <w:r>
        <w:rPr>
          <w:rFonts w:hint="eastAsia" w:eastAsia="楷体"/>
          <w:sz w:val="28"/>
          <w:highlight w:val="none"/>
          <w:lang w:val="en-US" w:eastAsia="zh-CN"/>
        </w:rPr>
        <w:t>二</w:t>
      </w:r>
      <w:r>
        <w:rPr>
          <w:rFonts w:hint="eastAsia" w:eastAsia="楷体"/>
          <w:sz w:val="28"/>
          <w:highlight w:val="none"/>
          <w:lang w:eastAsia="zh-CN"/>
        </w:rPr>
        <w:t>十</w:t>
      </w:r>
      <w:r>
        <w:rPr>
          <w:rFonts w:hint="eastAsia" w:eastAsia="楷体"/>
          <w:sz w:val="28"/>
          <w:highlight w:val="none"/>
          <w:lang w:val="en-US" w:eastAsia="zh-CN"/>
        </w:rPr>
        <w:t>九</w:t>
      </w:r>
      <w:r>
        <w:rPr>
          <w:rFonts w:hint="eastAsia" w:eastAsia="楷体"/>
          <w:sz w:val="28"/>
          <w:highlight w:val="none"/>
          <w:lang w:eastAsia="zh-CN"/>
        </w:rPr>
        <w:t>日</w:t>
      </w:r>
    </w:p>
    <w:p>
      <w:pPr>
        <w:keepNext w:val="0"/>
        <w:keepLines w:val="0"/>
        <w:pageBreakBefore w:val="0"/>
        <w:widowControl w:val="0"/>
        <w:kinsoku/>
        <w:wordWrap/>
        <w:overflowPunct/>
        <w:topLinePunct w:val="0"/>
        <w:autoSpaceDE/>
        <w:autoSpaceDN/>
        <w:bidi w:val="0"/>
        <w:adjustRightInd/>
        <w:snapToGrid/>
        <w:spacing w:line="460" w:lineRule="exact"/>
        <w:ind w:left="2238" w:hanging="2228" w:hangingChars="796"/>
        <w:jc w:val="right"/>
        <w:textAlignment w:val="auto"/>
        <w:rPr>
          <w:rFonts w:hint="eastAsia" w:eastAsia="楷体"/>
          <w:sz w:val="28"/>
          <w:highlight w:val="none"/>
          <w:lang w:eastAsia="zh-CN"/>
        </w:rPr>
      </w:pP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楷体" w:hAnsi="楷体" w:eastAsia="楷体" w:cs="楷体"/>
          <w:b/>
          <w:bCs/>
          <w:sz w:val="28"/>
          <w:highlight w:val="none"/>
        </w:rPr>
      </w:pPr>
      <w:r>
        <w:rPr>
          <w:rFonts w:hint="eastAsia" w:ascii="楷体" w:hAnsi="楷体" w:eastAsia="楷体" w:cs="楷体"/>
          <w:b/>
          <w:bCs/>
          <w:color w:val="000000" w:themeColor="text1"/>
          <w:sz w:val="28"/>
          <w:szCs w:val="28"/>
          <w:highlight w:val="none"/>
        </w:rPr>
        <w:t>特别提示：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560" w:firstLineChars="200"/>
        <w:jc w:val="left"/>
        <w:textAlignment w:val="auto"/>
        <w:rPr>
          <w:rFonts w:hint="eastAsia" w:ascii="楷体" w:hAnsi="楷体" w:eastAsia="楷体" w:cs="楷体"/>
          <w:b w:val="0"/>
          <w:bCs w:val="0"/>
          <w:sz w:val="28"/>
          <w:highlight w:val="none"/>
        </w:rPr>
      </w:pPr>
      <w:r>
        <w:rPr>
          <w:rFonts w:hint="eastAsia" w:ascii="楷体" w:hAnsi="楷体" w:eastAsia="楷体" w:cs="楷体"/>
          <w:b w:val="0"/>
          <w:bCs w:val="0"/>
          <w:sz w:val="28"/>
          <w:highlight w:val="none"/>
          <w:lang w:val="en-US" w:eastAsia="zh-CN"/>
        </w:rPr>
        <w:t>1、</w:t>
      </w:r>
      <w:r>
        <w:rPr>
          <w:rFonts w:hint="eastAsia" w:ascii="楷体" w:hAnsi="楷体" w:eastAsia="楷体" w:cs="楷体"/>
          <w:b w:val="0"/>
          <w:bCs w:val="0"/>
          <w:sz w:val="28"/>
          <w:highlight w:val="none"/>
        </w:rPr>
        <w:t>以上内容摘自房地产估价报告，请认真阅读房地产估价报告全文。本估价结果受到本估价报告中说明的估价假设和限制条件的制约。本估价报告使用期限自出具之日起壹年。</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560" w:firstLineChars="200"/>
        <w:jc w:val="left"/>
        <w:textAlignment w:val="auto"/>
        <w:rPr>
          <w:rFonts w:hint="eastAsia" w:ascii="楷体" w:hAnsi="楷体" w:eastAsia="楷体" w:cs="楷体"/>
          <w:b w:val="0"/>
          <w:bCs w:val="0"/>
          <w:sz w:val="28"/>
          <w:highlight w:val="none"/>
        </w:rPr>
      </w:pPr>
      <w:r>
        <w:rPr>
          <w:rFonts w:hint="eastAsia" w:ascii="楷体" w:hAnsi="楷体" w:eastAsia="楷体" w:cs="楷体"/>
          <w:b w:val="0"/>
          <w:bCs w:val="0"/>
          <w:sz w:val="28"/>
          <w:highlight w:val="none"/>
          <w:lang w:val="en-US" w:eastAsia="zh-CN"/>
        </w:rPr>
        <w:t>2、</w:t>
      </w:r>
      <w:r>
        <w:rPr>
          <w:rFonts w:hint="eastAsia" w:ascii="楷体" w:hAnsi="楷体" w:eastAsia="楷体" w:cs="楷体"/>
          <w:b w:val="0"/>
          <w:bCs w:val="0"/>
          <w:sz w:val="28"/>
          <w:highlight w:val="none"/>
        </w:rPr>
        <w:t>应当按照法律规定和评估报告载明的用途、使用人、使用期限等使用范围使用评估报告。否则，房地产估价机构和注册房地产估价师依法不承担责任；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560" w:firstLineChars="200"/>
        <w:jc w:val="left"/>
        <w:textAlignment w:val="auto"/>
        <w:rPr>
          <w:rFonts w:hint="eastAsia" w:ascii="楷体" w:hAnsi="楷体" w:eastAsia="楷体" w:cs="楷体"/>
          <w:b w:val="0"/>
          <w:bCs w:val="0"/>
          <w:sz w:val="28"/>
          <w:highlight w:val="none"/>
        </w:rPr>
      </w:pPr>
      <w:r>
        <w:rPr>
          <w:rFonts w:hint="eastAsia" w:ascii="楷体" w:hAnsi="楷体" w:eastAsia="楷体" w:cs="楷体"/>
          <w:b w:val="0"/>
          <w:bCs w:val="0"/>
          <w:sz w:val="28"/>
          <w:highlight w:val="none"/>
          <w:lang w:val="en-US" w:eastAsia="zh-CN"/>
        </w:rPr>
        <w:t>3、估价</w:t>
      </w:r>
      <w:r>
        <w:rPr>
          <w:rFonts w:hint="eastAsia" w:ascii="楷体" w:hAnsi="楷体" w:eastAsia="楷体" w:cs="楷体"/>
          <w:b w:val="0"/>
          <w:bCs w:val="0"/>
          <w:sz w:val="28"/>
          <w:highlight w:val="none"/>
        </w:rPr>
        <w:t>结果仅为人民法院确定财产处置参考价服务，不是</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对象处置可实现的成交价格，也不应当被视为对</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对象处置成交价格的保证；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560" w:firstLineChars="200"/>
        <w:jc w:val="left"/>
        <w:textAlignment w:val="auto"/>
        <w:rPr>
          <w:rFonts w:hint="eastAsia" w:ascii="楷体" w:hAnsi="楷体" w:eastAsia="楷体" w:cs="楷体"/>
          <w:b w:val="0"/>
          <w:bCs w:val="0"/>
          <w:sz w:val="28"/>
          <w:highlight w:val="none"/>
        </w:rPr>
      </w:pPr>
      <w:r>
        <w:rPr>
          <w:rFonts w:hint="eastAsia" w:ascii="楷体" w:hAnsi="楷体" w:eastAsia="楷体" w:cs="楷体"/>
          <w:b w:val="0"/>
          <w:bCs w:val="0"/>
          <w:sz w:val="28"/>
          <w:highlight w:val="none"/>
          <w:lang w:val="en-US" w:eastAsia="zh-CN"/>
        </w:rPr>
        <w:t>4、</w:t>
      </w:r>
      <w:r>
        <w:rPr>
          <w:rFonts w:hint="eastAsia" w:ascii="楷体" w:hAnsi="楷体" w:eastAsia="楷体" w:cs="楷体"/>
          <w:b w:val="0"/>
          <w:bCs w:val="0"/>
          <w:sz w:val="28"/>
          <w:highlight w:val="none"/>
        </w:rPr>
        <w:t>财产拍卖或者变卖之日与价值时点不一致，可能导致</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结果对应的</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对象状况、房地产市场状况、欠缴税费状况等与财产拍卖或者变卖时的相应状况不一致，发生明显变化的，</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结果应当进行相应调整后才可使用；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560" w:firstLineChars="200"/>
        <w:jc w:val="left"/>
        <w:textAlignment w:val="auto"/>
        <w:rPr>
          <w:rFonts w:hint="eastAsia" w:ascii="楷体" w:hAnsi="楷体" w:eastAsia="楷体" w:cs="楷体"/>
          <w:b w:val="0"/>
          <w:bCs w:val="0"/>
          <w:sz w:val="28"/>
          <w:highlight w:val="none"/>
        </w:rPr>
      </w:pPr>
      <w:r>
        <w:rPr>
          <w:rFonts w:hint="eastAsia" w:ascii="楷体" w:hAnsi="楷体" w:eastAsia="楷体" w:cs="楷体"/>
          <w:b w:val="0"/>
          <w:bCs w:val="0"/>
          <w:sz w:val="28"/>
          <w:highlight w:val="none"/>
          <w:lang w:val="en-US" w:eastAsia="zh-CN"/>
        </w:rPr>
        <w:t>5、</w:t>
      </w:r>
      <w:r>
        <w:rPr>
          <w:rFonts w:hint="eastAsia" w:ascii="楷体" w:hAnsi="楷体" w:eastAsia="楷体" w:cs="楷体"/>
          <w:b w:val="0"/>
          <w:bCs w:val="0"/>
          <w:sz w:val="28"/>
          <w:highlight w:val="none"/>
        </w:rPr>
        <w:t>在</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报告使用期限或者</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结果有效期内，</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报告或者</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结果未使用之前，如果</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对象状况或者房地产市场状况发生明显变化的，</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结果应当进行相应调整后才可使用；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560" w:firstLineChars="200"/>
        <w:jc w:val="left"/>
        <w:textAlignment w:val="auto"/>
        <w:rPr>
          <w:rFonts w:hint="eastAsia" w:ascii="楷体" w:hAnsi="楷体" w:eastAsia="楷体" w:cs="楷体"/>
          <w:b w:val="0"/>
          <w:bCs w:val="0"/>
          <w:sz w:val="28"/>
          <w:highlight w:val="none"/>
        </w:rPr>
      </w:pPr>
      <w:r>
        <w:rPr>
          <w:rFonts w:hint="eastAsia" w:ascii="楷体" w:hAnsi="楷体" w:eastAsia="楷体" w:cs="楷体"/>
          <w:b w:val="0"/>
          <w:bCs w:val="0"/>
          <w:sz w:val="28"/>
          <w:highlight w:val="none"/>
          <w:lang w:val="en-US" w:eastAsia="zh-CN"/>
        </w:rPr>
        <w:t>6、</w:t>
      </w:r>
      <w:r>
        <w:rPr>
          <w:rFonts w:hint="eastAsia" w:ascii="楷体" w:hAnsi="楷体" w:eastAsia="楷体" w:cs="楷体"/>
          <w:b w:val="0"/>
          <w:bCs w:val="0"/>
          <w:sz w:val="28"/>
          <w:highlight w:val="none"/>
        </w:rPr>
        <w:t>当事人、利害关系人收到</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报告后五日内可对</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报告的参照标准、计算方法或者</w:t>
      </w:r>
      <w:r>
        <w:rPr>
          <w:rFonts w:hint="eastAsia" w:ascii="楷体" w:hAnsi="楷体" w:eastAsia="楷体" w:cs="楷体"/>
          <w:b w:val="0"/>
          <w:bCs w:val="0"/>
          <w:sz w:val="28"/>
          <w:highlight w:val="none"/>
          <w:lang w:val="en-US" w:eastAsia="zh-CN"/>
        </w:rPr>
        <w:t>估价</w:t>
      </w:r>
      <w:r>
        <w:rPr>
          <w:rFonts w:hint="eastAsia" w:ascii="楷体" w:hAnsi="楷体" w:eastAsia="楷体" w:cs="楷体"/>
          <w:b w:val="0"/>
          <w:bCs w:val="0"/>
          <w:sz w:val="28"/>
          <w:highlight w:val="none"/>
        </w:rPr>
        <w:t>结果等向人民法院提出书面异议，本公司将根据异议进行复核并作出书面说明。</w:t>
      </w:r>
    </w:p>
    <w:p>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楷体" w:hAnsi="楷体" w:eastAsia="楷体" w:cs="楷体"/>
          <w:b w:val="0"/>
          <w:bCs w:val="0"/>
          <w:sz w:val="28"/>
          <w:highlight w:val="none"/>
        </w:rPr>
      </w:pPr>
    </w:p>
    <w:p>
      <w:pPr>
        <w:jc w:val="right"/>
        <w:rPr>
          <w:rFonts w:hint="eastAsia" w:ascii="楷体" w:hAnsi="楷体" w:eastAsia="楷体" w:cs="楷体"/>
          <w:b w:val="0"/>
          <w:bCs w:val="0"/>
          <w:sz w:val="28"/>
          <w:highlight w:val="none"/>
        </w:rPr>
      </w:pPr>
    </w:p>
    <w:p>
      <w:pPr>
        <w:jc w:val="right"/>
        <w:rPr>
          <w:rFonts w:hint="eastAsia" w:ascii="楷体" w:hAnsi="楷体" w:eastAsia="楷体" w:cs="楷体"/>
          <w:b w:val="0"/>
          <w:bCs w:val="0"/>
          <w:sz w:val="28"/>
          <w:highlight w:val="none"/>
        </w:rPr>
      </w:pPr>
    </w:p>
    <w:p>
      <w:pPr>
        <w:jc w:val="right"/>
        <w:rPr>
          <w:rFonts w:hint="eastAsia" w:ascii="楷体" w:hAnsi="楷体" w:eastAsia="楷体" w:cs="楷体"/>
          <w:b w:val="0"/>
          <w:bCs w:val="0"/>
          <w:sz w:val="28"/>
          <w:highlight w:val="none"/>
        </w:rPr>
      </w:pPr>
    </w:p>
    <w:p>
      <w:pPr>
        <w:jc w:val="right"/>
        <w:rPr>
          <w:rFonts w:hint="eastAsia" w:ascii="楷体" w:hAnsi="楷体" w:eastAsia="楷体" w:cs="楷体"/>
          <w:b w:val="0"/>
          <w:bCs w:val="0"/>
          <w:sz w:val="28"/>
          <w:highlight w:val="none"/>
        </w:rPr>
      </w:pPr>
    </w:p>
    <w:p>
      <w:pPr>
        <w:jc w:val="right"/>
        <w:rPr>
          <w:rFonts w:hint="eastAsia" w:ascii="楷体" w:hAnsi="楷体" w:eastAsia="楷体" w:cs="楷体"/>
          <w:b w:val="0"/>
          <w:bCs w:val="0"/>
          <w:sz w:val="28"/>
          <w:highlight w:val="none"/>
        </w:rPr>
      </w:pPr>
    </w:p>
    <w:sdt>
      <w:sdtPr>
        <w:rPr>
          <w:rFonts w:ascii="宋体" w:hAnsi="宋体"/>
          <w:b w:val="0"/>
          <w:bCs w:val="0"/>
          <w:sz w:val="21"/>
          <w:szCs w:val="24"/>
          <w:highlight w:val="none"/>
        </w:rPr>
        <w:id w:val="147476667"/>
        <w:docPartObj>
          <w:docPartGallery w:val="Table of Contents"/>
          <w:docPartUnique/>
        </w:docPartObj>
      </w:sdtPr>
      <w:sdtEndPr>
        <w:rPr>
          <w:rFonts w:hint="eastAsia" w:ascii="楷体" w:hAnsi="楷体" w:eastAsia="楷体" w:cs="楷体"/>
          <w:b w:val="0"/>
          <w:bCs w:val="0"/>
          <w:color w:val="000000" w:themeColor="text1"/>
          <w:spacing w:val="20"/>
          <w:sz w:val="28"/>
          <w:szCs w:val="28"/>
          <w:highlight w:val="none"/>
        </w:rPr>
      </w:sdtEndPr>
      <w:sdtContent>
        <w:p>
          <w:pPr>
            <w:pStyle w:val="3"/>
            <w:keepNext/>
            <w:keepLines/>
            <w:pageBreakBefore w:val="0"/>
            <w:widowControl w:val="0"/>
            <w:kinsoku/>
            <w:wordWrap/>
            <w:overflowPunct/>
            <w:topLinePunct w:val="0"/>
            <w:autoSpaceDE/>
            <w:autoSpaceDN/>
            <w:bidi w:val="0"/>
            <w:adjustRightInd/>
            <w:snapToGrid w:val="0"/>
            <w:spacing w:before="0" w:beforeLines="50" w:after="0" w:afterLines="50" w:line="560" w:lineRule="exact"/>
            <w:jc w:val="center"/>
            <w:textAlignment w:val="auto"/>
            <w:rPr>
              <w:rFonts w:ascii="楷体" w:hAnsi="楷体" w:cs="楷体"/>
              <w:sz w:val="32"/>
              <w:szCs w:val="40"/>
              <w:highlight w:val="none"/>
            </w:rPr>
          </w:pPr>
          <w:bookmarkStart w:id="12" w:name="_Toc25990"/>
          <w:r>
            <w:rPr>
              <w:rFonts w:hint="eastAsia" w:ascii="黑体" w:hAnsi="黑体" w:eastAsia="黑体" w:cs="黑体"/>
              <w:color w:val="000000" w:themeColor="text1"/>
              <w:kern w:val="44"/>
              <w:sz w:val="32"/>
              <w:highlight w:val="none"/>
            </w:rPr>
            <w:t>目</w:t>
          </w:r>
          <w:r>
            <w:rPr>
              <w:rFonts w:hint="eastAsia" w:ascii="黑体" w:hAnsi="黑体" w:eastAsia="黑体" w:cs="黑体"/>
              <w:color w:val="000000" w:themeColor="text1"/>
              <w:kern w:val="44"/>
              <w:sz w:val="32"/>
              <w:highlight w:val="none"/>
              <w:lang w:val="en-US" w:eastAsia="zh-CN"/>
            </w:rPr>
            <w:t xml:space="preserve">  </w:t>
          </w:r>
          <w:r>
            <w:rPr>
              <w:rFonts w:hint="eastAsia" w:ascii="黑体" w:hAnsi="黑体" w:eastAsia="黑体" w:cs="黑体"/>
              <w:color w:val="000000" w:themeColor="text1"/>
              <w:kern w:val="44"/>
              <w:sz w:val="32"/>
              <w:highlight w:val="none"/>
            </w:rPr>
            <w:t>录</w:t>
          </w:r>
          <w:bookmarkEnd w:id="12"/>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4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color w:val="000000" w:themeColor="text1"/>
              <w:spacing w:val="20"/>
              <w:sz w:val="28"/>
              <w:szCs w:val="28"/>
              <w:highlight w:val="none"/>
            </w:rPr>
            <w:instrText xml:space="preserve">TOC \o "1-2" \h \u </w:instrText>
          </w:r>
          <w:r>
            <w:rPr>
              <w:rFonts w:hint="eastAsia" w:ascii="楷体" w:hAnsi="楷体" w:eastAsia="楷体" w:cs="楷体"/>
              <w:color w:val="000000" w:themeColor="text1"/>
              <w:spacing w:val="20"/>
              <w:sz w:val="28"/>
              <w:szCs w:val="28"/>
              <w:highlight w:val="none"/>
            </w:rPr>
            <w:fldChar w:fldCharType="separate"/>
          </w:r>
        </w:p>
        <w:p>
          <w:pPr>
            <w:pStyle w:val="14"/>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_Toc4397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注册房地产估价师声明</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_Toc4397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1</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4"/>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_Toc13041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估价假设和限制条件</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_Toc13041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2</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4"/>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_Toc26082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估价结果报告</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_Toc26082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6</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_Toc27359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一、估价委托人</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_Toc27359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6</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_Toc3612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二、房地产估价机构</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_Toc3612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6</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_Toc25339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三、估价目的</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_Toc25339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6</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_Toc26892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四、估价对象</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_Toc26892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6</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_Toc14512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五、价值时点</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_Toc14512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10</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_Toc32275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六、价值类型</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_Toc32275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10</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_Toc14677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七、估价原则</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_Toc14677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10</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_Toc23485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八、估价依据</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_Toc23485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11</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_Toc21672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九、估价方法</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_Toc21672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13</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_Toc27098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十、估价结果</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_Toc27098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15</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_Toc7064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十一、注册房地产估价师</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_Toc7064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15</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_Toc7944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十二、实地查勘期</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_Toc7944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15</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_Toc15337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十三、估价作业日期</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_Toc15337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16</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6"/>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_Toc23590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十四、估价报告的</w:t>
          </w:r>
          <w:r>
            <w:rPr>
              <w:rFonts w:hint="eastAsia" w:ascii="楷体" w:hAnsi="楷体" w:cs="楷体"/>
              <w:sz w:val="28"/>
              <w:szCs w:val="28"/>
              <w:highlight w:val="none"/>
              <w:lang w:val="en-US" w:eastAsia="zh-CN"/>
            </w:rPr>
            <w:t>使用期限</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_Toc23590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16</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pStyle w:val="14"/>
            <w:keepNext w:val="0"/>
            <w:keepLines w:val="0"/>
            <w:pageBreakBefore w:val="0"/>
            <w:widowControl w:val="0"/>
            <w:tabs>
              <w:tab w:val="right" w:leader="dot" w:pos="8408"/>
            </w:tabs>
            <w:kinsoku/>
            <w:wordWrap/>
            <w:overflowPunct/>
            <w:topLinePunct w:val="0"/>
            <w:autoSpaceDE/>
            <w:autoSpaceDN/>
            <w:bidi w:val="0"/>
            <w:adjustRightInd/>
            <w:snapToGrid/>
            <w:spacing w:line="630" w:lineRule="exact"/>
            <w:textAlignment w:val="auto"/>
            <w:rPr>
              <w:rFonts w:hint="eastAsia" w:ascii="楷体" w:hAnsi="楷体" w:eastAsia="楷体" w:cs="楷体"/>
              <w:sz w:val="28"/>
              <w:szCs w:val="28"/>
              <w:highlight w:val="none"/>
            </w:rPr>
          </w:pPr>
          <w:r>
            <w:rPr>
              <w:rFonts w:hint="eastAsia" w:ascii="楷体" w:hAnsi="楷体" w:eastAsia="楷体" w:cs="楷体"/>
              <w:color w:val="000000" w:themeColor="text1"/>
              <w:spacing w:val="20"/>
              <w:sz w:val="28"/>
              <w:szCs w:val="28"/>
              <w:highlight w:val="none"/>
            </w:rPr>
            <w:fldChar w:fldCharType="begin"/>
          </w:r>
          <w:r>
            <w:rPr>
              <w:rFonts w:hint="eastAsia" w:ascii="楷体" w:hAnsi="楷体" w:eastAsia="楷体" w:cs="楷体"/>
              <w:spacing w:val="20"/>
              <w:sz w:val="28"/>
              <w:szCs w:val="28"/>
              <w:highlight w:val="none"/>
            </w:rPr>
            <w:instrText xml:space="preserve"> HYPERLINK \l _Toc4481 </w:instrText>
          </w:r>
          <w:r>
            <w:rPr>
              <w:rFonts w:hint="eastAsia" w:ascii="楷体" w:hAnsi="楷体" w:eastAsia="楷体" w:cs="楷体"/>
              <w:spacing w:val="20"/>
              <w:sz w:val="28"/>
              <w:szCs w:val="28"/>
              <w:highlight w:val="none"/>
            </w:rPr>
            <w:fldChar w:fldCharType="separate"/>
          </w:r>
          <w:r>
            <w:rPr>
              <w:rFonts w:hint="eastAsia" w:ascii="楷体" w:hAnsi="楷体" w:eastAsia="楷体" w:cs="楷体"/>
              <w:sz w:val="28"/>
              <w:szCs w:val="28"/>
              <w:highlight w:val="none"/>
            </w:rPr>
            <w:t>附  件</w:t>
          </w:r>
          <w:r>
            <w:rPr>
              <w:rFonts w:hint="eastAsia" w:ascii="楷体" w:hAnsi="楷体" w:eastAsia="楷体" w:cs="楷体"/>
              <w:sz w:val="28"/>
              <w:szCs w:val="28"/>
              <w:highlight w:val="none"/>
            </w:rPr>
            <w:tab/>
          </w:r>
          <w:r>
            <w:rPr>
              <w:rFonts w:hint="eastAsia" w:ascii="楷体" w:hAnsi="楷体" w:eastAsia="楷体" w:cs="楷体"/>
              <w:sz w:val="28"/>
              <w:szCs w:val="28"/>
              <w:highlight w:val="none"/>
            </w:rPr>
            <w:fldChar w:fldCharType="begin"/>
          </w:r>
          <w:r>
            <w:rPr>
              <w:rFonts w:hint="eastAsia" w:ascii="楷体" w:hAnsi="楷体" w:eastAsia="楷体" w:cs="楷体"/>
              <w:sz w:val="28"/>
              <w:szCs w:val="28"/>
              <w:highlight w:val="none"/>
            </w:rPr>
            <w:instrText xml:space="preserve"> PAGEREF _Toc4481 </w:instrText>
          </w:r>
          <w:r>
            <w:rPr>
              <w:rFonts w:hint="eastAsia" w:ascii="楷体" w:hAnsi="楷体" w:eastAsia="楷体" w:cs="楷体"/>
              <w:sz w:val="28"/>
              <w:szCs w:val="28"/>
              <w:highlight w:val="none"/>
            </w:rPr>
            <w:fldChar w:fldCharType="separate"/>
          </w:r>
          <w:r>
            <w:rPr>
              <w:rFonts w:hint="eastAsia" w:ascii="楷体" w:hAnsi="楷体" w:eastAsia="楷体" w:cs="楷体"/>
              <w:sz w:val="28"/>
              <w:szCs w:val="28"/>
              <w:highlight w:val="none"/>
            </w:rPr>
            <w:t>17</w:t>
          </w:r>
          <w:r>
            <w:rPr>
              <w:rFonts w:hint="eastAsia" w:ascii="楷体" w:hAnsi="楷体" w:eastAsia="楷体" w:cs="楷体"/>
              <w:sz w:val="28"/>
              <w:szCs w:val="28"/>
              <w:highlight w:val="none"/>
            </w:rPr>
            <w:fldChar w:fldCharType="end"/>
          </w:r>
          <w:r>
            <w:rPr>
              <w:rFonts w:hint="eastAsia" w:ascii="楷体" w:hAnsi="楷体" w:eastAsia="楷体" w:cs="楷体"/>
              <w:color w:val="000000" w:themeColor="text1"/>
              <w:spacing w:val="20"/>
              <w:sz w:val="28"/>
              <w:szCs w:val="28"/>
              <w:highlight w:val="none"/>
            </w:rPr>
            <w:fldChar w:fldCharType="end"/>
          </w:r>
        </w:p>
        <w:p>
          <w:pPr>
            <w:keepNext w:val="0"/>
            <w:keepLines w:val="0"/>
            <w:pageBreakBefore w:val="0"/>
            <w:widowControl w:val="0"/>
            <w:numPr>
              <w:ilvl w:val="0"/>
              <w:numId w:val="1"/>
            </w:numPr>
            <w:kinsoku/>
            <w:wordWrap/>
            <w:overflowPunct/>
            <w:topLinePunct w:val="0"/>
            <w:autoSpaceDE/>
            <w:autoSpaceDN/>
            <w:bidi w:val="0"/>
            <w:adjustRightInd/>
            <w:snapToGrid/>
            <w:spacing w:line="630" w:lineRule="exact"/>
            <w:ind w:left="0" w:leftChars="0" w:firstLine="420" w:firstLineChars="0"/>
            <w:textAlignment w:val="auto"/>
            <w:rPr>
              <w:rFonts w:hint="eastAsia" w:ascii="楷体" w:hAnsi="楷体" w:eastAsia="楷体"/>
              <w:sz w:val="28"/>
              <w:szCs w:val="28"/>
              <w:highlight w:val="none"/>
            </w:rPr>
          </w:pPr>
          <w:r>
            <w:rPr>
              <w:rFonts w:hint="eastAsia" w:ascii="楷体" w:hAnsi="楷体" w:eastAsia="楷体" w:cs="楷体"/>
              <w:color w:val="000000" w:themeColor="text1"/>
              <w:spacing w:val="20"/>
              <w:sz w:val="28"/>
              <w:szCs w:val="28"/>
              <w:highlight w:val="none"/>
            </w:rPr>
            <w:fldChar w:fldCharType="end"/>
          </w:r>
          <w:r>
            <w:rPr>
              <w:rFonts w:hint="eastAsia" w:ascii="楷体" w:hAnsi="楷体" w:eastAsia="楷体"/>
              <w:sz w:val="28"/>
              <w:szCs w:val="28"/>
              <w:highlight w:val="none"/>
              <w:lang w:eastAsia="zh-CN"/>
            </w:rPr>
            <w:t>《资产评估委托书》</w:t>
          </w:r>
          <w:r>
            <w:rPr>
              <w:rFonts w:hint="eastAsia" w:ascii="楷体" w:hAnsi="楷体" w:eastAsia="楷体"/>
              <w:sz w:val="28"/>
              <w:szCs w:val="28"/>
              <w:highlight w:val="none"/>
            </w:rPr>
            <w:t>复印件</w:t>
          </w:r>
        </w:p>
        <w:p>
          <w:pPr>
            <w:keepNext w:val="0"/>
            <w:keepLines w:val="0"/>
            <w:pageBreakBefore w:val="0"/>
            <w:widowControl w:val="0"/>
            <w:numPr>
              <w:ilvl w:val="0"/>
              <w:numId w:val="1"/>
            </w:numPr>
            <w:kinsoku/>
            <w:wordWrap/>
            <w:overflowPunct/>
            <w:topLinePunct w:val="0"/>
            <w:autoSpaceDE/>
            <w:autoSpaceDN/>
            <w:bidi w:val="0"/>
            <w:adjustRightInd/>
            <w:snapToGrid/>
            <w:spacing w:line="630" w:lineRule="exact"/>
            <w:ind w:left="0" w:leftChars="0" w:firstLine="420" w:firstLineChars="0"/>
            <w:textAlignment w:val="auto"/>
            <w:rPr>
              <w:rFonts w:hint="eastAsia" w:ascii="楷体" w:hAnsi="楷体" w:eastAsia="楷体"/>
              <w:sz w:val="28"/>
              <w:szCs w:val="28"/>
              <w:highlight w:val="none"/>
            </w:rPr>
          </w:pPr>
          <w:r>
            <w:rPr>
              <w:rFonts w:hint="eastAsia" w:ascii="楷体" w:hAnsi="楷体" w:eastAsia="楷体"/>
              <w:sz w:val="28"/>
              <w:szCs w:val="28"/>
              <w:highlight w:val="none"/>
            </w:rPr>
            <w:t>估价对象位置图</w:t>
          </w:r>
        </w:p>
        <w:p>
          <w:pPr>
            <w:keepNext w:val="0"/>
            <w:keepLines w:val="0"/>
            <w:pageBreakBefore w:val="0"/>
            <w:widowControl w:val="0"/>
            <w:numPr>
              <w:ilvl w:val="0"/>
              <w:numId w:val="1"/>
            </w:numPr>
            <w:kinsoku/>
            <w:wordWrap/>
            <w:overflowPunct/>
            <w:topLinePunct w:val="0"/>
            <w:autoSpaceDE/>
            <w:autoSpaceDN/>
            <w:bidi w:val="0"/>
            <w:adjustRightInd/>
            <w:snapToGrid/>
            <w:spacing w:line="630" w:lineRule="exact"/>
            <w:ind w:left="0" w:leftChars="0" w:firstLine="420" w:firstLineChars="0"/>
            <w:textAlignment w:val="auto"/>
            <w:rPr>
              <w:rFonts w:hint="eastAsia" w:ascii="楷体" w:hAnsi="楷体" w:eastAsia="楷体"/>
              <w:sz w:val="28"/>
              <w:szCs w:val="28"/>
              <w:highlight w:val="none"/>
            </w:rPr>
          </w:pPr>
          <w:r>
            <w:rPr>
              <w:rFonts w:hint="eastAsia" w:ascii="楷体" w:hAnsi="楷体" w:eastAsia="楷体"/>
              <w:sz w:val="28"/>
              <w:szCs w:val="28"/>
              <w:highlight w:val="none"/>
            </w:rPr>
            <w:t>估价对象实景照片</w:t>
          </w:r>
        </w:p>
        <w:p>
          <w:pPr>
            <w:keepNext w:val="0"/>
            <w:keepLines w:val="0"/>
            <w:pageBreakBefore w:val="0"/>
            <w:widowControl w:val="0"/>
            <w:numPr>
              <w:ilvl w:val="0"/>
              <w:numId w:val="1"/>
            </w:numPr>
            <w:kinsoku/>
            <w:wordWrap/>
            <w:overflowPunct/>
            <w:topLinePunct w:val="0"/>
            <w:autoSpaceDE/>
            <w:autoSpaceDN/>
            <w:bidi w:val="0"/>
            <w:adjustRightInd/>
            <w:snapToGrid/>
            <w:spacing w:line="630" w:lineRule="exact"/>
            <w:ind w:left="0" w:leftChars="0" w:firstLine="420" w:firstLineChars="0"/>
            <w:textAlignment w:val="auto"/>
            <w:rPr>
              <w:rFonts w:hint="eastAsia" w:ascii="楷体" w:hAnsi="楷体" w:eastAsia="楷体"/>
              <w:sz w:val="28"/>
              <w:szCs w:val="28"/>
              <w:highlight w:val="none"/>
            </w:rPr>
          </w:pPr>
          <w:r>
            <w:rPr>
              <w:rFonts w:hint="eastAsia" w:ascii="楷体" w:hAnsi="楷体" w:eastAsia="楷体"/>
              <w:sz w:val="28"/>
              <w:highlight w:val="none"/>
            </w:rPr>
            <w:t>《</w:t>
          </w:r>
          <w:r>
            <w:rPr>
              <w:rFonts w:hint="eastAsia" w:ascii="楷体" w:hAnsi="楷体" w:eastAsia="楷体"/>
              <w:sz w:val="28"/>
              <w:szCs w:val="28"/>
              <w:highlight w:val="none"/>
            </w:rPr>
            <w:t>杭州市不动产</w:t>
          </w:r>
          <w:r>
            <w:rPr>
              <w:rFonts w:hint="eastAsia" w:ascii="楷体" w:hAnsi="楷体" w:eastAsia="楷体"/>
              <w:sz w:val="28"/>
              <w:szCs w:val="28"/>
              <w:highlight w:val="none"/>
              <w:lang w:val="en-US" w:eastAsia="zh-CN"/>
            </w:rPr>
            <w:t>登记</w:t>
          </w:r>
          <w:r>
            <w:rPr>
              <w:rFonts w:hint="eastAsia" w:ascii="楷体" w:hAnsi="楷体" w:eastAsia="楷体"/>
              <w:sz w:val="28"/>
              <w:szCs w:val="28"/>
              <w:highlight w:val="none"/>
            </w:rPr>
            <w:t>信息查询记录</w:t>
          </w:r>
          <w:r>
            <w:rPr>
              <w:rFonts w:hint="eastAsia" w:ascii="楷体" w:hAnsi="楷体" w:eastAsia="楷体"/>
              <w:sz w:val="28"/>
              <w:highlight w:val="none"/>
            </w:rPr>
            <w:t>》</w:t>
          </w:r>
          <w:r>
            <w:rPr>
              <w:rFonts w:hint="eastAsia" w:ascii="楷体" w:hAnsi="楷体" w:eastAsia="楷体"/>
              <w:sz w:val="28"/>
              <w:szCs w:val="28"/>
              <w:highlight w:val="none"/>
            </w:rPr>
            <w:t>复印件</w:t>
          </w:r>
        </w:p>
        <w:p>
          <w:pPr>
            <w:keepNext w:val="0"/>
            <w:keepLines w:val="0"/>
            <w:pageBreakBefore w:val="0"/>
            <w:widowControl w:val="0"/>
            <w:numPr>
              <w:ilvl w:val="0"/>
              <w:numId w:val="1"/>
            </w:numPr>
            <w:kinsoku/>
            <w:wordWrap/>
            <w:overflowPunct/>
            <w:topLinePunct w:val="0"/>
            <w:autoSpaceDE/>
            <w:autoSpaceDN/>
            <w:bidi w:val="0"/>
            <w:adjustRightInd/>
            <w:snapToGrid/>
            <w:spacing w:line="630" w:lineRule="exact"/>
            <w:ind w:left="0" w:leftChars="0" w:firstLine="420" w:firstLineChars="0"/>
            <w:textAlignment w:val="auto"/>
            <w:rPr>
              <w:rFonts w:hint="eastAsia" w:ascii="楷体" w:hAnsi="楷体" w:eastAsia="楷体"/>
              <w:sz w:val="28"/>
              <w:szCs w:val="28"/>
              <w:highlight w:val="none"/>
            </w:rPr>
          </w:pPr>
          <w:r>
            <w:rPr>
              <w:rFonts w:hint="eastAsia" w:ascii="楷体" w:hAnsi="楷体" w:eastAsia="楷体"/>
              <w:sz w:val="28"/>
              <w:szCs w:val="28"/>
              <w:highlight w:val="none"/>
            </w:rPr>
            <w:t>估价机构营业执照</w:t>
          </w:r>
          <w:r>
            <w:rPr>
              <w:rFonts w:hint="eastAsia" w:ascii="楷体" w:hAnsi="楷体" w:eastAsia="楷体"/>
              <w:sz w:val="28"/>
              <w:szCs w:val="28"/>
              <w:highlight w:val="none"/>
              <w:lang w:val="en-US" w:eastAsia="zh-CN"/>
            </w:rPr>
            <w:t>影</w:t>
          </w:r>
          <w:r>
            <w:rPr>
              <w:rFonts w:hint="eastAsia" w:ascii="楷体" w:hAnsi="楷体" w:eastAsia="楷体"/>
              <w:sz w:val="28"/>
              <w:szCs w:val="28"/>
              <w:highlight w:val="none"/>
            </w:rPr>
            <w:t>印件</w:t>
          </w:r>
        </w:p>
        <w:p>
          <w:pPr>
            <w:keepNext w:val="0"/>
            <w:keepLines w:val="0"/>
            <w:pageBreakBefore w:val="0"/>
            <w:widowControl w:val="0"/>
            <w:numPr>
              <w:ilvl w:val="0"/>
              <w:numId w:val="1"/>
            </w:numPr>
            <w:kinsoku/>
            <w:wordWrap/>
            <w:overflowPunct/>
            <w:topLinePunct w:val="0"/>
            <w:autoSpaceDE/>
            <w:autoSpaceDN/>
            <w:bidi w:val="0"/>
            <w:adjustRightInd/>
            <w:snapToGrid/>
            <w:spacing w:line="630" w:lineRule="exact"/>
            <w:ind w:left="0" w:leftChars="0" w:firstLine="420" w:firstLineChars="0"/>
            <w:textAlignment w:val="auto"/>
            <w:rPr>
              <w:rFonts w:hint="eastAsia" w:ascii="楷体" w:hAnsi="楷体" w:eastAsia="楷体"/>
              <w:sz w:val="28"/>
              <w:szCs w:val="28"/>
              <w:highlight w:val="none"/>
            </w:rPr>
          </w:pPr>
          <w:r>
            <w:rPr>
              <w:rFonts w:hint="eastAsia" w:ascii="楷体" w:hAnsi="楷体" w:eastAsia="楷体"/>
              <w:sz w:val="28"/>
              <w:szCs w:val="28"/>
              <w:highlight w:val="none"/>
            </w:rPr>
            <w:t>估价机构备案证书</w:t>
          </w:r>
          <w:r>
            <w:rPr>
              <w:rFonts w:hint="eastAsia" w:ascii="楷体" w:hAnsi="楷体" w:eastAsia="楷体"/>
              <w:sz w:val="28"/>
              <w:szCs w:val="28"/>
              <w:highlight w:val="none"/>
              <w:lang w:val="en-US" w:eastAsia="zh-CN"/>
            </w:rPr>
            <w:t>影</w:t>
          </w:r>
          <w:r>
            <w:rPr>
              <w:rFonts w:hint="eastAsia" w:ascii="楷体" w:hAnsi="楷体" w:eastAsia="楷体"/>
              <w:sz w:val="28"/>
              <w:szCs w:val="28"/>
              <w:highlight w:val="none"/>
            </w:rPr>
            <w:t>印件</w:t>
          </w:r>
        </w:p>
        <w:p>
          <w:pPr>
            <w:keepNext w:val="0"/>
            <w:keepLines w:val="0"/>
            <w:pageBreakBefore w:val="0"/>
            <w:widowControl w:val="0"/>
            <w:numPr>
              <w:ilvl w:val="0"/>
              <w:numId w:val="1"/>
            </w:numPr>
            <w:kinsoku/>
            <w:wordWrap/>
            <w:overflowPunct/>
            <w:topLinePunct w:val="0"/>
            <w:autoSpaceDE/>
            <w:autoSpaceDN/>
            <w:bidi w:val="0"/>
            <w:adjustRightInd/>
            <w:snapToGrid/>
            <w:spacing w:line="630" w:lineRule="exact"/>
            <w:ind w:left="0" w:leftChars="0" w:firstLine="420" w:firstLineChars="0"/>
            <w:textAlignment w:val="auto"/>
            <w:rPr>
              <w:rFonts w:hint="eastAsia" w:ascii="楷体" w:hAnsi="楷体" w:eastAsia="楷体"/>
              <w:sz w:val="28"/>
              <w:szCs w:val="28"/>
              <w:highlight w:val="none"/>
            </w:rPr>
          </w:pPr>
          <w:r>
            <w:rPr>
              <w:rFonts w:hint="eastAsia" w:ascii="楷体" w:hAnsi="楷体" w:eastAsia="楷体"/>
              <w:sz w:val="28"/>
              <w:szCs w:val="28"/>
              <w:highlight w:val="none"/>
            </w:rPr>
            <w:t>房地产估价师注册证</w:t>
          </w:r>
          <w:r>
            <w:rPr>
              <w:rFonts w:hint="eastAsia" w:ascii="楷体" w:hAnsi="楷体" w:eastAsia="楷体"/>
              <w:sz w:val="28"/>
              <w:szCs w:val="28"/>
              <w:highlight w:val="none"/>
              <w:lang w:val="en-US" w:eastAsia="zh-CN"/>
            </w:rPr>
            <w:t>影</w:t>
          </w:r>
          <w:r>
            <w:rPr>
              <w:rFonts w:hint="eastAsia" w:ascii="楷体" w:hAnsi="楷体" w:eastAsia="楷体"/>
              <w:sz w:val="28"/>
              <w:szCs w:val="28"/>
              <w:highlight w:val="none"/>
            </w:rPr>
            <w:t>印件</w:t>
          </w:r>
        </w:p>
        <w:p>
          <w:pPr>
            <w:pStyle w:val="8"/>
            <w:keepNext w:val="0"/>
            <w:keepLines w:val="0"/>
            <w:pageBreakBefore w:val="0"/>
            <w:widowControl w:val="0"/>
            <w:tabs>
              <w:tab w:val="right" w:leader="dot" w:pos="8504"/>
            </w:tabs>
            <w:kinsoku/>
            <w:wordWrap/>
            <w:overflowPunct/>
            <w:topLinePunct w:val="0"/>
            <w:autoSpaceDE/>
            <w:autoSpaceDN/>
            <w:bidi w:val="0"/>
            <w:adjustRightInd/>
            <w:snapToGrid/>
            <w:spacing w:line="630" w:lineRule="exact"/>
            <w:ind w:left="0" w:leftChars="0"/>
            <w:jc w:val="left"/>
            <w:textAlignment w:val="auto"/>
            <w:outlineLvl w:val="0"/>
            <w:rPr>
              <w:rFonts w:hint="eastAsia" w:ascii="楷体" w:hAnsi="楷体" w:eastAsia="楷体" w:cs="楷体"/>
              <w:color w:val="000000" w:themeColor="text1"/>
              <w:spacing w:val="20"/>
              <w:sz w:val="28"/>
              <w:szCs w:val="28"/>
              <w:highlight w:val="none"/>
            </w:rPr>
            <w:sectPr>
              <w:headerReference r:id="rId4" w:type="first"/>
              <w:headerReference r:id="rId3" w:type="default"/>
              <w:footerReference r:id="rId5" w:type="default"/>
              <w:pgSz w:w="11906" w:h="16838"/>
              <w:pgMar w:top="1276" w:right="1701" w:bottom="1276" w:left="1797" w:header="907" w:footer="992" w:gutter="0"/>
              <w:pgNumType w:start="1"/>
              <w:cols w:space="0" w:num="1"/>
              <w:titlePg/>
            </w:sectPr>
          </w:pPr>
        </w:p>
      </w:sdtContent>
    </w:sdt>
    <w:p>
      <w:pPr>
        <w:pStyle w:val="2"/>
        <w:keepNext/>
        <w:keepLines/>
        <w:pageBreakBefore w:val="0"/>
        <w:widowControl w:val="0"/>
        <w:kinsoku/>
        <w:wordWrap/>
        <w:overflowPunct/>
        <w:topLinePunct w:val="0"/>
        <w:autoSpaceDE/>
        <w:autoSpaceDN/>
        <w:bidi w:val="0"/>
        <w:adjustRightInd/>
        <w:snapToGrid/>
        <w:spacing w:before="0" w:beforeLines="100" w:after="0" w:afterLines="50" w:line="630" w:lineRule="exact"/>
        <w:textAlignment w:val="auto"/>
        <w:rPr>
          <w:rFonts w:ascii="黑体" w:hAnsi="黑体" w:eastAsia="黑体" w:cs="黑体"/>
          <w:color w:val="000000" w:themeColor="text1"/>
          <w:szCs w:val="32"/>
          <w:highlight w:val="none"/>
        </w:rPr>
      </w:pPr>
      <w:bookmarkStart w:id="13" w:name="_Toc4397"/>
      <w:bookmarkStart w:id="14" w:name="_Toc5981"/>
      <w:bookmarkStart w:id="15" w:name="_Toc24170"/>
      <w:r>
        <w:rPr>
          <w:rFonts w:hint="eastAsia" w:ascii="黑体" w:hAnsi="黑体" w:eastAsia="黑体" w:cs="黑体"/>
          <w:color w:val="000000" w:themeColor="text1"/>
          <w:szCs w:val="32"/>
          <w:highlight w:val="none"/>
        </w:rPr>
        <w:t>注册房地产估价师声明</w:t>
      </w:r>
      <w:bookmarkEnd w:id="13"/>
      <w:bookmarkEnd w:id="14"/>
      <w:bookmarkEnd w:id="15"/>
    </w:p>
    <w:p>
      <w:pPr>
        <w:spacing w:line="630" w:lineRule="exact"/>
        <w:rPr>
          <w:rFonts w:ascii="楷体" w:hAnsi="楷体" w:eastAsia="楷体" w:cs="楷体"/>
          <w:color w:val="000000" w:themeColor="text1"/>
          <w:sz w:val="28"/>
          <w:szCs w:val="28"/>
          <w:highlight w:val="none"/>
        </w:rPr>
      </w:pPr>
      <w:r>
        <w:rPr>
          <w:rFonts w:hint="eastAsia" w:ascii="楷体" w:hAnsi="楷体" w:eastAsia="楷体" w:cs="楷体"/>
          <w:color w:val="000000" w:themeColor="text1"/>
          <w:sz w:val="28"/>
          <w:szCs w:val="28"/>
          <w:highlight w:val="none"/>
        </w:rPr>
        <w:t>我们郑重声明：</w:t>
      </w:r>
    </w:p>
    <w:p>
      <w:pPr>
        <w:numPr>
          <w:ilvl w:val="0"/>
          <w:numId w:val="2"/>
        </w:numPr>
        <w:spacing w:line="630" w:lineRule="exact"/>
        <w:ind w:firstLine="560" w:firstLineChars="200"/>
        <w:rPr>
          <w:rFonts w:ascii="楷体" w:hAnsi="楷体" w:eastAsia="楷体"/>
          <w:sz w:val="28"/>
          <w:highlight w:val="none"/>
        </w:rPr>
      </w:pPr>
      <w:bookmarkStart w:id="16" w:name="_Toc14494"/>
      <w:r>
        <w:rPr>
          <w:rFonts w:hint="eastAsia" w:ascii="楷体" w:hAnsi="楷体" w:eastAsia="楷体"/>
          <w:sz w:val="28"/>
          <w:highlight w:val="none"/>
        </w:rPr>
        <w:t>注册房地产估价师在本估价报告中对事实的说明是真实的和准确的，没有虚假记载、误导性陈述和重大遗漏。</w:t>
      </w:r>
    </w:p>
    <w:p>
      <w:pPr>
        <w:numPr>
          <w:ilvl w:val="0"/>
          <w:numId w:val="2"/>
        </w:numPr>
        <w:spacing w:line="630" w:lineRule="exact"/>
        <w:ind w:firstLine="560" w:firstLineChars="200"/>
        <w:rPr>
          <w:rFonts w:ascii="楷体" w:hAnsi="楷体" w:eastAsia="楷体"/>
          <w:sz w:val="28"/>
          <w:highlight w:val="none"/>
        </w:rPr>
      </w:pPr>
      <w:r>
        <w:rPr>
          <w:rFonts w:hint="eastAsia" w:ascii="楷体" w:hAnsi="楷体" w:eastAsia="楷体"/>
          <w:sz w:val="28"/>
          <w:highlight w:val="none"/>
        </w:rPr>
        <w:t>本估价报告中的分析、意见和结论是注册房地产估价师独立、客观、公正的专业分析、意见和结论，但受到本估价报告中已说明的假设和限制条件的限制。</w:t>
      </w:r>
    </w:p>
    <w:p>
      <w:pPr>
        <w:numPr>
          <w:ilvl w:val="0"/>
          <w:numId w:val="2"/>
        </w:numPr>
        <w:spacing w:line="630" w:lineRule="exact"/>
        <w:ind w:firstLine="560" w:firstLineChars="200"/>
        <w:rPr>
          <w:rFonts w:ascii="楷体" w:hAnsi="楷体" w:eastAsia="楷体"/>
          <w:sz w:val="28"/>
          <w:highlight w:val="none"/>
        </w:rPr>
      </w:pPr>
      <w:r>
        <w:rPr>
          <w:rFonts w:hint="eastAsia" w:ascii="楷体" w:hAnsi="楷体" w:eastAsia="楷体"/>
          <w:sz w:val="28"/>
          <w:highlight w:val="none"/>
        </w:rPr>
        <w:t>注册房地产估价师与估价报告中的估价对象没有现实或潜在的利益，与估价委托人及估价利害关系人没有利害关系，也对估价对象、估价委托人及估价利害关系人没有偏见。</w:t>
      </w:r>
    </w:p>
    <w:p>
      <w:pPr>
        <w:numPr>
          <w:ilvl w:val="0"/>
          <w:numId w:val="2"/>
        </w:numPr>
        <w:spacing w:line="630" w:lineRule="exact"/>
        <w:ind w:firstLine="560" w:firstLineChars="200"/>
        <w:rPr>
          <w:rFonts w:ascii="楷体" w:hAnsi="楷体" w:eastAsia="楷体"/>
          <w:sz w:val="28"/>
          <w:highlight w:val="none"/>
        </w:rPr>
      </w:pPr>
      <w:r>
        <w:rPr>
          <w:rFonts w:hint="eastAsia" w:ascii="楷体" w:hAnsi="楷体" w:eastAsia="楷体"/>
          <w:sz w:val="28"/>
          <w:highlight w:val="none"/>
        </w:rPr>
        <w:t>我们依照中华人民共和国国家标准《房地产估价规范》</w:t>
      </w:r>
      <w:r>
        <w:rPr>
          <w:rFonts w:hint="eastAsia" w:ascii="楷体" w:hAnsi="楷体" w:eastAsia="楷体"/>
          <w:sz w:val="28"/>
          <w:highlight w:val="none"/>
          <w:lang w:eastAsia="zh-CN"/>
        </w:rPr>
        <w:t>（</w:t>
      </w:r>
      <w:r>
        <w:rPr>
          <w:rFonts w:hint="eastAsia" w:ascii="楷体" w:hAnsi="楷体" w:eastAsia="楷体"/>
          <w:sz w:val="28"/>
          <w:highlight w:val="none"/>
          <w:lang w:val="en-US" w:eastAsia="zh-CN"/>
        </w:rPr>
        <w:t>GB/T 50291-2015</w:t>
      </w:r>
      <w:r>
        <w:rPr>
          <w:rFonts w:hint="eastAsia" w:ascii="楷体" w:hAnsi="楷体" w:eastAsia="楷体"/>
          <w:sz w:val="28"/>
          <w:highlight w:val="none"/>
          <w:lang w:eastAsia="zh-CN"/>
        </w:rPr>
        <w:t>）、</w:t>
      </w:r>
      <w:r>
        <w:rPr>
          <w:rFonts w:hint="eastAsia" w:ascii="楷体" w:hAnsi="楷体" w:eastAsia="楷体"/>
          <w:sz w:val="28"/>
          <w:highlight w:val="none"/>
        </w:rPr>
        <w:t>《房地产估价基本术语标准》</w:t>
      </w:r>
      <w:r>
        <w:rPr>
          <w:rFonts w:hint="eastAsia" w:ascii="楷体" w:hAnsi="楷体" w:eastAsia="楷体"/>
          <w:sz w:val="28"/>
          <w:highlight w:val="none"/>
          <w:lang w:eastAsia="zh-CN"/>
        </w:rPr>
        <w:t>（</w:t>
      </w:r>
      <w:r>
        <w:rPr>
          <w:rFonts w:hint="eastAsia" w:ascii="楷体" w:hAnsi="楷体" w:eastAsia="楷体"/>
          <w:sz w:val="28"/>
          <w:highlight w:val="none"/>
          <w:lang w:val="en-US" w:eastAsia="zh-CN"/>
        </w:rPr>
        <w:t>GB/T 50889-2013</w:t>
      </w:r>
      <w:r>
        <w:rPr>
          <w:rFonts w:hint="eastAsia" w:ascii="楷体" w:hAnsi="楷体" w:eastAsia="楷体"/>
          <w:sz w:val="28"/>
          <w:highlight w:val="none"/>
          <w:lang w:eastAsia="zh-CN"/>
        </w:rPr>
        <w:t>）</w:t>
      </w:r>
      <w:r>
        <w:rPr>
          <w:rFonts w:hint="eastAsia" w:ascii="楷体" w:hAnsi="楷体" w:eastAsia="楷体"/>
          <w:sz w:val="28"/>
          <w:highlight w:val="none"/>
          <w:lang w:val="en-US" w:eastAsia="zh-CN"/>
        </w:rPr>
        <w:t>及《涉执房地产处置司法评估指导意见（试行）》（中房学[2021]37号）</w:t>
      </w:r>
      <w:r>
        <w:rPr>
          <w:rFonts w:hint="eastAsia" w:ascii="楷体" w:hAnsi="楷体" w:eastAsia="楷体"/>
          <w:sz w:val="28"/>
          <w:highlight w:val="none"/>
        </w:rPr>
        <w:t>进行分析,形成意见和结论,撰写估价报告。</w:t>
      </w:r>
    </w:p>
    <w:p>
      <w:pPr>
        <w:numPr>
          <w:ilvl w:val="0"/>
          <w:numId w:val="2"/>
        </w:numPr>
        <w:spacing w:line="630" w:lineRule="exact"/>
        <w:ind w:firstLine="560" w:firstLineChars="200"/>
        <w:rPr>
          <w:rFonts w:ascii="楷体" w:hAnsi="楷体" w:eastAsia="楷体"/>
          <w:sz w:val="28"/>
          <w:highlight w:val="none"/>
        </w:rPr>
      </w:pPr>
      <w:r>
        <w:rPr>
          <w:rFonts w:hint="eastAsia" w:ascii="楷体" w:hAnsi="楷体" w:eastAsia="楷体"/>
          <w:sz w:val="28"/>
          <w:highlight w:val="none"/>
        </w:rPr>
        <w:t>注册房地产估价师</w:t>
      </w:r>
      <w:r>
        <w:rPr>
          <w:rFonts w:hint="eastAsia" w:ascii="楷体" w:hAnsi="楷体" w:eastAsia="楷体"/>
          <w:sz w:val="28"/>
          <w:highlight w:val="none"/>
          <w:lang w:val="en-US" w:eastAsia="zh-CN"/>
        </w:rPr>
        <w:t>秦振贤</w:t>
      </w:r>
      <w:r>
        <w:rPr>
          <w:rFonts w:hint="eastAsia" w:ascii="楷体" w:hAnsi="楷体" w:eastAsia="楷体"/>
          <w:sz w:val="28"/>
          <w:highlight w:val="none"/>
        </w:rPr>
        <w:t>已于</w:t>
      </w:r>
      <w:r>
        <w:rPr>
          <w:rFonts w:hint="eastAsia" w:ascii="楷体" w:hAnsi="楷体" w:eastAsia="楷体"/>
          <w:sz w:val="28"/>
          <w:highlight w:val="none"/>
          <w:lang w:eastAsia="zh-CN"/>
        </w:rPr>
        <w:t>二Ο二二年七月</w:t>
      </w:r>
      <w:r>
        <w:rPr>
          <w:rFonts w:hint="eastAsia" w:ascii="楷体" w:hAnsi="楷体" w:eastAsia="楷体"/>
          <w:sz w:val="28"/>
          <w:highlight w:val="none"/>
          <w:lang w:val="en-US" w:eastAsia="zh-CN"/>
        </w:rPr>
        <w:t>二十五</w:t>
      </w:r>
      <w:r>
        <w:rPr>
          <w:rFonts w:hint="eastAsia" w:ascii="楷体" w:hAnsi="楷体" w:eastAsia="楷体"/>
          <w:sz w:val="28"/>
          <w:highlight w:val="none"/>
          <w:lang w:eastAsia="zh-CN"/>
        </w:rPr>
        <w:t>日</w:t>
      </w:r>
      <w:r>
        <w:rPr>
          <w:rFonts w:hint="eastAsia" w:ascii="楷体" w:hAnsi="楷体" w:eastAsia="楷体"/>
          <w:sz w:val="28"/>
          <w:highlight w:val="none"/>
        </w:rPr>
        <w:t>对本估价报告中的估价对象进行了实地查勘。</w:t>
      </w:r>
    </w:p>
    <w:p>
      <w:pPr>
        <w:numPr>
          <w:ilvl w:val="0"/>
          <w:numId w:val="2"/>
        </w:numPr>
        <w:spacing w:line="630" w:lineRule="exact"/>
        <w:ind w:firstLine="560" w:firstLineChars="200"/>
        <w:rPr>
          <w:rFonts w:ascii="楷体" w:hAnsi="楷体" w:eastAsia="楷体"/>
          <w:sz w:val="28"/>
          <w:highlight w:val="none"/>
        </w:rPr>
      </w:pPr>
      <w:r>
        <w:rPr>
          <w:rFonts w:hint="eastAsia" w:ascii="楷体" w:hAnsi="楷体" w:eastAsia="楷体"/>
          <w:sz w:val="28"/>
          <w:highlight w:val="none"/>
        </w:rPr>
        <w:t>没有外部专家和单位对本报告提供重要专业帮助。</w:t>
      </w:r>
    </w:p>
    <w:p>
      <w:pPr>
        <w:numPr>
          <w:ilvl w:val="0"/>
          <w:numId w:val="2"/>
        </w:numPr>
        <w:spacing w:line="630" w:lineRule="exact"/>
        <w:ind w:firstLine="560" w:firstLineChars="200"/>
        <w:rPr>
          <w:rFonts w:ascii="楷体" w:hAnsi="楷体" w:eastAsia="楷体"/>
          <w:sz w:val="28"/>
          <w:highlight w:val="none"/>
        </w:rPr>
      </w:pPr>
      <w:r>
        <w:rPr>
          <w:rFonts w:hint="eastAsia" w:ascii="楷体" w:hAnsi="楷体" w:eastAsia="楷体"/>
          <w:sz w:val="28"/>
          <w:highlight w:val="none"/>
        </w:rPr>
        <w:t>本估价报告由杭州天平房地产评估有限公司负责解释。</w:t>
      </w:r>
    </w:p>
    <w:p>
      <w:pPr>
        <w:pStyle w:val="2"/>
        <w:keepNext/>
        <w:keepLines/>
        <w:pageBreakBefore w:val="0"/>
        <w:widowControl w:val="0"/>
        <w:kinsoku/>
        <w:wordWrap/>
        <w:overflowPunct/>
        <w:topLinePunct w:val="0"/>
        <w:autoSpaceDE/>
        <w:autoSpaceDN/>
        <w:bidi w:val="0"/>
        <w:adjustRightInd/>
        <w:snapToGrid/>
        <w:spacing w:before="0" w:beforeLines="100" w:after="0" w:afterLines="50" w:line="630" w:lineRule="exact"/>
        <w:textAlignment w:val="auto"/>
        <w:rPr>
          <w:rFonts w:ascii="黑体" w:hAnsi="黑体" w:eastAsia="黑体" w:cs="黑体"/>
          <w:color w:val="000000" w:themeColor="text1"/>
          <w:szCs w:val="32"/>
          <w:highlight w:val="none"/>
        </w:rPr>
      </w:pPr>
      <w:r>
        <w:rPr>
          <w:rFonts w:hint="eastAsia" w:ascii="楷体" w:hAnsi="楷体" w:eastAsia="楷体" w:cs="楷体"/>
          <w:color w:val="000000" w:themeColor="text1"/>
          <w:highlight w:val="none"/>
        </w:rPr>
        <w:br w:type="page"/>
      </w:r>
      <w:bookmarkStart w:id="17" w:name="_Toc13041"/>
      <w:bookmarkStart w:id="18" w:name="_Toc25102"/>
      <w:bookmarkStart w:id="19" w:name="_Toc2702"/>
      <w:r>
        <w:rPr>
          <w:rFonts w:hint="eastAsia" w:ascii="黑体" w:hAnsi="黑体" w:eastAsia="黑体" w:cs="黑体"/>
          <w:color w:val="000000" w:themeColor="text1"/>
          <w:szCs w:val="32"/>
          <w:highlight w:val="none"/>
        </w:rPr>
        <w:t>估价假设和限制条件</w:t>
      </w:r>
      <w:bookmarkEnd w:id="16"/>
      <w:bookmarkEnd w:id="17"/>
      <w:bookmarkEnd w:id="18"/>
      <w:bookmarkEnd w:id="19"/>
    </w:p>
    <w:p>
      <w:pPr>
        <w:spacing w:line="630" w:lineRule="exact"/>
        <w:ind w:firstLine="562" w:firstLineChars="200"/>
        <w:outlineLvl w:val="0"/>
        <w:rPr>
          <w:rFonts w:ascii="楷体" w:hAnsi="楷体" w:eastAsia="楷体" w:cs="楷体"/>
          <w:b/>
          <w:color w:val="000000" w:themeColor="text1"/>
          <w:sz w:val="28"/>
          <w:szCs w:val="28"/>
          <w:highlight w:val="none"/>
        </w:rPr>
      </w:pPr>
      <w:bookmarkStart w:id="20" w:name="_Toc30421"/>
      <w:bookmarkStart w:id="21" w:name="_Toc22254"/>
      <w:r>
        <w:rPr>
          <w:rFonts w:hint="eastAsia" w:ascii="楷体" w:hAnsi="楷体" w:eastAsia="楷体" w:cs="楷体"/>
          <w:b/>
          <w:color w:val="000000" w:themeColor="text1"/>
          <w:sz w:val="28"/>
          <w:szCs w:val="28"/>
          <w:highlight w:val="none"/>
        </w:rPr>
        <w:t>一、一般假设</w:t>
      </w:r>
      <w:bookmarkEnd w:id="20"/>
      <w:bookmarkEnd w:id="21"/>
    </w:p>
    <w:p>
      <w:pPr>
        <w:numPr>
          <w:ilvl w:val="0"/>
          <w:numId w:val="3"/>
        </w:numPr>
        <w:spacing w:line="630" w:lineRule="exact"/>
        <w:rPr>
          <w:rFonts w:ascii="楷体" w:hAnsi="楷体" w:eastAsia="楷体" w:cs="楷体"/>
          <w:color w:val="000000" w:themeColor="text1"/>
          <w:sz w:val="28"/>
          <w:szCs w:val="28"/>
          <w:highlight w:val="none"/>
        </w:rPr>
      </w:pPr>
      <w:r>
        <w:rPr>
          <w:rFonts w:hint="eastAsia" w:ascii="楷体" w:hAnsi="楷体" w:eastAsia="楷体" w:cs="楷体"/>
          <w:color w:val="000000" w:themeColor="text1"/>
          <w:sz w:val="28"/>
          <w:szCs w:val="28"/>
          <w:highlight w:val="none"/>
        </w:rPr>
        <w:t>估价对象在价值时点的房地产市场为公开、平等、自愿的交易市场，即能满足以下条件：1、交易双方自愿地进行交易；2、交易双方处于利己动机进行交易；3、交易双方精明、谨慎行事，并了解交易对象、知晓市场行情；4、交易双方有较充裕的时间进行交易；5、不存在买者因特殊兴趣而给予附加出价。</w:t>
      </w:r>
    </w:p>
    <w:p>
      <w:pPr>
        <w:numPr>
          <w:ilvl w:val="0"/>
          <w:numId w:val="3"/>
        </w:numPr>
        <w:spacing w:line="630" w:lineRule="exact"/>
        <w:rPr>
          <w:rFonts w:ascii="楷体" w:hAnsi="楷体" w:eastAsia="楷体" w:cs="楷体"/>
          <w:color w:val="000000" w:themeColor="text1"/>
          <w:sz w:val="28"/>
          <w:szCs w:val="28"/>
          <w:highlight w:val="none"/>
        </w:rPr>
      </w:pPr>
      <w:r>
        <w:rPr>
          <w:rFonts w:hint="eastAsia" w:ascii="楷体" w:hAnsi="楷体" w:eastAsia="楷体"/>
          <w:sz w:val="28"/>
          <w:highlight w:val="none"/>
          <w:lang w:val="en-US" w:eastAsia="zh-CN"/>
        </w:rPr>
        <w:t>杭州市规划和自然资源局</w:t>
      </w:r>
      <w:r>
        <w:rPr>
          <w:rFonts w:hint="eastAsia" w:ascii="楷体" w:hAnsi="楷体" w:eastAsia="楷体" w:cs="楷体"/>
          <w:color w:val="000000" w:themeColor="text1"/>
          <w:sz w:val="28"/>
          <w:szCs w:val="28"/>
          <w:highlight w:val="none"/>
        </w:rPr>
        <w:t>提供了估价对象的</w:t>
      </w:r>
      <w:r>
        <w:rPr>
          <w:rFonts w:hint="eastAsia" w:ascii="楷体" w:hAnsi="楷体" w:eastAsia="楷体"/>
          <w:sz w:val="28"/>
          <w:highlight w:val="none"/>
        </w:rPr>
        <w:t>《</w:t>
      </w:r>
      <w:r>
        <w:rPr>
          <w:rFonts w:hint="eastAsia" w:ascii="楷体" w:hAnsi="楷体" w:eastAsia="楷体"/>
          <w:sz w:val="28"/>
          <w:szCs w:val="28"/>
          <w:highlight w:val="none"/>
        </w:rPr>
        <w:t>杭州市不动产</w:t>
      </w:r>
      <w:r>
        <w:rPr>
          <w:rFonts w:hint="eastAsia" w:ascii="楷体" w:hAnsi="楷体" w:eastAsia="楷体"/>
          <w:sz w:val="28"/>
          <w:szCs w:val="28"/>
          <w:highlight w:val="none"/>
          <w:lang w:val="en-US" w:eastAsia="zh-CN"/>
        </w:rPr>
        <w:t>登记</w:t>
      </w:r>
      <w:r>
        <w:rPr>
          <w:rFonts w:hint="eastAsia" w:ascii="楷体" w:hAnsi="楷体" w:eastAsia="楷体"/>
          <w:sz w:val="28"/>
          <w:szCs w:val="28"/>
          <w:highlight w:val="none"/>
        </w:rPr>
        <w:t>信息查询记录</w:t>
      </w:r>
      <w:r>
        <w:rPr>
          <w:rFonts w:hint="eastAsia" w:ascii="楷体" w:hAnsi="楷体" w:eastAsia="楷体"/>
          <w:sz w:val="28"/>
          <w:highlight w:val="none"/>
        </w:rPr>
        <w:t>》</w:t>
      </w:r>
      <w:r>
        <w:rPr>
          <w:rFonts w:hint="eastAsia" w:ascii="楷体" w:hAnsi="楷体" w:eastAsia="楷体" w:cs="楷体"/>
          <w:color w:val="000000" w:themeColor="text1"/>
          <w:sz w:val="28"/>
          <w:szCs w:val="28"/>
          <w:highlight w:val="none"/>
          <w:lang w:val="en-US" w:eastAsia="zh-CN"/>
        </w:rPr>
        <w:t>等资料</w:t>
      </w:r>
      <w:r>
        <w:rPr>
          <w:rFonts w:hint="eastAsia" w:ascii="楷体" w:hAnsi="楷体" w:eastAsia="楷体" w:cs="楷体"/>
          <w:color w:val="000000" w:themeColor="text1"/>
          <w:sz w:val="28"/>
          <w:szCs w:val="28"/>
          <w:highlight w:val="none"/>
          <w:lang w:eastAsia="zh-CN"/>
        </w:rPr>
        <w:t>，</w:t>
      </w:r>
      <w:r>
        <w:rPr>
          <w:rFonts w:hint="eastAsia" w:ascii="楷体" w:hAnsi="楷体" w:eastAsia="楷体" w:cs="楷体"/>
          <w:color w:val="000000" w:themeColor="text1"/>
          <w:sz w:val="28"/>
          <w:szCs w:val="28"/>
          <w:highlight w:val="none"/>
        </w:rPr>
        <w:t>我们进行了认真的核对，在无理由怀疑其合法性、真实性、准确性和完整性的情况下，假定</w:t>
      </w:r>
      <w:r>
        <w:rPr>
          <w:rFonts w:hint="eastAsia" w:ascii="楷体" w:hAnsi="楷体" w:eastAsia="楷体" w:cs="楷体"/>
          <w:color w:val="000000" w:themeColor="text1"/>
          <w:sz w:val="28"/>
          <w:szCs w:val="28"/>
          <w:highlight w:val="none"/>
          <w:lang w:val="en-US" w:eastAsia="zh-CN"/>
        </w:rPr>
        <w:t>该</w:t>
      </w:r>
      <w:r>
        <w:rPr>
          <w:rFonts w:hint="eastAsia" w:ascii="楷体" w:hAnsi="楷体" w:eastAsia="楷体" w:cs="楷体"/>
          <w:color w:val="000000" w:themeColor="text1"/>
          <w:sz w:val="28"/>
          <w:szCs w:val="28"/>
          <w:highlight w:val="none"/>
        </w:rPr>
        <w:t>资料合法、真实、准确、完整。</w:t>
      </w:r>
    </w:p>
    <w:p>
      <w:pPr>
        <w:numPr>
          <w:ilvl w:val="0"/>
          <w:numId w:val="3"/>
        </w:numPr>
        <w:spacing w:line="630" w:lineRule="exact"/>
        <w:rPr>
          <w:rFonts w:ascii="楷体" w:hAnsi="楷体" w:eastAsia="楷体" w:cs="楷体"/>
          <w:color w:val="000000" w:themeColor="text1"/>
          <w:sz w:val="28"/>
          <w:szCs w:val="28"/>
          <w:highlight w:val="none"/>
        </w:rPr>
      </w:pPr>
      <w:r>
        <w:rPr>
          <w:rFonts w:hint="eastAsia" w:ascii="楷体_GB2312" w:hAnsi="宋体" w:eastAsia="楷体_GB2312"/>
          <w:sz w:val="28"/>
          <w:szCs w:val="28"/>
          <w:highlight w:val="none"/>
        </w:rPr>
        <w:t>注册房地产估价师实地查勘时，对房屋质量安全、环境污染等影响估价对象价值或价格的重大因素给予了关注，但由于受到专业的限制，注册房地产估价师未对其做建筑物基础、房屋结构上的测量和实验。在无理由怀疑估价对象存在安全隐患且无相应的专业机构进行鉴定、检测的情况下，本次估价假设其无建筑物基础、结构等方面的重大质量问题，不存在影响估价对象价值或价格的房屋安全、环境污染等重大不利因素。</w:t>
      </w:r>
    </w:p>
    <w:p>
      <w:pPr>
        <w:numPr>
          <w:ilvl w:val="0"/>
          <w:numId w:val="3"/>
        </w:numPr>
        <w:spacing w:line="630" w:lineRule="exact"/>
        <w:rPr>
          <w:rFonts w:ascii="楷体" w:hAnsi="楷体" w:eastAsia="楷体" w:cs="楷体"/>
          <w:color w:val="000000" w:themeColor="text1"/>
          <w:sz w:val="28"/>
          <w:szCs w:val="28"/>
          <w:highlight w:val="none"/>
        </w:rPr>
      </w:pPr>
      <w:r>
        <w:rPr>
          <w:rFonts w:hint="eastAsia" w:ascii="楷体" w:hAnsi="楷体" w:eastAsia="楷体" w:cs="楷体"/>
          <w:color w:val="000000" w:themeColor="text1"/>
          <w:sz w:val="28"/>
          <w:szCs w:val="28"/>
          <w:highlight w:val="none"/>
        </w:rPr>
        <w:t>注册房地产估价师未对房屋建筑面积进行专业测量，经实地查勘，估价对象房屋建筑面积</w:t>
      </w:r>
      <w:r>
        <w:rPr>
          <w:rFonts w:hint="eastAsia" w:ascii="楷体" w:hAnsi="楷体" w:eastAsia="楷体" w:cs="楷体"/>
          <w:color w:val="000000" w:themeColor="text1"/>
          <w:sz w:val="28"/>
          <w:szCs w:val="28"/>
          <w:highlight w:val="none"/>
          <w:lang w:val="en-US" w:eastAsia="zh-CN"/>
        </w:rPr>
        <w:t>与</w:t>
      </w:r>
      <w:r>
        <w:rPr>
          <w:rFonts w:hint="eastAsia" w:ascii="楷体" w:hAnsi="楷体" w:eastAsia="楷体"/>
          <w:sz w:val="28"/>
          <w:highlight w:val="none"/>
        </w:rPr>
        <w:t>《</w:t>
      </w:r>
      <w:r>
        <w:rPr>
          <w:rFonts w:hint="eastAsia" w:ascii="楷体" w:hAnsi="楷体" w:eastAsia="楷体"/>
          <w:sz w:val="28"/>
          <w:szCs w:val="28"/>
          <w:highlight w:val="none"/>
        </w:rPr>
        <w:t>杭州市不动产</w:t>
      </w:r>
      <w:r>
        <w:rPr>
          <w:rFonts w:hint="eastAsia" w:ascii="楷体" w:hAnsi="楷体" w:eastAsia="楷体"/>
          <w:sz w:val="28"/>
          <w:szCs w:val="28"/>
          <w:highlight w:val="none"/>
          <w:lang w:val="en-US" w:eastAsia="zh-CN"/>
        </w:rPr>
        <w:t>登记</w:t>
      </w:r>
      <w:r>
        <w:rPr>
          <w:rFonts w:hint="eastAsia" w:ascii="楷体" w:hAnsi="楷体" w:eastAsia="楷体"/>
          <w:sz w:val="28"/>
          <w:szCs w:val="28"/>
          <w:highlight w:val="none"/>
        </w:rPr>
        <w:t>信息查询记录</w:t>
      </w:r>
      <w:r>
        <w:rPr>
          <w:rFonts w:hint="eastAsia" w:ascii="楷体" w:hAnsi="楷体" w:eastAsia="楷体"/>
          <w:sz w:val="28"/>
          <w:highlight w:val="none"/>
        </w:rPr>
        <w:t>》</w:t>
      </w:r>
      <w:r>
        <w:rPr>
          <w:rFonts w:hint="eastAsia" w:ascii="楷体" w:hAnsi="楷体" w:eastAsia="楷体" w:cs="楷体"/>
          <w:color w:val="000000" w:themeColor="text1"/>
          <w:sz w:val="28"/>
          <w:szCs w:val="28"/>
          <w:highlight w:val="none"/>
        </w:rPr>
        <w:t>记载建筑面积</w:t>
      </w:r>
      <w:r>
        <w:rPr>
          <w:rFonts w:hint="eastAsia" w:ascii="楷体" w:hAnsi="楷体" w:eastAsia="楷体" w:cs="楷体"/>
          <w:color w:val="000000" w:themeColor="text1"/>
          <w:sz w:val="28"/>
          <w:szCs w:val="28"/>
          <w:highlight w:val="none"/>
          <w:lang w:val="en-US" w:eastAsia="zh-CN"/>
        </w:rPr>
        <w:t>大体相当</w:t>
      </w:r>
      <w:r>
        <w:rPr>
          <w:rFonts w:hint="eastAsia" w:ascii="楷体" w:hAnsi="楷体" w:eastAsia="楷体" w:cs="楷体"/>
          <w:color w:val="000000" w:themeColor="text1"/>
          <w:sz w:val="28"/>
          <w:szCs w:val="28"/>
          <w:highlight w:val="none"/>
        </w:rPr>
        <w:t>。</w:t>
      </w:r>
    </w:p>
    <w:p>
      <w:pPr>
        <w:numPr>
          <w:ilvl w:val="0"/>
          <w:numId w:val="3"/>
        </w:numPr>
        <w:spacing w:line="630" w:lineRule="exact"/>
        <w:rPr>
          <w:rFonts w:ascii="楷体" w:hAnsi="楷体" w:eastAsia="楷体" w:cs="楷体"/>
          <w:color w:val="000000" w:themeColor="text1"/>
          <w:sz w:val="28"/>
          <w:szCs w:val="28"/>
          <w:highlight w:val="none"/>
        </w:rPr>
      </w:pPr>
      <w:r>
        <w:rPr>
          <w:rFonts w:hint="eastAsia" w:ascii="楷体" w:hAnsi="楷体" w:eastAsia="楷体" w:cs="楷体"/>
          <w:color w:val="000000" w:themeColor="text1"/>
          <w:sz w:val="28"/>
          <w:szCs w:val="28"/>
          <w:highlight w:val="none"/>
        </w:rPr>
        <w:t>任何有关估价对象的运作方式、程序符合国家、地方的有关法律、法规、文件、政策等，特别是符合建设、规划、房地产主管部门所颁布的法律、法规、文件、政策等，不存在也不涉及任何法律纠纷及权属争议、不受任何权利限制、可以在公开市场上合法地进行转让为假定前提。</w:t>
      </w:r>
    </w:p>
    <w:p>
      <w:pPr>
        <w:numPr>
          <w:ilvl w:val="0"/>
          <w:numId w:val="3"/>
        </w:numPr>
        <w:spacing w:line="630" w:lineRule="exact"/>
        <w:rPr>
          <w:rFonts w:ascii="楷体" w:hAnsi="楷体" w:eastAsia="楷体" w:cs="楷体"/>
          <w:color w:val="000000" w:themeColor="text1"/>
          <w:sz w:val="28"/>
          <w:szCs w:val="28"/>
          <w:highlight w:val="none"/>
        </w:rPr>
      </w:pPr>
      <w:r>
        <w:rPr>
          <w:rFonts w:hint="eastAsia" w:ascii="楷体" w:hAnsi="楷体" w:eastAsia="楷体" w:cs="楷体"/>
          <w:color w:val="000000" w:themeColor="text1"/>
          <w:sz w:val="28"/>
          <w:szCs w:val="28"/>
          <w:highlight w:val="none"/>
        </w:rPr>
        <w:t xml:space="preserve">估价对象应享有公共部位的通行权及共用设施的使用权。 </w:t>
      </w:r>
    </w:p>
    <w:p>
      <w:pPr>
        <w:numPr>
          <w:ilvl w:val="0"/>
          <w:numId w:val="3"/>
        </w:numPr>
        <w:spacing w:line="630" w:lineRule="exact"/>
        <w:rPr>
          <w:rFonts w:ascii="楷体" w:hAnsi="楷体" w:eastAsia="楷体" w:cs="楷体"/>
          <w:color w:val="000000" w:themeColor="text1"/>
          <w:sz w:val="28"/>
          <w:szCs w:val="28"/>
          <w:highlight w:val="none"/>
        </w:rPr>
      </w:pPr>
      <w:r>
        <w:rPr>
          <w:rFonts w:hint="eastAsia" w:ascii="楷体" w:hAnsi="楷体" w:eastAsia="楷体" w:cs="楷体"/>
          <w:color w:val="000000" w:themeColor="text1"/>
          <w:sz w:val="28"/>
          <w:szCs w:val="28"/>
          <w:highlight w:val="none"/>
        </w:rPr>
        <w:t>本次估价采用比较法和收益法进行估价。其中收益法采用报酬资本化法。根据《房地产估价规范》4.3.2条款内容“报酬资本化法估价时，应区分全剩余寿命模式和持有加转售模式。当收益期较长，难以预测该期限内各年净收益时，宜选用持有加转售模式”。故本次估价收益法采用持有加转售模式。</w:t>
      </w:r>
    </w:p>
    <w:p>
      <w:pPr>
        <w:spacing w:line="630" w:lineRule="exact"/>
        <w:ind w:firstLine="562" w:firstLineChars="200"/>
        <w:outlineLvl w:val="0"/>
        <w:rPr>
          <w:rFonts w:ascii="楷体" w:hAnsi="楷体" w:eastAsia="楷体" w:cs="楷体"/>
          <w:b/>
          <w:color w:val="000000" w:themeColor="text1"/>
          <w:sz w:val="28"/>
          <w:szCs w:val="28"/>
          <w:highlight w:val="none"/>
        </w:rPr>
      </w:pPr>
      <w:bookmarkStart w:id="22" w:name="_Toc32696"/>
      <w:bookmarkStart w:id="23" w:name="_Toc10440"/>
      <w:r>
        <w:rPr>
          <w:rFonts w:hint="eastAsia" w:ascii="楷体" w:hAnsi="楷体" w:eastAsia="楷体" w:cs="楷体"/>
          <w:b/>
          <w:color w:val="000000" w:themeColor="text1"/>
          <w:sz w:val="28"/>
          <w:szCs w:val="28"/>
          <w:highlight w:val="none"/>
        </w:rPr>
        <w:t>二、未定事项假设：</w:t>
      </w:r>
      <w:bookmarkEnd w:id="22"/>
      <w:bookmarkEnd w:id="23"/>
    </w:p>
    <w:p>
      <w:pPr>
        <w:spacing w:line="630" w:lineRule="exact"/>
        <w:ind w:firstLine="560" w:firstLineChars="200"/>
        <w:rPr>
          <w:rFonts w:ascii="楷体" w:hAnsi="楷体" w:eastAsia="楷体" w:cs="楷体"/>
          <w:color w:val="000000" w:themeColor="text1"/>
          <w:sz w:val="28"/>
          <w:szCs w:val="28"/>
          <w:highlight w:val="none"/>
        </w:rPr>
      </w:pPr>
      <w:r>
        <w:rPr>
          <w:rFonts w:hint="eastAsia" w:ascii="楷体" w:hAnsi="楷体" w:eastAsia="楷体" w:cs="楷体"/>
          <w:color w:val="000000" w:themeColor="text1"/>
          <w:sz w:val="28"/>
          <w:szCs w:val="28"/>
          <w:highlight w:val="none"/>
        </w:rPr>
        <w:t>本报告中无未定事项假设。</w:t>
      </w:r>
    </w:p>
    <w:p>
      <w:pPr>
        <w:spacing w:line="630" w:lineRule="exact"/>
        <w:ind w:firstLine="562" w:firstLineChars="200"/>
        <w:outlineLvl w:val="0"/>
        <w:rPr>
          <w:rFonts w:ascii="楷体" w:hAnsi="楷体" w:eastAsia="楷体" w:cs="楷体"/>
          <w:b/>
          <w:color w:val="000000" w:themeColor="text1"/>
          <w:sz w:val="28"/>
          <w:szCs w:val="28"/>
          <w:highlight w:val="none"/>
        </w:rPr>
      </w:pPr>
      <w:bookmarkStart w:id="24" w:name="_Toc29869"/>
      <w:bookmarkStart w:id="25" w:name="_Toc11451"/>
      <w:r>
        <w:rPr>
          <w:rFonts w:hint="eastAsia" w:ascii="楷体" w:hAnsi="楷体" w:eastAsia="楷体" w:cs="楷体"/>
          <w:b/>
          <w:color w:val="000000" w:themeColor="text1"/>
          <w:sz w:val="28"/>
          <w:szCs w:val="28"/>
          <w:highlight w:val="none"/>
        </w:rPr>
        <w:t>三、背离事实假设</w:t>
      </w:r>
      <w:bookmarkEnd w:id="24"/>
      <w:bookmarkEnd w:id="25"/>
    </w:p>
    <w:p>
      <w:pPr>
        <w:spacing w:line="630" w:lineRule="exact"/>
        <w:ind w:firstLine="560" w:firstLineChars="200"/>
        <w:outlineLvl w:val="0"/>
        <w:rPr>
          <w:rFonts w:hint="eastAsia" w:ascii="楷体" w:hAnsi="楷体" w:eastAsia="楷体"/>
          <w:sz w:val="28"/>
          <w:highlight w:val="none"/>
        </w:rPr>
      </w:pPr>
      <w:bookmarkStart w:id="26" w:name="_Toc26995"/>
      <w:bookmarkStart w:id="27" w:name="_Toc2916"/>
      <w:r>
        <w:rPr>
          <w:rFonts w:hint="eastAsia" w:ascii="楷体" w:hAnsi="楷体" w:eastAsia="楷体"/>
          <w:sz w:val="28"/>
          <w:highlight w:val="none"/>
        </w:rPr>
        <w:t>根据《</w:t>
      </w:r>
      <w:r>
        <w:rPr>
          <w:rFonts w:hint="eastAsia" w:ascii="楷体" w:hAnsi="楷体" w:eastAsia="楷体"/>
          <w:sz w:val="28"/>
          <w:szCs w:val="28"/>
          <w:highlight w:val="none"/>
        </w:rPr>
        <w:t>杭州市不动产</w:t>
      </w:r>
      <w:r>
        <w:rPr>
          <w:rFonts w:hint="eastAsia" w:ascii="楷体" w:hAnsi="楷体" w:eastAsia="楷体"/>
          <w:sz w:val="28"/>
          <w:szCs w:val="28"/>
          <w:highlight w:val="none"/>
          <w:lang w:val="en-US" w:eastAsia="zh-CN"/>
        </w:rPr>
        <w:t>登记</w:t>
      </w:r>
      <w:r>
        <w:rPr>
          <w:rFonts w:hint="eastAsia" w:ascii="楷体" w:hAnsi="楷体" w:eastAsia="楷体"/>
          <w:sz w:val="28"/>
          <w:szCs w:val="28"/>
          <w:highlight w:val="none"/>
        </w:rPr>
        <w:t>信息查询记录</w:t>
      </w:r>
      <w:r>
        <w:rPr>
          <w:rFonts w:hint="eastAsia" w:ascii="楷体" w:hAnsi="楷体" w:eastAsia="楷体"/>
          <w:sz w:val="28"/>
          <w:highlight w:val="none"/>
        </w:rPr>
        <w:t>》记载，至价值时点，估价对象</w:t>
      </w:r>
      <w:r>
        <w:rPr>
          <w:rFonts w:hint="eastAsia" w:ascii="楷体" w:hAnsi="楷体" w:eastAsia="楷体"/>
          <w:sz w:val="28"/>
          <w:highlight w:val="none"/>
          <w:lang w:val="en-US" w:eastAsia="zh-CN"/>
        </w:rPr>
        <w:t>已设定抵押、已被司法机关查封，</w:t>
      </w:r>
      <w:r>
        <w:rPr>
          <w:rFonts w:hint="eastAsia" w:ascii="楷体" w:hAnsi="楷体" w:eastAsia="楷体"/>
          <w:sz w:val="28"/>
          <w:highlight w:val="none"/>
        </w:rPr>
        <w:t>根据估价目的，本次估价不考虑估价对象</w:t>
      </w:r>
      <w:r>
        <w:rPr>
          <w:rFonts w:hint="eastAsia" w:ascii="楷体" w:hAnsi="楷体" w:eastAsia="楷体"/>
          <w:sz w:val="28"/>
          <w:highlight w:val="none"/>
          <w:lang w:val="en-US" w:eastAsia="zh-CN"/>
        </w:rPr>
        <w:t>抵押、查封</w:t>
      </w:r>
      <w:r>
        <w:rPr>
          <w:rFonts w:hint="eastAsia" w:ascii="楷体" w:hAnsi="楷体" w:eastAsia="楷体"/>
          <w:sz w:val="28"/>
          <w:highlight w:val="none"/>
        </w:rPr>
        <w:t>状况对房地产市场价值的影响。</w:t>
      </w:r>
      <w:bookmarkEnd w:id="26"/>
    </w:p>
    <w:p>
      <w:pPr>
        <w:spacing w:line="630" w:lineRule="exact"/>
        <w:ind w:firstLine="562" w:firstLineChars="200"/>
        <w:outlineLvl w:val="0"/>
        <w:rPr>
          <w:rFonts w:ascii="楷体" w:hAnsi="楷体" w:eastAsia="楷体" w:cs="楷体"/>
          <w:b/>
          <w:color w:val="000000" w:themeColor="text1"/>
          <w:sz w:val="28"/>
          <w:szCs w:val="28"/>
          <w:highlight w:val="none"/>
        </w:rPr>
      </w:pPr>
      <w:bookmarkStart w:id="28" w:name="_Toc20824"/>
      <w:r>
        <w:rPr>
          <w:rFonts w:hint="eastAsia" w:ascii="楷体" w:hAnsi="楷体" w:eastAsia="楷体" w:cs="楷体"/>
          <w:b/>
          <w:color w:val="000000" w:themeColor="text1"/>
          <w:sz w:val="28"/>
          <w:szCs w:val="28"/>
          <w:highlight w:val="none"/>
        </w:rPr>
        <w:t>四、不相一致假设</w:t>
      </w:r>
      <w:bookmarkEnd w:id="27"/>
      <w:bookmarkEnd w:id="28"/>
    </w:p>
    <w:p>
      <w:pPr>
        <w:spacing w:line="630" w:lineRule="exact"/>
        <w:ind w:firstLine="560" w:firstLineChars="200"/>
        <w:rPr>
          <w:rFonts w:ascii="楷体" w:hAnsi="楷体" w:eastAsia="楷体" w:cs="楷体"/>
          <w:color w:val="000000" w:themeColor="text1"/>
          <w:sz w:val="28"/>
          <w:szCs w:val="28"/>
          <w:highlight w:val="none"/>
        </w:rPr>
      </w:pPr>
      <w:r>
        <w:rPr>
          <w:rFonts w:hint="eastAsia" w:ascii="楷体" w:hAnsi="楷体" w:eastAsia="楷体" w:cs="楷体"/>
          <w:color w:val="000000" w:themeColor="text1"/>
          <w:sz w:val="28"/>
          <w:szCs w:val="28"/>
          <w:highlight w:val="none"/>
        </w:rPr>
        <w:t>本报告中无不相一致假设。</w:t>
      </w:r>
    </w:p>
    <w:p>
      <w:pPr>
        <w:spacing w:line="630" w:lineRule="exact"/>
        <w:ind w:firstLine="562" w:firstLineChars="200"/>
        <w:outlineLvl w:val="0"/>
        <w:rPr>
          <w:rFonts w:ascii="楷体" w:hAnsi="楷体" w:eastAsia="楷体" w:cs="楷体"/>
          <w:b/>
          <w:color w:val="000000" w:themeColor="text1"/>
          <w:sz w:val="28"/>
          <w:szCs w:val="28"/>
          <w:highlight w:val="none"/>
        </w:rPr>
      </w:pPr>
      <w:bookmarkStart w:id="29" w:name="_Toc14640"/>
      <w:bookmarkStart w:id="30" w:name="_Toc749"/>
      <w:r>
        <w:rPr>
          <w:rFonts w:hint="eastAsia" w:ascii="楷体" w:hAnsi="楷体" w:eastAsia="楷体" w:cs="楷体"/>
          <w:b/>
          <w:color w:val="000000" w:themeColor="text1"/>
          <w:sz w:val="28"/>
          <w:szCs w:val="28"/>
          <w:highlight w:val="none"/>
        </w:rPr>
        <w:t>五、依据不足假设</w:t>
      </w:r>
      <w:bookmarkEnd w:id="29"/>
      <w:bookmarkEnd w:id="30"/>
    </w:p>
    <w:p>
      <w:pPr>
        <w:spacing w:line="630" w:lineRule="exact"/>
        <w:ind w:firstLine="560" w:firstLineChars="200"/>
        <w:rPr>
          <w:rFonts w:ascii="楷体" w:hAnsi="楷体" w:eastAsia="楷体" w:cs="楷体"/>
          <w:color w:val="000000" w:themeColor="text1"/>
          <w:sz w:val="28"/>
          <w:szCs w:val="28"/>
          <w:highlight w:val="none"/>
        </w:rPr>
      </w:pPr>
      <w:r>
        <w:rPr>
          <w:rFonts w:hint="eastAsia" w:ascii="楷体" w:hAnsi="楷体" w:eastAsia="楷体" w:cs="楷体"/>
          <w:color w:val="000000" w:themeColor="text1"/>
          <w:sz w:val="28"/>
          <w:szCs w:val="28"/>
          <w:highlight w:val="none"/>
        </w:rPr>
        <w:t>本报告中无依据不足假设。</w:t>
      </w:r>
    </w:p>
    <w:p>
      <w:pPr>
        <w:spacing w:line="630" w:lineRule="exact"/>
        <w:ind w:firstLine="562" w:firstLineChars="200"/>
        <w:outlineLvl w:val="0"/>
        <w:rPr>
          <w:rFonts w:hint="default" w:ascii="楷体" w:hAnsi="楷体" w:eastAsia="楷体" w:cs="楷体"/>
          <w:b/>
          <w:color w:val="000000" w:themeColor="text1"/>
          <w:sz w:val="28"/>
          <w:szCs w:val="28"/>
          <w:highlight w:val="none"/>
          <w:lang w:val="en-US" w:eastAsia="zh-CN"/>
        </w:rPr>
      </w:pPr>
      <w:bookmarkStart w:id="31" w:name="_Toc8679"/>
      <w:bookmarkStart w:id="32" w:name="_Toc6291"/>
      <w:r>
        <w:rPr>
          <w:rFonts w:hint="eastAsia" w:ascii="楷体" w:hAnsi="楷体" w:eastAsia="楷体" w:cs="楷体"/>
          <w:b/>
          <w:color w:val="000000" w:themeColor="text1"/>
          <w:sz w:val="28"/>
          <w:szCs w:val="28"/>
          <w:highlight w:val="none"/>
        </w:rPr>
        <w:t>六、</w:t>
      </w:r>
      <w:bookmarkEnd w:id="31"/>
      <w:r>
        <w:rPr>
          <w:rFonts w:hint="eastAsia" w:ascii="楷体" w:hAnsi="楷体" w:eastAsia="楷体" w:cs="楷体"/>
          <w:b/>
          <w:bCs/>
          <w:sz w:val="28"/>
          <w:szCs w:val="28"/>
          <w:highlight w:val="none"/>
        </w:rPr>
        <w:t>估价报告使用限制</w:t>
      </w:r>
      <w:bookmarkEnd w:id="32"/>
      <w:r>
        <w:rPr>
          <w:rFonts w:hint="eastAsia" w:ascii="楷体" w:hAnsi="楷体" w:eastAsia="楷体" w:cs="楷体"/>
          <w:b/>
          <w:bCs/>
          <w:sz w:val="28"/>
          <w:szCs w:val="28"/>
          <w:highlight w:val="none"/>
        </w:rPr>
        <w:t>和特殊事项说明</w:t>
      </w:r>
    </w:p>
    <w:p>
      <w:pPr>
        <w:pageBreakBefore w:val="0"/>
        <w:numPr>
          <w:ilvl w:val="0"/>
          <w:numId w:val="4"/>
        </w:numPr>
        <w:kinsoku/>
        <w:wordWrap/>
        <w:overflowPunct/>
        <w:bidi w:val="0"/>
        <w:spacing w:line="630" w:lineRule="exact"/>
        <w:ind w:left="0" w:leftChars="0" w:firstLine="420" w:firstLineChars="0"/>
        <w:rPr>
          <w:rFonts w:ascii="楷体" w:hAnsi="楷体" w:eastAsia="楷体" w:cs="楷体"/>
          <w:color w:val="000000"/>
          <w:sz w:val="28"/>
          <w:szCs w:val="28"/>
          <w:highlight w:val="none"/>
        </w:rPr>
      </w:pPr>
      <w:bookmarkStart w:id="33" w:name="_Toc243366087"/>
      <w:bookmarkStart w:id="34" w:name="_Toc17727"/>
      <w:r>
        <w:rPr>
          <w:rFonts w:ascii="楷体" w:hAnsi="楷体" w:eastAsia="楷体"/>
          <w:sz w:val="28"/>
          <w:highlight w:val="none"/>
        </w:rPr>
        <w:t>本估价</w:t>
      </w:r>
      <w:r>
        <w:rPr>
          <w:rFonts w:hint="eastAsia" w:ascii="楷体" w:hAnsi="楷体" w:eastAsia="楷体"/>
          <w:sz w:val="28"/>
          <w:highlight w:val="none"/>
          <w:lang w:val="en-US" w:eastAsia="zh-CN"/>
        </w:rPr>
        <w:t>报告</w:t>
      </w:r>
      <w:r>
        <w:rPr>
          <w:rFonts w:ascii="楷体" w:hAnsi="楷体" w:eastAsia="楷体"/>
          <w:sz w:val="28"/>
          <w:highlight w:val="none"/>
        </w:rPr>
        <w:t>仅</w:t>
      </w:r>
      <w:r>
        <w:rPr>
          <w:rFonts w:hint="eastAsia" w:ascii="楷体" w:hAnsi="楷体" w:eastAsia="楷体"/>
          <w:sz w:val="28"/>
          <w:highlight w:val="none"/>
        </w:rPr>
        <w:t>为人民法院确定财产处置参考价提供参考依据</w:t>
      </w:r>
      <w:r>
        <w:rPr>
          <w:rFonts w:ascii="楷体" w:hAnsi="楷体" w:eastAsia="楷体"/>
          <w:sz w:val="28"/>
          <w:highlight w:val="none"/>
        </w:rPr>
        <w:t>，</w:t>
      </w:r>
      <w:r>
        <w:rPr>
          <w:rFonts w:hint="eastAsia" w:ascii="楷体" w:hAnsi="楷体" w:eastAsia="楷体"/>
          <w:sz w:val="28"/>
          <w:highlight w:val="none"/>
        </w:rPr>
        <w:t>如</w:t>
      </w:r>
      <w:r>
        <w:rPr>
          <w:rFonts w:ascii="楷体" w:hAnsi="楷体" w:eastAsia="楷体"/>
          <w:sz w:val="28"/>
          <w:highlight w:val="none"/>
        </w:rPr>
        <w:t>超出此范围</w:t>
      </w:r>
      <w:r>
        <w:rPr>
          <w:rFonts w:hint="eastAsia" w:ascii="楷体" w:hAnsi="楷体" w:eastAsia="楷体"/>
          <w:sz w:val="28"/>
          <w:highlight w:val="none"/>
        </w:rPr>
        <w:t>则估价结果</w:t>
      </w:r>
      <w:r>
        <w:rPr>
          <w:rFonts w:ascii="楷体" w:hAnsi="楷体" w:eastAsia="楷体"/>
          <w:sz w:val="28"/>
          <w:highlight w:val="none"/>
        </w:rPr>
        <w:t>无效，本</w:t>
      </w:r>
      <w:r>
        <w:rPr>
          <w:rFonts w:hint="eastAsia" w:ascii="楷体" w:hAnsi="楷体" w:eastAsia="楷体"/>
          <w:sz w:val="28"/>
          <w:highlight w:val="none"/>
          <w:lang w:eastAsia="zh-CN"/>
        </w:rPr>
        <w:t>估价</w:t>
      </w:r>
      <w:r>
        <w:rPr>
          <w:rFonts w:ascii="楷体" w:hAnsi="楷体" w:eastAsia="楷体"/>
          <w:sz w:val="28"/>
          <w:highlight w:val="none"/>
        </w:rPr>
        <w:t>机构不负</w:t>
      </w:r>
      <w:r>
        <w:rPr>
          <w:rFonts w:hint="eastAsia" w:ascii="楷体" w:hAnsi="楷体" w:eastAsia="楷体"/>
          <w:sz w:val="28"/>
          <w:highlight w:val="none"/>
        </w:rPr>
        <w:t>相应的</w:t>
      </w:r>
      <w:r>
        <w:rPr>
          <w:rFonts w:ascii="楷体" w:hAnsi="楷体" w:eastAsia="楷体"/>
          <w:sz w:val="28"/>
          <w:highlight w:val="none"/>
        </w:rPr>
        <w:t>法律责任。</w:t>
      </w:r>
    </w:p>
    <w:p>
      <w:pPr>
        <w:numPr>
          <w:ilvl w:val="0"/>
          <w:numId w:val="4"/>
        </w:numPr>
        <w:spacing w:line="630" w:lineRule="exact"/>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rPr>
        <w:t>本估价报告仅对估价对象房地产的</w:t>
      </w:r>
      <w:r>
        <w:rPr>
          <w:rFonts w:hint="eastAsia" w:ascii="楷体" w:hAnsi="楷体" w:eastAsia="楷体" w:cs="楷体"/>
          <w:color w:val="000000"/>
          <w:sz w:val="28"/>
          <w:szCs w:val="28"/>
          <w:highlight w:val="none"/>
          <w:lang w:val="en-US" w:eastAsia="zh-CN"/>
        </w:rPr>
        <w:t>市场</w:t>
      </w:r>
      <w:r>
        <w:rPr>
          <w:rFonts w:hint="eastAsia" w:ascii="楷体" w:hAnsi="楷体" w:eastAsia="楷体" w:cs="楷体"/>
          <w:color w:val="000000"/>
          <w:sz w:val="28"/>
          <w:szCs w:val="28"/>
          <w:highlight w:val="none"/>
        </w:rPr>
        <w:t>价值做出合理估测，不作为其权属方面确认的依据，有关权属界定以有</w:t>
      </w:r>
      <w:r>
        <w:rPr>
          <w:rFonts w:hint="eastAsia" w:ascii="楷体" w:hAnsi="楷体" w:eastAsia="楷体" w:cs="楷体"/>
          <w:color w:val="000000"/>
          <w:sz w:val="28"/>
          <w:szCs w:val="28"/>
          <w:highlight w:val="none"/>
          <w:lang w:val="en-US" w:eastAsia="zh-CN"/>
        </w:rPr>
        <w:t>权</w:t>
      </w:r>
      <w:r>
        <w:rPr>
          <w:rFonts w:hint="eastAsia" w:ascii="楷体" w:hAnsi="楷体" w:eastAsia="楷体" w:cs="楷体"/>
          <w:color w:val="000000"/>
          <w:sz w:val="28"/>
          <w:szCs w:val="28"/>
          <w:highlight w:val="none"/>
        </w:rPr>
        <w:t>部门认定为准。</w:t>
      </w:r>
    </w:p>
    <w:p>
      <w:pPr>
        <w:numPr>
          <w:ilvl w:val="0"/>
          <w:numId w:val="4"/>
        </w:numPr>
        <w:spacing w:line="630" w:lineRule="exact"/>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rPr>
        <w:t>本估价报告必须完整使用方为有效，对仅使用本报告中部分内容导致的损失本公司不负任何责任。</w:t>
      </w:r>
    </w:p>
    <w:p>
      <w:pPr>
        <w:numPr>
          <w:ilvl w:val="0"/>
          <w:numId w:val="4"/>
        </w:numPr>
        <w:spacing w:line="630" w:lineRule="exact"/>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rPr>
        <w:t>本报告</w:t>
      </w:r>
      <w:r>
        <w:rPr>
          <w:rFonts w:hint="eastAsia" w:ascii="楷体" w:hAnsi="楷体" w:eastAsia="楷体" w:cs="楷体"/>
          <w:color w:val="000000"/>
          <w:sz w:val="28"/>
          <w:szCs w:val="28"/>
          <w:highlight w:val="none"/>
          <w:lang w:val="en-US" w:eastAsia="zh-CN"/>
        </w:rPr>
        <w:t>须在估价报告</w:t>
      </w:r>
      <w:r>
        <w:rPr>
          <w:rFonts w:hint="eastAsia" w:ascii="楷体" w:hAnsi="楷体" w:eastAsia="楷体" w:cs="楷体"/>
          <w:color w:val="000000"/>
          <w:sz w:val="28"/>
          <w:szCs w:val="28"/>
          <w:highlight w:val="none"/>
        </w:rPr>
        <w:t>使用期限</w:t>
      </w:r>
      <w:r>
        <w:rPr>
          <w:rFonts w:hint="eastAsia" w:ascii="楷体" w:hAnsi="楷体" w:eastAsia="楷体" w:cs="楷体"/>
          <w:color w:val="000000"/>
          <w:sz w:val="28"/>
          <w:szCs w:val="28"/>
          <w:highlight w:val="none"/>
          <w:lang w:val="en-US" w:eastAsia="zh-CN"/>
        </w:rPr>
        <w:t>内使用。本报告使用期限为</w:t>
      </w:r>
      <w:r>
        <w:rPr>
          <w:rFonts w:hint="eastAsia" w:ascii="楷体" w:hAnsi="楷体" w:eastAsia="楷体" w:cs="楷体"/>
          <w:color w:val="000000"/>
          <w:sz w:val="28"/>
          <w:szCs w:val="28"/>
          <w:highlight w:val="none"/>
        </w:rPr>
        <w:t>壹年（自</w:t>
      </w:r>
      <w:r>
        <w:rPr>
          <w:rFonts w:hint="eastAsia" w:eastAsia="楷体"/>
          <w:sz w:val="28"/>
          <w:highlight w:val="none"/>
        </w:rPr>
        <w:t>二Ο二二年</w:t>
      </w:r>
      <w:r>
        <w:rPr>
          <w:rFonts w:hint="eastAsia" w:eastAsia="楷体"/>
          <w:sz w:val="28"/>
          <w:highlight w:val="none"/>
          <w:lang w:val="en-US" w:eastAsia="zh-CN"/>
        </w:rPr>
        <w:t>七</w:t>
      </w:r>
      <w:r>
        <w:rPr>
          <w:rFonts w:hint="eastAsia" w:eastAsia="楷体"/>
          <w:sz w:val="28"/>
          <w:highlight w:val="none"/>
        </w:rPr>
        <w:t>月</w:t>
      </w:r>
      <w:r>
        <w:rPr>
          <w:rFonts w:hint="eastAsia" w:eastAsia="楷体"/>
          <w:sz w:val="28"/>
          <w:highlight w:val="none"/>
          <w:lang w:val="en-US" w:eastAsia="zh-CN"/>
        </w:rPr>
        <w:t>二十九</w:t>
      </w:r>
      <w:r>
        <w:rPr>
          <w:rFonts w:hint="eastAsia" w:eastAsia="楷体"/>
          <w:sz w:val="28"/>
          <w:highlight w:val="none"/>
        </w:rPr>
        <w:t>日</w:t>
      </w:r>
      <w:r>
        <w:rPr>
          <w:rFonts w:hint="eastAsia" w:ascii="楷体" w:hAnsi="楷体" w:eastAsia="楷体" w:cs="楷体"/>
          <w:color w:val="000000"/>
          <w:sz w:val="28"/>
          <w:szCs w:val="28"/>
          <w:highlight w:val="none"/>
        </w:rPr>
        <w:t>至</w:t>
      </w:r>
      <w:r>
        <w:rPr>
          <w:rFonts w:hint="eastAsia" w:eastAsia="楷体"/>
          <w:sz w:val="28"/>
          <w:highlight w:val="none"/>
        </w:rPr>
        <w:t>二Ο二</w:t>
      </w:r>
      <w:r>
        <w:rPr>
          <w:rFonts w:hint="eastAsia" w:eastAsia="楷体"/>
          <w:sz w:val="28"/>
          <w:highlight w:val="none"/>
          <w:lang w:val="en-US" w:eastAsia="zh-CN"/>
        </w:rPr>
        <w:t>三</w:t>
      </w:r>
      <w:r>
        <w:rPr>
          <w:rFonts w:hint="eastAsia" w:eastAsia="楷体"/>
          <w:sz w:val="28"/>
          <w:highlight w:val="none"/>
        </w:rPr>
        <w:t>年</w:t>
      </w:r>
      <w:r>
        <w:rPr>
          <w:rFonts w:hint="eastAsia" w:eastAsia="楷体"/>
          <w:sz w:val="28"/>
          <w:highlight w:val="none"/>
          <w:lang w:val="en-US" w:eastAsia="zh-CN"/>
        </w:rPr>
        <w:t>七</w:t>
      </w:r>
      <w:r>
        <w:rPr>
          <w:rFonts w:hint="eastAsia" w:eastAsia="楷体"/>
          <w:sz w:val="28"/>
          <w:highlight w:val="none"/>
        </w:rPr>
        <w:t>月</w:t>
      </w:r>
      <w:r>
        <w:rPr>
          <w:rFonts w:hint="eastAsia" w:eastAsia="楷体"/>
          <w:sz w:val="28"/>
          <w:highlight w:val="none"/>
          <w:lang w:val="en-US" w:eastAsia="zh-CN"/>
        </w:rPr>
        <w:t>二十八</w:t>
      </w:r>
      <w:r>
        <w:rPr>
          <w:rFonts w:hint="eastAsia" w:eastAsia="楷体"/>
          <w:sz w:val="28"/>
          <w:highlight w:val="none"/>
        </w:rPr>
        <w:t>日</w:t>
      </w:r>
      <w:r>
        <w:rPr>
          <w:rFonts w:hint="eastAsia" w:ascii="楷体" w:hAnsi="楷体" w:eastAsia="楷体" w:cs="楷体"/>
          <w:color w:val="000000"/>
          <w:sz w:val="28"/>
          <w:szCs w:val="28"/>
          <w:highlight w:val="none"/>
        </w:rPr>
        <w:t>止）。</w:t>
      </w:r>
      <w:r>
        <w:rPr>
          <w:rFonts w:ascii="楷体" w:hAnsi="楷体" w:eastAsia="楷体"/>
          <w:sz w:val="28"/>
          <w:highlight w:val="none"/>
        </w:rPr>
        <w:t>在</w:t>
      </w:r>
      <w:r>
        <w:rPr>
          <w:rFonts w:hint="eastAsia" w:ascii="楷体" w:hAnsi="楷体" w:eastAsia="楷体"/>
          <w:sz w:val="28"/>
          <w:highlight w:val="none"/>
          <w:lang w:val="en-US" w:eastAsia="zh-CN"/>
        </w:rPr>
        <w:t>估价报告使用期限内、估价结果未使用前</w:t>
      </w:r>
      <w:r>
        <w:rPr>
          <w:rFonts w:ascii="楷体" w:hAnsi="楷体" w:eastAsia="楷体"/>
          <w:sz w:val="28"/>
          <w:highlight w:val="none"/>
        </w:rPr>
        <w:t>，如果房地产的城市功能规划、宏观经济政策、市场发展预期等发生重大变化，对房地产</w:t>
      </w:r>
      <w:r>
        <w:rPr>
          <w:rFonts w:hint="eastAsia" w:ascii="楷体" w:hAnsi="楷体" w:eastAsia="楷体"/>
          <w:sz w:val="28"/>
          <w:highlight w:val="none"/>
          <w:lang w:val="en-US" w:eastAsia="zh-CN"/>
        </w:rPr>
        <w:t>市场</w:t>
      </w:r>
      <w:r>
        <w:rPr>
          <w:rFonts w:ascii="楷体" w:hAnsi="楷体" w:eastAsia="楷体"/>
          <w:sz w:val="28"/>
          <w:highlight w:val="none"/>
        </w:rPr>
        <w:t>价值产生明显影响时，应重新进行估价。</w:t>
      </w:r>
    </w:p>
    <w:p>
      <w:pPr>
        <w:numPr>
          <w:ilvl w:val="0"/>
          <w:numId w:val="4"/>
        </w:numPr>
        <w:spacing w:line="630" w:lineRule="exact"/>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rPr>
        <w:t>本估价报告估价结果在满足全部假设与限制条件下成立。</w:t>
      </w:r>
    </w:p>
    <w:p>
      <w:pPr>
        <w:numPr>
          <w:ilvl w:val="0"/>
          <w:numId w:val="4"/>
        </w:numPr>
        <w:spacing w:line="630" w:lineRule="exact"/>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lang w:val="en-US" w:eastAsia="zh-CN"/>
        </w:rPr>
        <w:t>对于</w:t>
      </w:r>
      <w:r>
        <w:rPr>
          <w:rFonts w:hint="eastAsia" w:ascii="楷体" w:hAnsi="楷体" w:eastAsia="楷体" w:cs="楷体"/>
          <w:color w:val="000000"/>
          <w:sz w:val="28"/>
          <w:szCs w:val="28"/>
          <w:highlight w:val="none"/>
        </w:rPr>
        <w:t>本次</w:t>
      </w:r>
      <w:r>
        <w:rPr>
          <w:rFonts w:hint="eastAsia" w:ascii="楷体" w:hAnsi="楷体" w:eastAsia="楷体" w:cs="楷体"/>
          <w:color w:val="000000"/>
          <w:sz w:val="28"/>
          <w:szCs w:val="28"/>
          <w:highlight w:val="none"/>
          <w:lang w:val="en-US" w:eastAsia="zh-CN"/>
        </w:rPr>
        <w:t>交易</w:t>
      </w:r>
      <w:r>
        <w:rPr>
          <w:rFonts w:hint="eastAsia" w:ascii="楷体" w:hAnsi="楷体" w:eastAsia="楷体" w:cs="楷体"/>
          <w:color w:val="000000"/>
          <w:sz w:val="28"/>
          <w:szCs w:val="28"/>
          <w:highlight w:val="none"/>
        </w:rPr>
        <w:t>卖</w:t>
      </w:r>
      <w:r>
        <w:rPr>
          <w:rFonts w:hint="eastAsia" w:ascii="楷体" w:hAnsi="楷体" w:eastAsia="楷体" w:cs="楷体"/>
          <w:color w:val="000000"/>
          <w:sz w:val="28"/>
          <w:szCs w:val="28"/>
          <w:highlight w:val="none"/>
          <w:lang w:eastAsia="zh-CN"/>
        </w:rPr>
        <w:t>、</w:t>
      </w:r>
      <w:r>
        <w:rPr>
          <w:rFonts w:hint="eastAsia" w:ascii="楷体" w:hAnsi="楷体" w:eastAsia="楷体" w:cs="楷体"/>
          <w:color w:val="000000"/>
          <w:sz w:val="28"/>
          <w:szCs w:val="28"/>
          <w:highlight w:val="none"/>
        </w:rPr>
        <w:t>买方应负担的税费具体涉及税种及计算方法如下：</w:t>
      </w:r>
    </w:p>
    <w:tbl>
      <w:tblPr>
        <w:tblStyle w:val="19"/>
        <w:tblW w:w="4998" w:type="pct"/>
        <w:jc w:val="center"/>
        <w:shd w:val="clear" w:color="auto" w:fill="auto"/>
        <w:tblLayout w:type="autofit"/>
        <w:tblCellMar>
          <w:top w:w="0" w:type="dxa"/>
          <w:left w:w="0" w:type="dxa"/>
          <w:bottom w:w="0" w:type="dxa"/>
          <w:right w:w="0" w:type="dxa"/>
        </w:tblCellMar>
      </w:tblPr>
      <w:tblGrid>
        <w:gridCol w:w="1020"/>
        <w:gridCol w:w="1220"/>
        <w:gridCol w:w="2925"/>
        <w:gridCol w:w="1139"/>
        <w:gridCol w:w="2121"/>
      </w:tblGrid>
      <w:tr>
        <w:tblPrEx>
          <w:shd w:val="clear" w:color="auto" w:fill="auto"/>
          <w:tblCellMar>
            <w:top w:w="0" w:type="dxa"/>
            <w:left w:w="0" w:type="dxa"/>
            <w:bottom w:w="0" w:type="dxa"/>
            <w:right w:w="0" w:type="dxa"/>
          </w:tblCellMar>
        </w:tblPrEx>
        <w:trPr>
          <w:trHeight w:val="340" w:hRule="atLeast"/>
          <w:jc w:val="center"/>
        </w:trPr>
        <w:tc>
          <w:tcPr>
            <w:tcW w:w="605"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p>
        </w:tc>
        <w:tc>
          <w:tcPr>
            <w:tcW w:w="724"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税费种类</w:t>
            </w:r>
          </w:p>
        </w:tc>
        <w:tc>
          <w:tcPr>
            <w:tcW w:w="3670" w:type="pct"/>
            <w:gridSpan w:val="3"/>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税率及计算方法</w:t>
            </w:r>
          </w:p>
        </w:tc>
      </w:tr>
      <w:tr>
        <w:tblPrEx>
          <w:shd w:val="clear" w:color="auto" w:fill="auto"/>
          <w:tblCellMar>
            <w:top w:w="0" w:type="dxa"/>
            <w:left w:w="0" w:type="dxa"/>
            <w:bottom w:w="0" w:type="dxa"/>
            <w:right w:w="0" w:type="dxa"/>
          </w:tblCellMar>
        </w:tblPrEx>
        <w:trPr>
          <w:trHeight w:val="340" w:hRule="atLeast"/>
          <w:jc w:val="center"/>
        </w:trPr>
        <w:tc>
          <w:tcPr>
            <w:tcW w:w="605" w:type="pct"/>
            <w:vMerge w:val="restar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kern w:val="0"/>
                <w:sz w:val="20"/>
                <w:szCs w:val="20"/>
                <w:highlight w:val="none"/>
                <w:u w:val="none"/>
                <w:lang w:val="en-US" w:eastAsia="zh-CN" w:bidi="ar"/>
              </w:rPr>
            </w:pPr>
            <w:r>
              <w:rPr>
                <w:rFonts w:hint="eastAsia" w:ascii="楷体" w:hAnsi="楷体" w:eastAsia="楷体" w:cs="楷体"/>
                <w:b w:val="0"/>
                <w:bCs w:val="0"/>
                <w:i w:val="0"/>
                <w:color w:val="000000"/>
                <w:kern w:val="0"/>
                <w:sz w:val="20"/>
                <w:szCs w:val="20"/>
                <w:highlight w:val="none"/>
                <w:u w:val="none"/>
                <w:lang w:val="en-US" w:eastAsia="zh-CN" w:bidi="ar"/>
              </w:rPr>
              <w:t>交易时卖方</w:t>
            </w:r>
          </w:p>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应缴纳税费</w:t>
            </w:r>
          </w:p>
        </w:tc>
        <w:tc>
          <w:tcPr>
            <w:tcW w:w="724" w:type="pct"/>
            <w:vMerge w:val="restar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增值税及附加</w:t>
            </w:r>
          </w:p>
        </w:tc>
        <w:tc>
          <w:tcPr>
            <w:tcW w:w="3670" w:type="pct"/>
            <w:gridSpan w:val="3"/>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楷体" w:hAnsi="楷体" w:eastAsia="楷体" w:cs="楷体"/>
                <w:b w:val="0"/>
                <w:bCs w:val="0"/>
                <w:i w:val="0"/>
                <w:color w:val="000000"/>
                <w:sz w:val="20"/>
                <w:szCs w:val="20"/>
                <w:highlight w:val="none"/>
                <w:u w:val="none"/>
                <w:lang w:val="en-US"/>
              </w:rPr>
            </w:pPr>
            <w:r>
              <w:rPr>
                <w:rFonts w:hint="eastAsia" w:ascii="楷体" w:hAnsi="楷体" w:eastAsia="楷体" w:cs="楷体"/>
                <w:b w:val="0"/>
                <w:bCs w:val="0"/>
                <w:i w:val="0"/>
                <w:color w:val="000000"/>
                <w:kern w:val="0"/>
                <w:sz w:val="20"/>
                <w:szCs w:val="20"/>
                <w:highlight w:val="none"/>
                <w:u w:val="none"/>
                <w:lang w:val="en-US" w:eastAsia="zh-CN" w:bidi="ar"/>
              </w:rPr>
              <w:t>未满5年，不含税收入</w:t>
            </w:r>
            <w:r>
              <w:rPr>
                <w:rStyle w:val="32"/>
                <w:rFonts w:hint="eastAsia" w:ascii="楷体" w:hAnsi="楷体" w:eastAsia="楷体" w:cs="楷体"/>
                <w:b w:val="0"/>
                <w:bCs w:val="0"/>
                <w:sz w:val="20"/>
                <w:szCs w:val="20"/>
                <w:highlight w:val="none"/>
                <w:lang w:val="en-US" w:eastAsia="zh-CN" w:bidi="ar"/>
              </w:rPr>
              <w:t>×</w:t>
            </w:r>
            <w:r>
              <w:rPr>
                <w:rStyle w:val="47"/>
                <w:rFonts w:hint="eastAsia" w:ascii="楷体" w:hAnsi="楷体" w:eastAsia="楷体" w:cs="楷体"/>
                <w:b w:val="0"/>
                <w:bCs w:val="0"/>
                <w:sz w:val="20"/>
                <w:szCs w:val="20"/>
                <w:highlight w:val="none"/>
                <w:lang w:val="en-US" w:eastAsia="zh-CN" w:bidi="ar"/>
              </w:rPr>
              <w:t>5.3%，满5年免征</w:t>
            </w:r>
          </w:p>
        </w:tc>
      </w:tr>
      <w:tr>
        <w:tblPrEx>
          <w:shd w:val="clear" w:color="auto" w:fill="auto"/>
          <w:tblCellMar>
            <w:top w:w="0" w:type="dxa"/>
            <w:left w:w="0" w:type="dxa"/>
            <w:bottom w:w="0" w:type="dxa"/>
            <w:right w:w="0" w:type="dxa"/>
          </w:tblCellMar>
        </w:tblPrEx>
        <w:trPr>
          <w:trHeight w:val="340" w:hRule="atLeast"/>
          <w:jc w:val="center"/>
        </w:trPr>
        <w:tc>
          <w:tcPr>
            <w:tcW w:w="605"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jc w:val="center"/>
              <w:rPr>
                <w:rFonts w:hint="eastAsia" w:ascii="楷体" w:hAnsi="楷体" w:eastAsia="楷体" w:cs="楷体"/>
                <w:b w:val="0"/>
                <w:bCs w:val="0"/>
                <w:i w:val="0"/>
                <w:color w:val="000000"/>
                <w:sz w:val="20"/>
                <w:szCs w:val="20"/>
                <w:highlight w:val="none"/>
                <w:u w:val="none"/>
              </w:rPr>
            </w:pPr>
          </w:p>
        </w:tc>
        <w:tc>
          <w:tcPr>
            <w:tcW w:w="724"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jc w:val="center"/>
              <w:rPr>
                <w:rFonts w:hint="eastAsia" w:ascii="楷体" w:hAnsi="楷体" w:eastAsia="楷体" w:cs="楷体"/>
                <w:b w:val="0"/>
                <w:bCs w:val="0"/>
                <w:i w:val="0"/>
                <w:color w:val="000000"/>
                <w:sz w:val="20"/>
                <w:szCs w:val="20"/>
                <w:highlight w:val="none"/>
                <w:u w:val="none"/>
              </w:rPr>
            </w:pPr>
          </w:p>
        </w:tc>
        <w:tc>
          <w:tcPr>
            <w:tcW w:w="3670" w:type="pct"/>
            <w:gridSpan w:val="3"/>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满2年（含）家庭唯一住房免征</w:t>
            </w:r>
          </w:p>
        </w:tc>
      </w:tr>
      <w:tr>
        <w:tblPrEx>
          <w:shd w:val="clear" w:color="auto" w:fill="auto"/>
          <w:tblCellMar>
            <w:top w:w="0" w:type="dxa"/>
            <w:left w:w="0" w:type="dxa"/>
            <w:bottom w:w="0" w:type="dxa"/>
            <w:right w:w="0" w:type="dxa"/>
          </w:tblCellMar>
        </w:tblPrEx>
        <w:trPr>
          <w:trHeight w:val="340" w:hRule="atLeast"/>
          <w:jc w:val="center"/>
        </w:trPr>
        <w:tc>
          <w:tcPr>
            <w:tcW w:w="605"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jc w:val="center"/>
              <w:rPr>
                <w:rFonts w:hint="eastAsia" w:ascii="楷体" w:hAnsi="楷体" w:eastAsia="楷体" w:cs="楷体"/>
                <w:b w:val="0"/>
                <w:bCs w:val="0"/>
                <w:i w:val="0"/>
                <w:color w:val="000000"/>
                <w:sz w:val="20"/>
                <w:szCs w:val="20"/>
                <w:highlight w:val="none"/>
                <w:u w:val="none"/>
              </w:rPr>
            </w:pPr>
          </w:p>
        </w:tc>
        <w:tc>
          <w:tcPr>
            <w:tcW w:w="724" w:type="pct"/>
            <w:vMerge w:val="restar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个人所得税</w:t>
            </w:r>
          </w:p>
        </w:tc>
        <w:tc>
          <w:tcPr>
            <w:tcW w:w="3670" w:type="pct"/>
            <w:gridSpan w:val="3"/>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转让五年家庭唯一生活住房免征</w:t>
            </w:r>
          </w:p>
        </w:tc>
      </w:tr>
      <w:tr>
        <w:tblPrEx>
          <w:shd w:val="clear" w:color="auto" w:fill="auto"/>
          <w:tblCellMar>
            <w:top w:w="0" w:type="dxa"/>
            <w:left w:w="0" w:type="dxa"/>
            <w:bottom w:w="0" w:type="dxa"/>
            <w:right w:w="0" w:type="dxa"/>
          </w:tblCellMar>
        </w:tblPrEx>
        <w:trPr>
          <w:trHeight w:val="340" w:hRule="atLeast"/>
          <w:jc w:val="center"/>
        </w:trPr>
        <w:tc>
          <w:tcPr>
            <w:tcW w:w="605"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jc w:val="center"/>
              <w:rPr>
                <w:rFonts w:hint="eastAsia" w:ascii="楷体" w:hAnsi="楷体" w:eastAsia="楷体" w:cs="楷体"/>
                <w:b w:val="0"/>
                <w:bCs w:val="0"/>
                <w:i w:val="0"/>
                <w:color w:val="000000"/>
                <w:sz w:val="20"/>
                <w:szCs w:val="20"/>
                <w:highlight w:val="none"/>
                <w:u w:val="none"/>
              </w:rPr>
            </w:pPr>
          </w:p>
        </w:tc>
        <w:tc>
          <w:tcPr>
            <w:tcW w:w="724"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jc w:val="center"/>
              <w:rPr>
                <w:rFonts w:hint="eastAsia" w:ascii="楷体" w:hAnsi="楷体" w:eastAsia="楷体" w:cs="楷体"/>
                <w:b w:val="0"/>
                <w:bCs w:val="0"/>
                <w:i w:val="0"/>
                <w:color w:val="000000"/>
                <w:sz w:val="20"/>
                <w:szCs w:val="20"/>
                <w:highlight w:val="none"/>
                <w:u w:val="none"/>
              </w:rPr>
            </w:pPr>
          </w:p>
        </w:tc>
        <w:tc>
          <w:tcPr>
            <w:tcW w:w="3670" w:type="pct"/>
            <w:gridSpan w:val="3"/>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（转让收入-房屋原值-合理费用-转让过程中缴纳的税金）</w:t>
            </w:r>
            <w:r>
              <w:rPr>
                <w:rStyle w:val="32"/>
                <w:rFonts w:hint="eastAsia" w:ascii="楷体" w:hAnsi="楷体" w:eastAsia="楷体" w:cs="楷体"/>
                <w:b w:val="0"/>
                <w:bCs w:val="0"/>
                <w:sz w:val="20"/>
                <w:szCs w:val="20"/>
                <w:highlight w:val="none"/>
                <w:lang w:val="en-US" w:eastAsia="zh-CN" w:bidi="ar"/>
              </w:rPr>
              <w:t>×</w:t>
            </w:r>
            <w:r>
              <w:rPr>
                <w:rStyle w:val="47"/>
                <w:rFonts w:hint="eastAsia" w:ascii="楷体" w:hAnsi="楷体" w:eastAsia="楷体" w:cs="楷体"/>
                <w:b w:val="0"/>
                <w:bCs w:val="0"/>
                <w:sz w:val="20"/>
                <w:szCs w:val="20"/>
                <w:highlight w:val="none"/>
                <w:lang w:val="en-US" w:eastAsia="zh-CN" w:bidi="ar"/>
              </w:rPr>
              <w:t>20%</w:t>
            </w:r>
          </w:p>
        </w:tc>
      </w:tr>
      <w:tr>
        <w:tblPrEx>
          <w:shd w:val="clear" w:color="auto" w:fill="auto"/>
          <w:tblCellMar>
            <w:top w:w="0" w:type="dxa"/>
            <w:left w:w="0" w:type="dxa"/>
            <w:bottom w:w="0" w:type="dxa"/>
            <w:right w:w="0" w:type="dxa"/>
          </w:tblCellMar>
        </w:tblPrEx>
        <w:trPr>
          <w:trHeight w:val="340" w:hRule="atLeast"/>
          <w:jc w:val="center"/>
        </w:trPr>
        <w:tc>
          <w:tcPr>
            <w:tcW w:w="605"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jc w:val="center"/>
              <w:rPr>
                <w:rFonts w:hint="eastAsia" w:ascii="楷体" w:hAnsi="楷体" w:eastAsia="楷体" w:cs="楷体"/>
                <w:b w:val="0"/>
                <w:bCs w:val="0"/>
                <w:i w:val="0"/>
                <w:color w:val="000000"/>
                <w:sz w:val="20"/>
                <w:szCs w:val="20"/>
                <w:highlight w:val="none"/>
                <w:u w:val="none"/>
              </w:rPr>
            </w:pPr>
          </w:p>
        </w:tc>
        <w:tc>
          <w:tcPr>
            <w:tcW w:w="724"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jc w:val="center"/>
              <w:rPr>
                <w:rFonts w:hint="eastAsia" w:ascii="楷体" w:hAnsi="楷体" w:eastAsia="楷体" w:cs="楷体"/>
                <w:b w:val="0"/>
                <w:bCs w:val="0"/>
                <w:i w:val="0"/>
                <w:color w:val="000000"/>
                <w:sz w:val="20"/>
                <w:szCs w:val="20"/>
                <w:highlight w:val="none"/>
                <w:u w:val="none"/>
              </w:rPr>
            </w:pPr>
          </w:p>
        </w:tc>
        <w:tc>
          <w:tcPr>
            <w:tcW w:w="3670" w:type="pct"/>
            <w:gridSpan w:val="3"/>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拍卖住宅未提供完整、准确的房屋原值凭证，按房屋转让收入的3%核定征收</w:t>
            </w:r>
          </w:p>
        </w:tc>
      </w:tr>
      <w:tr>
        <w:tblPrEx>
          <w:shd w:val="clear" w:color="auto" w:fill="auto"/>
          <w:tblCellMar>
            <w:top w:w="0" w:type="dxa"/>
            <w:left w:w="0" w:type="dxa"/>
            <w:bottom w:w="0" w:type="dxa"/>
            <w:right w:w="0" w:type="dxa"/>
          </w:tblCellMar>
        </w:tblPrEx>
        <w:trPr>
          <w:trHeight w:val="340" w:hRule="atLeast"/>
          <w:jc w:val="center"/>
        </w:trPr>
        <w:tc>
          <w:tcPr>
            <w:tcW w:w="605" w:type="pct"/>
            <w:vMerge w:val="restar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kern w:val="0"/>
                <w:sz w:val="20"/>
                <w:szCs w:val="20"/>
                <w:highlight w:val="none"/>
                <w:u w:val="none"/>
                <w:lang w:val="en-US" w:eastAsia="zh-CN" w:bidi="ar"/>
              </w:rPr>
            </w:pPr>
            <w:r>
              <w:rPr>
                <w:rFonts w:hint="eastAsia" w:ascii="楷体" w:hAnsi="楷体" w:eastAsia="楷体" w:cs="楷体"/>
                <w:b w:val="0"/>
                <w:bCs w:val="0"/>
                <w:i w:val="0"/>
                <w:color w:val="000000"/>
                <w:kern w:val="0"/>
                <w:sz w:val="20"/>
                <w:szCs w:val="20"/>
                <w:highlight w:val="none"/>
                <w:u w:val="none"/>
                <w:lang w:val="en-US" w:eastAsia="zh-CN" w:bidi="ar"/>
              </w:rPr>
              <w:t>交易时买方</w:t>
            </w:r>
          </w:p>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应缴纳税费</w:t>
            </w:r>
          </w:p>
        </w:tc>
        <w:tc>
          <w:tcPr>
            <w:tcW w:w="724" w:type="pct"/>
            <w:vMerge w:val="restar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契税</w:t>
            </w:r>
          </w:p>
        </w:tc>
        <w:tc>
          <w:tcPr>
            <w:tcW w:w="1736" w:type="pct"/>
            <w:vMerge w:val="restar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家庭唯一住房</w:t>
            </w:r>
          </w:p>
        </w:tc>
        <w:tc>
          <w:tcPr>
            <w:tcW w:w="675" w:type="pct"/>
            <w:tcBorders>
              <w:top w:val="single" w:color="000000" w:sz="4" w:space="0"/>
              <w:left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楷体" w:hAnsi="楷体" w:eastAsia="楷体" w:cs="楷体"/>
                <w:b w:val="0"/>
                <w:bCs w:val="0"/>
                <w:i w:val="0"/>
                <w:color w:val="000000"/>
                <w:sz w:val="20"/>
                <w:szCs w:val="20"/>
                <w:highlight w:val="none"/>
                <w:u w:val="none"/>
                <w:lang w:val="en-US"/>
              </w:rPr>
            </w:pPr>
            <w:r>
              <w:rPr>
                <w:rFonts w:hint="eastAsia" w:ascii="楷体" w:hAnsi="楷体" w:eastAsia="楷体" w:cs="楷体"/>
                <w:b w:val="0"/>
                <w:bCs w:val="0"/>
                <w:i w:val="0"/>
                <w:color w:val="000000"/>
                <w:kern w:val="0"/>
                <w:sz w:val="20"/>
                <w:szCs w:val="20"/>
                <w:highlight w:val="none"/>
                <w:u w:val="none"/>
                <w:lang w:val="en-US" w:eastAsia="zh-CN" w:bidi="ar"/>
              </w:rPr>
              <w:t>90㎡</w:t>
            </w:r>
            <w:r>
              <w:rPr>
                <w:rStyle w:val="47"/>
                <w:rFonts w:hint="eastAsia" w:ascii="楷体" w:hAnsi="楷体" w:eastAsia="楷体" w:cs="楷体"/>
                <w:b w:val="0"/>
                <w:bCs w:val="0"/>
                <w:sz w:val="20"/>
                <w:szCs w:val="20"/>
                <w:highlight w:val="none"/>
                <w:lang w:val="en-US" w:eastAsia="zh-CN" w:bidi="ar"/>
              </w:rPr>
              <w:t>以上</w:t>
            </w:r>
          </w:p>
        </w:tc>
        <w:tc>
          <w:tcPr>
            <w:tcW w:w="1258"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成交价格</w:t>
            </w:r>
            <w:r>
              <w:rPr>
                <w:rStyle w:val="32"/>
                <w:rFonts w:hint="eastAsia" w:ascii="楷体" w:hAnsi="楷体" w:eastAsia="楷体" w:cs="楷体"/>
                <w:b w:val="0"/>
                <w:bCs w:val="0"/>
                <w:sz w:val="20"/>
                <w:szCs w:val="20"/>
                <w:highlight w:val="none"/>
                <w:lang w:val="en-US" w:eastAsia="zh-CN" w:bidi="ar"/>
              </w:rPr>
              <w:t>×</w:t>
            </w:r>
            <w:r>
              <w:rPr>
                <w:rStyle w:val="47"/>
                <w:rFonts w:hint="eastAsia" w:ascii="楷体" w:hAnsi="楷体" w:eastAsia="楷体" w:cs="楷体"/>
                <w:b w:val="0"/>
                <w:bCs w:val="0"/>
                <w:sz w:val="20"/>
                <w:szCs w:val="20"/>
                <w:highlight w:val="none"/>
                <w:lang w:val="en-US" w:eastAsia="zh-CN" w:bidi="ar"/>
              </w:rPr>
              <w:t>1.5%</w:t>
            </w:r>
          </w:p>
        </w:tc>
      </w:tr>
      <w:tr>
        <w:tblPrEx>
          <w:shd w:val="clear" w:color="auto" w:fill="auto"/>
          <w:tblCellMar>
            <w:top w:w="0" w:type="dxa"/>
            <w:left w:w="0" w:type="dxa"/>
            <w:bottom w:w="0" w:type="dxa"/>
            <w:right w:w="0" w:type="dxa"/>
          </w:tblCellMar>
        </w:tblPrEx>
        <w:trPr>
          <w:trHeight w:val="340" w:hRule="atLeast"/>
          <w:jc w:val="center"/>
        </w:trPr>
        <w:tc>
          <w:tcPr>
            <w:tcW w:w="605"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jc w:val="center"/>
              <w:rPr>
                <w:rFonts w:hint="eastAsia" w:ascii="楷体" w:hAnsi="楷体" w:eastAsia="楷体" w:cs="楷体"/>
                <w:b w:val="0"/>
                <w:bCs w:val="0"/>
                <w:i w:val="0"/>
                <w:color w:val="000000"/>
                <w:sz w:val="20"/>
                <w:szCs w:val="20"/>
                <w:highlight w:val="none"/>
                <w:u w:val="none"/>
              </w:rPr>
            </w:pPr>
          </w:p>
        </w:tc>
        <w:tc>
          <w:tcPr>
            <w:tcW w:w="724"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jc w:val="center"/>
              <w:rPr>
                <w:rFonts w:hint="eastAsia" w:ascii="楷体" w:hAnsi="楷体" w:eastAsia="楷体" w:cs="楷体"/>
                <w:b w:val="0"/>
                <w:bCs w:val="0"/>
                <w:i w:val="0"/>
                <w:color w:val="000000"/>
                <w:sz w:val="20"/>
                <w:szCs w:val="20"/>
                <w:highlight w:val="none"/>
                <w:u w:val="none"/>
              </w:rPr>
            </w:pPr>
          </w:p>
        </w:tc>
        <w:tc>
          <w:tcPr>
            <w:tcW w:w="1736"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家庭第二套改善性住房</w:t>
            </w:r>
          </w:p>
        </w:tc>
        <w:tc>
          <w:tcPr>
            <w:tcW w:w="675" w:type="pct"/>
            <w:tcBorders>
              <w:top w:val="single" w:color="000000" w:sz="4" w:space="0"/>
              <w:left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楷体" w:hAnsi="楷体" w:eastAsia="楷体" w:cs="楷体"/>
                <w:b w:val="0"/>
                <w:bCs w:val="0"/>
                <w:i w:val="0"/>
                <w:color w:val="000000"/>
                <w:sz w:val="20"/>
                <w:szCs w:val="20"/>
                <w:highlight w:val="none"/>
                <w:u w:val="none"/>
                <w:lang w:val="en-US"/>
              </w:rPr>
            </w:pPr>
            <w:r>
              <w:rPr>
                <w:rFonts w:hint="eastAsia" w:ascii="楷体" w:hAnsi="楷体" w:eastAsia="楷体" w:cs="楷体"/>
                <w:b w:val="0"/>
                <w:bCs w:val="0"/>
                <w:i w:val="0"/>
                <w:color w:val="000000"/>
                <w:kern w:val="0"/>
                <w:sz w:val="20"/>
                <w:szCs w:val="20"/>
                <w:highlight w:val="none"/>
                <w:u w:val="none"/>
                <w:lang w:val="en-US" w:eastAsia="zh-CN" w:bidi="ar"/>
              </w:rPr>
              <w:t>90㎡</w:t>
            </w:r>
            <w:r>
              <w:rPr>
                <w:rStyle w:val="47"/>
                <w:rFonts w:hint="eastAsia" w:ascii="楷体" w:hAnsi="楷体" w:eastAsia="楷体" w:cs="楷体"/>
                <w:b w:val="0"/>
                <w:bCs w:val="0"/>
                <w:sz w:val="20"/>
                <w:szCs w:val="20"/>
                <w:highlight w:val="none"/>
                <w:lang w:val="en-US" w:eastAsia="zh-CN" w:bidi="ar"/>
              </w:rPr>
              <w:t>以上</w:t>
            </w:r>
          </w:p>
        </w:tc>
        <w:tc>
          <w:tcPr>
            <w:tcW w:w="1258"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成交价格</w:t>
            </w:r>
            <w:r>
              <w:rPr>
                <w:rStyle w:val="32"/>
                <w:rFonts w:hint="eastAsia" w:ascii="楷体" w:hAnsi="楷体" w:eastAsia="楷体" w:cs="楷体"/>
                <w:b w:val="0"/>
                <w:bCs w:val="0"/>
                <w:sz w:val="20"/>
                <w:szCs w:val="20"/>
                <w:highlight w:val="none"/>
                <w:lang w:val="en-US" w:eastAsia="zh-CN" w:bidi="ar"/>
              </w:rPr>
              <w:t>×</w:t>
            </w:r>
            <w:r>
              <w:rPr>
                <w:rStyle w:val="47"/>
                <w:rFonts w:hint="eastAsia" w:ascii="楷体" w:hAnsi="楷体" w:eastAsia="楷体" w:cs="楷体"/>
                <w:b w:val="0"/>
                <w:bCs w:val="0"/>
                <w:sz w:val="20"/>
                <w:szCs w:val="20"/>
                <w:highlight w:val="none"/>
                <w:lang w:val="en-US" w:eastAsia="zh-CN" w:bidi="ar"/>
              </w:rPr>
              <w:t>2%</w:t>
            </w:r>
          </w:p>
        </w:tc>
      </w:tr>
      <w:tr>
        <w:tblPrEx>
          <w:shd w:val="clear" w:color="auto" w:fill="auto"/>
          <w:tblCellMar>
            <w:top w:w="0" w:type="dxa"/>
            <w:left w:w="0" w:type="dxa"/>
            <w:bottom w:w="0" w:type="dxa"/>
            <w:right w:w="0" w:type="dxa"/>
          </w:tblCellMar>
        </w:tblPrEx>
        <w:trPr>
          <w:trHeight w:val="340" w:hRule="atLeast"/>
          <w:jc w:val="center"/>
        </w:trPr>
        <w:tc>
          <w:tcPr>
            <w:tcW w:w="605"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jc w:val="center"/>
              <w:rPr>
                <w:rFonts w:hint="eastAsia" w:ascii="楷体" w:hAnsi="楷体" w:eastAsia="楷体" w:cs="楷体"/>
                <w:b w:val="0"/>
                <w:bCs w:val="0"/>
                <w:i w:val="0"/>
                <w:color w:val="000000"/>
                <w:sz w:val="20"/>
                <w:szCs w:val="20"/>
                <w:highlight w:val="none"/>
                <w:u w:val="none"/>
              </w:rPr>
            </w:pPr>
          </w:p>
        </w:tc>
        <w:tc>
          <w:tcPr>
            <w:tcW w:w="724"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jc w:val="center"/>
              <w:rPr>
                <w:rFonts w:hint="eastAsia" w:ascii="楷体" w:hAnsi="楷体" w:eastAsia="楷体" w:cs="楷体"/>
                <w:b w:val="0"/>
                <w:bCs w:val="0"/>
                <w:i w:val="0"/>
                <w:color w:val="000000"/>
                <w:sz w:val="20"/>
                <w:szCs w:val="20"/>
                <w:highlight w:val="none"/>
                <w:u w:val="none"/>
              </w:rPr>
            </w:pPr>
          </w:p>
        </w:tc>
        <w:tc>
          <w:tcPr>
            <w:tcW w:w="2412" w:type="pct"/>
            <w:gridSpan w:val="2"/>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其他</w:t>
            </w:r>
          </w:p>
        </w:tc>
        <w:tc>
          <w:tcPr>
            <w:tcW w:w="1258"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sz w:val="20"/>
                <w:szCs w:val="20"/>
                <w:highlight w:val="none"/>
                <w:u w:val="none"/>
              </w:rPr>
            </w:pPr>
            <w:r>
              <w:rPr>
                <w:rFonts w:hint="eastAsia" w:ascii="楷体" w:hAnsi="楷体" w:eastAsia="楷体" w:cs="楷体"/>
                <w:b w:val="0"/>
                <w:bCs w:val="0"/>
                <w:i w:val="0"/>
                <w:color w:val="000000"/>
                <w:kern w:val="0"/>
                <w:sz w:val="20"/>
                <w:szCs w:val="20"/>
                <w:highlight w:val="none"/>
                <w:u w:val="none"/>
                <w:lang w:val="en-US" w:eastAsia="zh-CN" w:bidi="ar"/>
              </w:rPr>
              <w:t>成交价格</w:t>
            </w:r>
            <w:r>
              <w:rPr>
                <w:rStyle w:val="32"/>
                <w:rFonts w:hint="eastAsia" w:ascii="楷体" w:hAnsi="楷体" w:eastAsia="楷体" w:cs="楷体"/>
                <w:b w:val="0"/>
                <w:bCs w:val="0"/>
                <w:sz w:val="20"/>
                <w:szCs w:val="20"/>
                <w:highlight w:val="none"/>
                <w:lang w:val="en-US" w:eastAsia="zh-CN" w:bidi="ar"/>
              </w:rPr>
              <w:t>×</w:t>
            </w:r>
            <w:r>
              <w:rPr>
                <w:rStyle w:val="47"/>
                <w:rFonts w:hint="eastAsia" w:ascii="楷体" w:hAnsi="楷体" w:eastAsia="楷体" w:cs="楷体"/>
                <w:b w:val="0"/>
                <w:bCs w:val="0"/>
                <w:sz w:val="20"/>
                <w:szCs w:val="20"/>
                <w:highlight w:val="none"/>
                <w:lang w:val="en-US" w:eastAsia="zh-CN" w:bidi="ar"/>
              </w:rPr>
              <w:t>3%</w:t>
            </w:r>
          </w:p>
        </w:tc>
      </w:tr>
      <w:tr>
        <w:tblPrEx>
          <w:shd w:val="clear" w:color="auto" w:fill="auto"/>
          <w:tblCellMar>
            <w:top w:w="0" w:type="dxa"/>
            <w:left w:w="0" w:type="dxa"/>
            <w:bottom w:w="0" w:type="dxa"/>
            <w:right w:w="0" w:type="dxa"/>
          </w:tblCellMar>
        </w:tblPrEx>
        <w:trPr>
          <w:trHeight w:val="340" w:hRule="atLeast"/>
          <w:jc w:val="center"/>
        </w:trPr>
        <w:tc>
          <w:tcPr>
            <w:tcW w:w="5000" w:type="pct"/>
            <w:gridSpan w:val="5"/>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eastAsia" w:ascii="楷体" w:hAnsi="楷体" w:eastAsia="楷体" w:cs="楷体"/>
                <w:b w:val="0"/>
                <w:bCs w:val="0"/>
                <w:i w:val="0"/>
                <w:color w:val="000000"/>
                <w:kern w:val="0"/>
                <w:sz w:val="20"/>
                <w:szCs w:val="20"/>
                <w:highlight w:val="none"/>
                <w:u w:val="none"/>
                <w:lang w:val="en-US" w:eastAsia="zh-CN" w:bidi="ar"/>
              </w:rPr>
            </w:pPr>
            <w:r>
              <w:rPr>
                <w:rFonts w:hint="eastAsia" w:ascii="楷体" w:hAnsi="楷体" w:eastAsia="楷体" w:cs="楷体"/>
                <w:b w:val="0"/>
                <w:bCs w:val="0"/>
                <w:i w:val="0"/>
                <w:color w:val="000000"/>
                <w:kern w:val="0"/>
                <w:sz w:val="20"/>
                <w:szCs w:val="20"/>
                <w:highlight w:val="none"/>
                <w:u w:val="none"/>
                <w:lang w:val="en-US" w:eastAsia="zh-CN" w:bidi="ar"/>
              </w:rPr>
              <w:t>备注：仅供参考，具体税费数额以税务部门实际计算为准。</w:t>
            </w:r>
          </w:p>
        </w:tc>
      </w:tr>
    </w:tbl>
    <w:p>
      <w:pPr>
        <w:numPr>
          <w:ilvl w:val="0"/>
          <w:numId w:val="4"/>
        </w:numPr>
        <w:spacing w:line="630" w:lineRule="exact"/>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lang w:val="en-US" w:eastAsia="zh-CN"/>
        </w:rPr>
        <w:t>根据</w:t>
      </w:r>
      <w:r>
        <w:rPr>
          <w:rFonts w:hint="eastAsia" w:ascii="楷体" w:hAnsi="楷体" w:eastAsia="楷体" w:cs="楷体"/>
          <w:color w:val="000000"/>
          <w:sz w:val="28"/>
          <w:szCs w:val="28"/>
          <w:highlight w:val="none"/>
        </w:rPr>
        <w:t>估价对象所在小区物业公司</w:t>
      </w:r>
      <w:r>
        <w:rPr>
          <w:rFonts w:hint="eastAsia" w:ascii="楷体" w:hAnsi="楷体" w:eastAsia="楷体" w:cs="楷体"/>
          <w:color w:val="000000"/>
          <w:sz w:val="28"/>
          <w:szCs w:val="28"/>
          <w:highlight w:val="none"/>
          <w:lang w:val="en-US" w:eastAsia="zh-CN"/>
        </w:rPr>
        <w:t>提供数据</w:t>
      </w:r>
      <w:r>
        <w:rPr>
          <w:rFonts w:hint="eastAsia" w:ascii="楷体" w:hAnsi="楷体" w:eastAsia="楷体" w:cs="楷体"/>
          <w:color w:val="000000"/>
          <w:sz w:val="28"/>
          <w:szCs w:val="28"/>
          <w:highlight w:val="none"/>
        </w:rPr>
        <w:t>，至价值时点估价对象</w:t>
      </w:r>
      <w:r>
        <w:rPr>
          <w:rFonts w:hint="eastAsia" w:ascii="楷体" w:hAnsi="楷体" w:eastAsia="楷体" w:cs="楷体"/>
          <w:color w:val="000000"/>
          <w:sz w:val="28"/>
          <w:szCs w:val="28"/>
          <w:highlight w:val="none"/>
          <w:lang w:val="en-US" w:eastAsia="zh-CN"/>
        </w:rPr>
        <w:t>欠缴物业费5372</w:t>
      </w:r>
      <w:r>
        <w:rPr>
          <w:rFonts w:hint="eastAsia" w:ascii="楷体" w:hAnsi="楷体" w:eastAsia="楷体" w:cs="楷体"/>
          <w:color w:val="000000"/>
          <w:sz w:val="28"/>
          <w:szCs w:val="28"/>
          <w:highlight w:val="none"/>
        </w:rPr>
        <w:t>元</w:t>
      </w:r>
      <w:r>
        <w:rPr>
          <w:rFonts w:hint="eastAsia" w:ascii="楷体" w:hAnsi="楷体" w:eastAsia="楷体" w:cs="楷体"/>
          <w:color w:val="000000"/>
          <w:sz w:val="28"/>
          <w:szCs w:val="28"/>
          <w:highlight w:val="none"/>
          <w:lang w:eastAsia="zh-CN"/>
        </w:rPr>
        <w:t>（</w:t>
      </w:r>
      <w:r>
        <w:rPr>
          <w:rFonts w:hint="eastAsia" w:ascii="楷体" w:hAnsi="楷体" w:eastAsia="楷体" w:cs="楷体"/>
          <w:color w:val="000000"/>
          <w:sz w:val="28"/>
          <w:szCs w:val="28"/>
          <w:highlight w:val="none"/>
          <w:lang w:val="en-US" w:eastAsia="zh-CN"/>
        </w:rPr>
        <w:t>2019年01月01日-2022年12月31日</w:t>
      </w:r>
      <w:r>
        <w:rPr>
          <w:rFonts w:hint="eastAsia" w:ascii="楷体" w:hAnsi="楷体" w:eastAsia="楷体" w:cs="楷体"/>
          <w:color w:val="000000"/>
          <w:sz w:val="28"/>
          <w:szCs w:val="28"/>
          <w:highlight w:val="none"/>
          <w:lang w:eastAsia="zh-CN"/>
        </w:rPr>
        <w:t>）</w:t>
      </w:r>
      <w:r>
        <w:rPr>
          <w:rFonts w:hint="eastAsia" w:ascii="楷体" w:hAnsi="楷体" w:eastAsia="楷体" w:cs="楷体"/>
          <w:color w:val="000000"/>
          <w:sz w:val="28"/>
          <w:szCs w:val="28"/>
          <w:highlight w:val="none"/>
        </w:rPr>
        <w:t>，</w:t>
      </w:r>
      <w:r>
        <w:rPr>
          <w:rFonts w:hint="eastAsia" w:ascii="楷体" w:hAnsi="楷体" w:eastAsia="楷体" w:cs="楷体"/>
          <w:color w:val="000000"/>
          <w:sz w:val="28"/>
          <w:szCs w:val="28"/>
          <w:highlight w:val="none"/>
          <w:lang w:val="en-US" w:eastAsia="zh-CN"/>
        </w:rPr>
        <w:t>具体数额以物业公司实际核算为准，</w:t>
      </w:r>
      <w:r>
        <w:rPr>
          <w:rFonts w:hint="eastAsia" w:ascii="楷体" w:hAnsi="楷体" w:eastAsia="楷体" w:cs="楷体"/>
          <w:color w:val="000000"/>
          <w:sz w:val="28"/>
          <w:szCs w:val="28"/>
          <w:highlight w:val="none"/>
        </w:rPr>
        <w:t>提请报告使用人关注。</w:t>
      </w:r>
    </w:p>
    <w:p>
      <w:pPr>
        <w:numPr>
          <w:ilvl w:val="0"/>
          <w:numId w:val="4"/>
        </w:numPr>
        <w:spacing w:line="630" w:lineRule="exact"/>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lang w:val="en-US" w:eastAsia="zh-CN"/>
        </w:rPr>
        <w:t>估价对象房地产位于杭州市住房限购范围内，具体限购政策以政府相关部门出台文件为准，提请报告使用人关注。</w:t>
      </w:r>
    </w:p>
    <w:p>
      <w:pPr>
        <w:numPr>
          <w:ilvl w:val="0"/>
          <w:numId w:val="4"/>
        </w:numPr>
        <w:spacing w:line="630" w:lineRule="exact"/>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rPr>
        <w:t>本估价报告须经本公司盖章及注册房地产估价师签字盖章后方为有效，否则，本估价报告的全部或部分复印件均无效。</w:t>
      </w:r>
    </w:p>
    <w:p>
      <w:pPr>
        <w:numPr>
          <w:ilvl w:val="0"/>
          <w:numId w:val="4"/>
        </w:numPr>
        <w:spacing w:line="630" w:lineRule="exact"/>
        <w:ind w:left="0" w:leftChars="0" w:firstLine="420" w:firstLineChars="0"/>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rPr>
        <w:t>本估价报告中数据全部采用电算化连续计算得出，由于在报告中计算的数据均按四舍五入保留两位小数或取整，因此，可能会出现个别等式左右不完全相等的情况，但不影响评估结论的准确性；本次估价报告估价结果以总价为准。</w:t>
      </w:r>
    </w:p>
    <w:p>
      <w:pPr>
        <w:numPr>
          <w:ilvl w:val="0"/>
          <w:numId w:val="4"/>
        </w:numPr>
        <w:spacing w:line="630" w:lineRule="exact"/>
        <w:ind w:left="0" w:leftChars="0" w:firstLine="420" w:firstLineChars="0"/>
        <w:rPr>
          <w:rFonts w:ascii="楷体" w:hAnsi="楷体" w:eastAsia="楷体" w:cs="楷体"/>
          <w:color w:val="000000"/>
          <w:sz w:val="28"/>
          <w:szCs w:val="28"/>
          <w:highlight w:val="none"/>
        </w:rPr>
      </w:pPr>
      <w:r>
        <w:rPr>
          <w:rFonts w:hint="eastAsia" w:ascii="楷体" w:hAnsi="楷体" w:eastAsia="楷体" w:cs="楷体"/>
          <w:color w:val="000000"/>
          <w:sz w:val="28"/>
          <w:szCs w:val="28"/>
          <w:highlight w:val="none"/>
        </w:rPr>
        <w:t>本估价报告的内容及评估价值等事宜，由本公司负责解释。</w:t>
      </w:r>
    </w:p>
    <w:p>
      <w:pPr>
        <w:spacing w:line="630" w:lineRule="exact"/>
        <w:ind w:firstLine="560" w:firstLineChars="200"/>
        <w:rPr>
          <w:rFonts w:ascii="楷体" w:hAnsi="楷体" w:eastAsia="楷体" w:cs="楷体"/>
          <w:color w:val="000000" w:themeColor="text1"/>
          <w:sz w:val="28"/>
          <w:highlight w:val="none"/>
        </w:rPr>
        <w:sectPr>
          <w:footerReference r:id="rId6" w:type="default"/>
          <w:pgSz w:w="11906" w:h="16838"/>
          <w:pgMar w:top="1276" w:right="1701" w:bottom="1276" w:left="1797" w:header="907" w:footer="992" w:gutter="0"/>
          <w:pgNumType w:start="1"/>
          <w:cols w:space="0" w:num="1"/>
        </w:sectPr>
      </w:pPr>
    </w:p>
    <w:p>
      <w:pPr>
        <w:pStyle w:val="2"/>
        <w:keepNext/>
        <w:keepLines/>
        <w:pageBreakBefore w:val="0"/>
        <w:widowControl w:val="0"/>
        <w:kinsoku/>
        <w:wordWrap/>
        <w:overflowPunct/>
        <w:topLinePunct w:val="0"/>
        <w:autoSpaceDE/>
        <w:autoSpaceDN/>
        <w:bidi w:val="0"/>
        <w:adjustRightInd/>
        <w:snapToGrid/>
        <w:spacing w:before="100" w:after="10" w:line="630" w:lineRule="exact"/>
        <w:textAlignment w:val="auto"/>
        <w:rPr>
          <w:rFonts w:hint="eastAsia" w:ascii="黑体" w:hAnsi="黑体" w:eastAsia="黑体" w:cs="黑体"/>
          <w:color w:val="auto"/>
          <w:highlight w:val="none"/>
        </w:rPr>
      </w:pPr>
      <w:bookmarkStart w:id="35" w:name="_Toc7440"/>
      <w:bookmarkStart w:id="36" w:name="_Toc24475"/>
      <w:bookmarkStart w:id="37" w:name="_Toc26082"/>
      <w:r>
        <w:rPr>
          <w:rFonts w:hint="eastAsia" w:ascii="黑体" w:hAnsi="黑体" w:eastAsia="黑体" w:cs="黑体"/>
          <w:color w:val="auto"/>
          <w:highlight w:val="none"/>
        </w:rPr>
        <w:t>估价结果报告</w:t>
      </w:r>
      <w:bookmarkEnd w:id="33"/>
      <w:bookmarkEnd w:id="34"/>
      <w:bookmarkEnd w:id="35"/>
      <w:bookmarkEnd w:id="36"/>
      <w:bookmarkEnd w:id="37"/>
    </w:p>
    <w:p>
      <w:pPr>
        <w:pStyle w:val="3"/>
        <w:keepNext/>
        <w:keepLines/>
        <w:pageBreakBefore w:val="0"/>
        <w:widowControl w:val="0"/>
        <w:numPr>
          <w:ilvl w:val="0"/>
          <w:numId w:val="5"/>
        </w:numPr>
        <w:kinsoku/>
        <w:wordWrap/>
        <w:overflowPunct/>
        <w:topLinePunct w:val="0"/>
        <w:autoSpaceDE/>
        <w:autoSpaceDN/>
        <w:bidi w:val="0"/>
        <w:adjustRightInd/>
        <w:snapToGrid w:val="0"/>
        <w:spacing w:before="0" w:beforeLines="50" w:after="0" w:afterLines="50" w:line="620" w:lineRule="exact"/>
        <w:ind w:left="720"/>
        <w:jc w:val="both"/>
        <w:textAlignment w:val="auto"/>
        <w:rPr>
          <w:highlight w:val="none"/>
        </w:rPr>
      </w:pPr>
      <w:bookmarkStart w:id="38" w:name="_Toc19702"/>
      <w:bookmarkStart w:id="39" w:name="_Toc15674"/>
      <w:bookmarkStart w:id="40" w:name="_Toc27359"/>
      <w:bookmarkStart w:id="41" w:name="_Toc451175947"/>
      <w:bookmarkStart w:id="42" w:name="_Toc404781976"/>
      <w:bookmarkStart w:id="43" w:name="_Toc19004"/>
      <w:r>
        <w:rPr>
          <w:rFonts w:hint="eastAsia"/>
          <w:highlight w:val="none"/>
        </w:rPr>
        <w:t>估价委托人</w:t>
      </w:r>
      <w:bookmarkEnd w:id="38"/>
      <w:bookmarkEnd w:id="39"/>
      <w:bookmarkEnd w:id="40"/>
      <w:bookmarkEnd w:id="41"/>
    </w:p>
    <w:p>
      <w:pPr>
        <w:pageBreakBefore w:val="0"/>
        <w:widowControl w:val="0"/>
        <w:kinsoku/>
        <w:wordWrap/>
        <w:overflowPunct/>
        <w:topLinePunct w:val="0"/>
        <w:autoSpaceDN/>
        <w:bidi w:val="0"/>
        <w:adjustRightInd/>
        <w:spacing w:line="620" w:lineRule="exact"/>
        <w:ind w:left="570"/>
        <w:rPr>
          <w:rFonts w:hint="eastAsia" w:ascii="楷体" w:hAnsi="楷体" w:eastAsia="楷体"/>
          <w:sz w:val="28"/>
          <w:szCs w:val="28"/>
          <w:highlight w:val="none"/>
          <w:lang w:eastAsia="zh-CN"/>
        </w:rPr>
      </w:pPr>
      <w:r>
        <w:rPr>
          <w:rFonts w:hint="eastAsia" w:eastAsia="楷体"/>
          <w:b/>
          <w:bCs/>
          <w:sz w:val="28"/>
          <w:highlight w:val="none"/>
          <w:lang w:val="en-US" w:eastAsia="zh-CN"/>
        </w:rPr>
        <w:t>名称</w:t>
      </w:r>
      <w:r>
        <w:rPr>
          <w:rFonts w:hint="eastAsia" w:eastAsia="楷体"/>
          <w:sz w:val="28"/>
          <w:highlight w:val="none"/>
        </w:rPr>
        <w:t>：</w:t>
      </w:r>
      <w:r>
        <w:rPr>
          <w:rFonts w:hint="eastAsia" w:ascii="楷体" w:hAnsi="楷体" w:eastAsia="楷体"/>
          <w:sz w:val="28"/>
          <w:szCs w:val="28"/>
          <w:highlight w:val="none"/>
          <w:lang w:eastAsia="zh-CN"/>
        </w:rPr>
        <w:t>杭州市上城区人民法院</w:t>
      </w:r>
    </w:p>
    <w:p>
      <w:pPr>
        <w:pageBreakBefore w:val="0"/>
        <w:widowControl w:val="0"/>
        <w:kinsoku/>
        <w:wordWrap/>
        <w:overflowPunct/>
        <w:topLinePunct w:val="0"/>
        <w:autoSpaceDN/>
        <w:bidi w:val="0"/>
        <w:adjustRightInd/>
        <w:spacing w:line="620" w:lineRule="exact"/>
        <w:ind w:left="570"/>
        <w:rPr>
          <w:rFonts w:hint="default" w:ascii="楷体" w:hAnsi="楷体" w:eastAsia="楷体"/>
          <w:sz w:val="28"/>
          <w:szCs w:val="28"/>
          <w:highlight w:val="none"/>
          <w:lang w:val="en-US" w:eastAsia="zh-CN"/>
        </w:rPr>
      </w:pPr>
      <w:r>
        <w:rPr>
          <w:rFonts w:hint="eastAsia" w:ascii="楷体" w:hAnsi="楷体" w:eastAsia="楷体"/>
          <w:b/>
          <w:bCs/>
          <w:sz w:val="28"/>
          <w:szCs w:val="28"/>
          <w:highlight w:val="none"/>
          <w:lang w:val="en-US" w:eastAsia="zh-CN"/>
        </w:rPr>
        <w:t>地址：</w:t>
      </w:r>
      <w:r>
        <w:rPr>
          <w:rFonts w:hint="eastAsia" w:ascii="楷体" w:hAnsi="楷体" w:eastAsia="楷体"/>
          <w:b w:val="0"/>
          <w:bCs w:val="0"/>
          <w:sz w:val="28"/>
          <w:szCs w:val="28"/>
          <w:highlight w:val="none"/>
          <w:lang w:val="en-US" w:eastAsia="zh-CN"/>
        </w:rPr>
        <w:t>杭州市新塘路68号</w:t>
      </w:r>
    </w:p>
    <w:p>
      <w:pPr>
        <w:pStyle w:val="3"/>
        <w:keepNext/>
        <w:keepLines/>
        <w:pageBreakBefore w:val="0"/>
        <w:widowControl w:val="0"/>
        <w:numPr>
          <w:ilvl w:val="0"/>
          <w:numId w:val="5"/>
        </w:numPr>
        <w:kinsoku/>
        <w:wordWrap/>
        <w:overflowPunct/>
        <w:topLinePunct w:val="0"/>
        <w:autoSpaceDE/>
        <w:autoSpaceDN/>
        <w:bidi w:val="0"/>
        <w:adjustRightInd/>
        <w:snapToGrid w:val="0"/>
        <w:spacing w:before="0" w:beforeLines="50" w:after="0" w:afterLines="50" w:line="620" w:lineRule="exact"/>
        <w:ind w:left="720"/>
        <w:textAlignment w:val="auto"/>
        <w:rPr>
          <w:highlight w:val="none"/>
        </w:rPr>
      </w:pPr>
      <w:bookmarkStart w:id="44" w:name="_Toc3612"/>
      <w:bookmarkStart w:id="45" w:name="_Toc4727"/>
      <w:bookmarkStart w:id="46" w:name="_Toc17397"/>
      <w:bookmarkStart w:id="47" w:name="_Toc451175948"/>
      <w:r>
        <w:rPr>
          <w:rFonts w:hint="eastAsia"/>
          <w:highlight w:val="none"/>
        </w:rPr>
        <w:t>房地产估价机构</w:t>
      </w:r>
      <w:bookmarkEnd w:id="44"/>
      <w:bookmarkEnd w:id="45"/>
      <w:bookmarkEnd w:id="46"/>
      <w:bookmarkEnd w:id="47"/>
    </w:p>
    <w:p>
      <w:pPr>
        <w:pageBreakBefore w:val="0"/>
        <w:widowControl w:val="0"/>
        <w:kinsoku/>
        <w:wordWrap/>
        <w:overflowPunct/>
        <w:topLinePunct w:val="0"/>
        <w:autoSpaceDN/>
        <w:bidi w:val="0"/>
        <w:adjustRightInd/>
        <w:spacing w:line="620" w:lineRule="exact"/>
        <w:ind w:firstLine="562" w:firstLineChars="200"/>
        <w:rPr>
          <w:rFonts w:ascii="楷体" w:hAnsi="楷体" w:eastAsia="楷体" w:cs="楷体"/>
          <w:sz w:val="28"/>
          <w:highlight w:val="none"/>
        </w:rPr>
      </w:pPr>
      <w:r>
        <w:rPr>
          <w:rFonts w:hint="eastAsia" w:ascii="楷体" w:hAnsi="楷体" w:eastAsia="楷体" w:cs="楷体"/>
          <w:b/>
          <w:sz w:val="28"/>
          <w:highlight w:val="none"/>
        </w:rPr>
        <w:t>估价机构名称：</w:t>
      </w:r>
      <w:r>
        <w:rPr>
          <w:rFonts w:hint="eastAsia" w:eastAsia="楷体"/>
          <w:sz w:val="28"/>
          <w:highlight w:val="none"/>
        </w:rPr>
        <w:t>杭州天平房地产评估有限公司</w:t>
      </w:r>
    </w:p>
    <w:p>
      <w:pPr>
        <w:pageBreakBefore w:val="0"/>
        <w:widowControl w:val="0"/>
        <w:kinsoku/>
        <w:wordWrap/>
        <w:overflowPunct/>
        <w:topLinePunct w:val="0"/>
        <w:autoSpaceDN/>
        <w:bidi w:val="0"/>
        <w:adjustRightInd/>
        <w:spacing w:line="620" w:lineRule="exact"/>
        <w:ind w:firstLine="562" w:firstLineChars="200"/>
        <w:rPr>
          <w:rFonts w:ascii="楷体" w:hAnsi="楷体" w:eastAsia="楷体" w:cs="楷体"/>
          <w:sz w:val="28"/>
          <w:highlight w:val="none"/>
        </w:rPr>
      </w:pPr>
      <w:r>
        <w:rPr>
          <w:rFonts w:hint="eastAsia" w:ascii="楷体" w:hAnsi="楷体" w:eastAsia="楷体" w:cs="楷体"/>
          <w:b/>
          <w:sz w:val="28"/>
          <w:highlight w:val="none"/>
        </w:rPr>
        <w:t>法定代表人：</w:t>
      </w:r>
      <w:r>
        <w:rPr>
          <w:rFonts w:hint="eastAsia" w:eastAsia="楷体"/>
          <w:sz w:val="28"/>
          <w:highlight w:val="none"/>
        </w:rPr>
        <w:t>杨甦</w:t>
      </w:r>
    </w:p>
    <w:p>
      <w:pPr>
        <w:pageBreakBefore w:val="0"/>
        <w:widowControl w:val="0"/>
        <w:kinsoku/>
        <w:wordWrap/>
        <w:overflowPunct/>
        <w:topLinePunct w:val="0"/>
        <w:autoSpaceDN/>
        <w:bidi w:val="0"/>
        <w:adjustRightInd/>
        <w:spacing w:line="620" w:lineRule="exact"/>
        <w:ind w:firstLine="562" w:firstLineChars="200"/>
        <w:rPr>
          <w:rFonts w:ascii="楷体" w:hAnsi="楷体" w:eastAsia="楷体" w:cs="楷体"/>
          <w:sz w:val="28"/>
          <w:highlight w:val="none"/>
        </w:rPr>
      </w:pPr>
      <w:r>
        <w:rPr>
          <w:rFonts w:hint="eastAsia" w:ascii="楷体" w:hAnsi="楷体" w:eastAsia="楷体" w:cs="楷体"/>
          <w:b/>
          <w:sz w:val="28"/>
          <w:highlight w:val="none"/>
        </w:rPr>
        <w:t>住所：</w:t>
      </w:r>
      <w:r>
        <w:rPr>
          <w:rFonts w:hint="eastAsia" w:eastAsia="楷体"/>
          <w:sz w:val="28"/>
          <w:highlight w:val="none"/>
        </w:rPr>
        <w:t>浙江省</w:t>
      </w:r>
      <w:r>
        <w:rPr>
          <w:rFonts w:hint="eastAsia" w:ascii="楷体" w:hAnsi="楷体" w:eastAsia="楷体"/>
          <w:sz w:val="28"/>
          <w:highlight w:val="none"/>
        </w:rPr>
        <w:t>杭州市下城区凤起商务大厦2319室</w:t>
      </w:r>
    </w:p>
    <w:p>
      <w:pPr>
        <w:pageBreakBefore w:val="0"/>
        <w:widowControl w:val="0"/>
        <w:kinsoku/>
        <w:wordWrap/>
        <w:overflowPunct/>
        <w:topLinePunct w:val="0"/>
        <w:autoSpaceDN/>
        <w:bidi w:val="0"/>
        <w:adjustRightInd/>
        <w:spacing w:line="620" w:lineRule="exact"/>
        <w:ind w:firstLine="562" w:firstLineChars="200"/>
        <w:rPr>
          <w:rFonts w:ascii="楷体" w:hAnsi="楷体" w:eastAsia="楷体" w:cs="楷体"/>
          <w:sz w:val="28"/>
          <w:highlight w:val="none"/>
        </w:rPr>
      </w:pPr>
      <w:r>
        <w:rPr>
          <w:rFonts w:hint="eastAsia" w:ascii="楷体" w:hAnsi="楷体" w:eastAsia="楷体" w:cs="楷体"/>
          <w:b/>
          <w:sz w:val="28"/>
          <w:highlight w:val="none"/>
        </w:rPr>
        <w:t>备案等级：</w:t>
      </w:r>
      <w:r>
        <w:rPr>
          <w:rFonts w:hint="eastAsia" w:ascii="楷体" w:hAnsi="楷体" w:eastAsia="楷体" w:cs="楷体"/>
          <w:sz w:val="28"/>
          <w:highlight w:val="none"/>
        </w:rPr>
        <w:t>壹级</w:t>
      </w:r>
    </w:p>
    <w:p>
      <w:pPr>
        <w:pageBreakBefore w:val="0"/>
        <w:widowControl w:val="0"/>
        <w:kinsoku/>
        <w:wordWrap/>
        <w:overflowPunct/>
        <w:topLinePunct w:val="0"/>
        <w:autoSpaceDN/>
        <w:bidi w:val="0"/>
        <w:adjustRightInd/>
        <w:spacing w:line="620" w:lineRule="exact"/>
        <w:ind w:firstLine="562" w:firstLineChars="200"/>
        <w:rPr>
          <w:rFonts w:ascii="楷体" w:hAnsi="楷体" w:eastAsia="楷体" w:cs="楷体"/>
          <w:sz w:val="28"/>
          <w:highlight w:val="none"/>
        </w:rPr>
      </w:pPr>
      <w:r>
        <w:rPr>
          <w:rFonts w:hint="eastAsia" w:ascii="楷体" w:hAnsi="楷体" w:eastAsia="楷体" w:cs="楷体"/>
          <w:b/>
          <w:bCs/>
          <w:sz w:val="28"/>
          <w:highlight w:val="none"/>
          <w:lang w:val="en-US" w:eastAsia="zh-CN"/>
        </w:rPr>
        <w:t>资信等级</w:t>
      </w:r>
      <w:r>
        <w:rPr>
          <w:rFonts w:hint="eastAsia" w:ascii="楷体" w:hAnsi="楷体" w:eastAsia="楷体" w:cs="楷体"/>
          <w:b/>
          <w:bCs/>
          <w:sz w:val="28"/>
          <w:highlight w:val="none"/>
        </w:rPr>
        <w:t>：</w:t>
      </w:r>
      <w:r>
        <w:rPr>
          <w:rFonts w:hint="eastAsia" w:ascii="楷体" w:hAnsi="楷体" w:eastAsia="楷体" w:cs="楷体"/>
          <w:sz w:val="28"/>
          <w:highlight w:val="none"/>
        </w:rPr>
        <w:t>AAA</w:t>
      </w:r>
    </w:p>
    <w:p>
      <w:pPr>
        <w:pageBreakBefore w:val="0"/>
        <w:widowControl w:val="0"/>
        <w:kinsoku/>
        <w:wordWrap/>
        <w:overflowPunct/>
        <w:topLinePunct w:val="0"/>
        <w:autoSpaceDN/>
        <w:bidi w:val="0"/>
        <w:adjustRightInd/>
        <w:spacing w:line="620" w:lineRule="exact"/>
        <w:ind w:firstLine="562" w:firstLineChars="200"/>
        <w:rPr>
          <w:rFonts w:ascii="楷体" w:hAnsi="楷体" w:eastAsia="楷体" w:cs="楷体"/>
          <w:sz w:val="28"/>
          <w:highlight w:val="none"/>
        </w:rPr>
      </w:pPr>
      <w:r>
        <w:rPr>
          <w:rFonts w:hint="eastAsia" w:ascii="楷体" w:hAnsi="楷体" w:eastAsia="楷体" w:cs="楷体"/>
          <w:b/>
          <w:sz w:val="28"/>
          <w:highlight w:val="none"/>
        </w:rPr>
        <w:t>备案证书编号：</w:t>
      </w:r>
      <w:r>
        <w:rPr>
          <w:rFonts w:hint="eastAsia" w:eastAsia="楷体"/>
          <w:sz w:val="28"/>
          <w:highlight w:val="none"/>
        </w:rPr>
        <w:t>浙建房估证字[</w:t>
      </w:r>
      <w:r>
        <w:rPr>
          <w:rFonts w:hint="eastAsia" w:ascii="楷体" w:hAnsi="楷体" w:eastAsia="楷体"/>
          <w:sz w:val="28"/>
          <w:highlight w:val="none"/>
        </w:rPr>
        <w:t>2010</w:t>
      </w:r>
      <w:r>
        <w:rPr>
          <w:rFonts w:hint="eastAsia" w:eastAsia="楷体"/>
          <w:sz w:val="28"/>
          <w:highlight w:val="none"/>
        </w:rPr>
        <w:t>]</w:t>
      </w:r>
      <w:r>
        <w:rPr>
          <w:rFonts w:hint="eastAsia" w:ascii="楷体" w:hAnsi="楷体" w:eastAsia="楷体"/>
          <w:sz w:val="28"/>
          <w:highlight w:val="none"/>
        </w:rPr>
        <w:t>020</w:t>
      </w:r>
      <w:r>
        <w:rPr>
          <w:rFonts w:hint="eastAsia" w:eastAsia="楷体"/>
          <w:sz w:val="28"/>
          <w:highlight w:val="none"/>
        </w:rPr>
        <w:t>号</w:t>
      </w:r>
    </w:p>
    <w:p>
      <w:pPr>
        <w:pageBreakBefore w:val="0"/>
        <w:widowControl w:val="0"/>
        <w:kinsoku/>
        <w:wordWrap/>
        <w:overflowPunct/>
        <w:topLinePunct w:val="0"/>
        <w:autoSpaceDN/>
        <w:bidi w:val="0"/>
        <w:adjustRightInd/>
        <w:spacing w:line="620" w:lineRule="exact"/>
        <w:ind w:firstLine="562" w:firstLineChars="200"/>
        <w:rPr>
          <w:rFonts w:ascii="楷体" w:hAnsi="楷体" w:eastAsia="楷体" w:cs="楷体"/>
          <w:sz w:val="28"/>
          <w:highlight w:val="none"/>
        </w:rPr>
      </w:pPr>
      <w:r>
        <w:rPr>
          <w:rFonts w:hint="eastAsia" w:ascii="楷体" w:hAnsi="楷体" w:eastAsia="楷体" w:cs="楷体"/>
          <w:b/>
          <w:sz w:val="28"/>
          <w:highlight w:val="none"/>
        </w:rPr>
        <w:t>联系电话：</w:t>
      </w:r>
      <w:r>
        <w:rPr>
          <w:rFonts w:hint="eastAsia" w:ascii="楷体" w:hAnsi="楷体" w:eastAsia="楷体"/>
          <w:sz w:val="28"/>
          <w:highlight w:val="none"/>
        </w:rPr>
        <w:t>0571－87293537</w:t>
      </w:r>
    </w:p>
    <w:p>
      <w:pPr>
        <w:pStyle w:val="3"/>
        <w:keepNext/>
        <w:keepLines/>
        <w:pageBreakBefore w:val="0"/>
        <w:widowControl w:val="0"/>
        <w:numPr>
          <w:ilvl w:val="0"/>
          <w:numId w:val="5"/>
        </w:numPr>
        <w:kinsoku/>
        <w:wordWrap/>
        <w:overflowPunct/>
        <w:topLinePunct w:val="0"/>
        <w:autoSpaceDE/>
        <w:autoSpaceDN/>
        <w:bidi w:val="0"/>
        <w:adjustRightInd/>
        <w:snapToGrid w:val="0"/>
        <w:spacing w:before="0" w:beforeLines="50" w:after="0" w:afterLines="50" w:line="620" w:lineRule="exact"/>
        <w:ind w:left="720"/>
        <w:textAlignment w:val="auto"/>
        <w:rPr>
          <w:highlight w:val="none"/>
        </w:rPr>
      </w:pPr>
      <w:bookmarkStart w:id="48" w:name="_Toc13731"/>
      <w:bookmarkStart w:id="49" w:name="_Toc25339"/>
      <w:bookmarkStart w:id="50" w:name="_Toc21527"/>
      <w:bookmarkStart w:id="51" w:name="_Toc451175949"/>
      <w:r>
        <w:rPr>
          <w:rFonts w:hint="eastAsia"/>
          <w:highlight w:val="none"/>
        </w:rPr>
        <w:t>估价目的</w:t>
      </w:r>
      <w:bookmarkEnd w:id="48"/>
      <w:bookmarkEnd w:id="49"/>
      <w:bookmarkEnd w:id="50"/>
      <w:bookmarkEnd w:id="51"/>
    </w:p>
    <w:p>
      <w:pPr>
        <w:pageBreakBefore w:val="0"/>
        <w:widowControl w:val="0"/>
        <w:kinsoku/>
        <w:wordWrap/>
        <w:overflowPunct/>
        <w:topLinePunct w:val="0"/>
        <w:autoSpaceDN/>
        <w:bidi w:val="0"/>
        <w:adjustRightInd/>
        <w:spacing w:line="620" w:lineRule="exact"/>
        <w:ind w:firstLine="560" w:firstLineChars="200"/>
        <w:rPr>
          <w:rFonts w:ascii="楷体" w:hAnsi="楷体" w:eastAsia="楷体"/>
          <w:sz w:val="28"/>
          <w:highlight w:val="none"/>
        </w:rPr>
      </w:pPr>
      <w:r>
        <w:rPr>
          <w:rFonts w:hint="eastAsia" w:ascii="楷体" w:hAnsi="楷体" w:eastAsia="楷体"/>
          <w:sz w:val="28"/>
          <w:highlight w:val="none"/>
        </w:rPr>
        <w:t>为人民法院确定财产处置参考价提供参考依据。</w:t>
      </w:r>
    </w:p>
    <w:p>
      <w:pPr>
        <w:pStyle w:val="3"/>
        <w:keepNext/>
        <w:keepLines/>
        <w:pageBreakBefore w:val="0"/>
        <w:widowControl w:val="0"/>
        <w:numPr>
          <w:ilvl w:val="0"/>
          <w:numId w:val="5"/>
        </w:numPr>
        <w:kinsoku/>
        <w:wordWrap/>
        <w:overflowPunct/>
        <w:topLinePunct w:val="0"/>
        <w:autoSpaceDE/>
        <w:autoSpaceDN/>
        <w:bidi w:val="0"/>
        <w:adjustRightInd/>
        <w:snapToGrid w:val="0"/>
        <w:spacing w:before="0" w:beforeLines="50" w:after="0" w:afterLines="50" w:line="620" w:lineRule="exact"/>
        <w:ind w:left="720"/>
        <w:textAlignment w:val="auto"/>
        <w:rPr>
          <w:highlight w:val="none"/>
        </w:rPr>
      </w:pPr>
      <w:bookmarkStart w:id="52" w:name="_Toc451175950"/>
      <w:bookmarkStart w:id="53" w:name="_Toc26892"/>
      <w:bookmarkStart w:id="54" w:name="_Toc26820"/>
      <w:bookmarkStart w:id="55" w:name="_Toc23526"/>
      <w:r>
        <w:rPr>
          <w:rFonts w:hint="eastAsia"/>
          <w:highlight w:val="none"/>
        </w:rPr>
        <w:t>估价对象</w:t>
      </w:r>
      <w:bookmarkEnd w:id="52"/>
      <w:bookmarkEnd w:id="53"/>
      <w:bookmarkEnd w:id="54"/>
      <w:bookmarkEnd w:id="55"/>
    </w:p>
    <w:p>
      <w:pPr>
        <w:keepNext w:val="0"/>
        <w:keepLines w:val="0"/>
        <w:pageBreakBefore w:val="0"/>
        <w:widowControl w:val="0"/>
        <w:kinsoku/>
        <w:wordWrap/>
        <w:overflowPunct/>
        <w:topLinePunct w:val="0"/>
        <w:autoSpaceDE w:val="0"/>
        <w:autoSpaceDN/>
        <w:bidi w:val="0"/>
        <w:adjustRightInd/>
        <w:snapToGrid/>
        <w:spacing w:line="620" w:lineRule="exact"/>
        <w:ind w:firstLine="560" w:firstLineChars="200"/>
        <w:jc w:val="left"/>
        <w:textAlignment w:val="bottom"/>
        <w:outlineLvl w:val="9"/>
        <w:rPr>
          <w:rFonts w:ascii="楷体" w:hAnsi="楷体" w:eastAsia="楷体" w:cs="楷体"/>
          <w:sz w:val="28"/>
          <w:highlight w:val="none"/>
        </w:rPr>
      </w:pPr>
      <w:bookmarkStart w:id="56" w:name="_Toc4405"/>
      <w:bookmarkStart w:id="57" w:name="_Toc18298"/>
      <w:r>
        <w:rPr>
          <w:rFonts w:hint="eastAsia" w:ascii="楷体" w:hAnsi="楷体" w:eastAsia="楷体" w:cs="楷体"/>
          <w:sz w:val="28"/>
          <w:highlight w:val="none"/>
        </w:rPr>
        <w:t>（一）估价对象界定</w:t>
      </w:r>
      <w:bookmarkEnd w:id="56"/>
      <w:bookmarkEnd w:id="57"/>
    </w:p>
    <w:p>
      <w:pPr>
        <w:pageBreakBefore w:val="0"/>
        <w:widowControl w:val="0"/>
        <w:kinsoku/>
        <w:wordWrap/>
        <w:overflowPunct/>
        <w:topLinePunct w:val="0"/>
        <w:autoSpaceDN/>
        <w:bidi w:val="0"/>
        <w:adjustRightInd/>
        <w:spacing w:line="620" w:lineRule="exact"/>
        <w:ind w:firstLine="548" w:firstLineChars="200"/>
        <w:rPr>
          <w:rFonts w:ascii="楷体_GB2312" w:hAnsi="宋体" w:eastAsia="楷体"/>
          <w:w w:val="98"/>
          <w:sz w:val="28"/>
          <w:szCs w:val="28"/>
          <w:highlight w:val="none"/>
        </w:rPr>
      </w:pPr>
      <w:bookmarkStart w:id="58" w:name="_Toc27062"/>
      <w:r>
        <w:rPr>
          <w:rFonts w:hint="eastAsia" w:eastAsia="楷体"/>
          <w:w w:val="98"/>
          <w:sz w:val="28"/>
          <w:highlight w:val="none"/>
        </w:rPr>
        <w:t>估</w:t>
      </w:r>
      <w:r>
        <w:rPr>
          <w:rFonts w:hint="eastAsia" w:ascii="楷体" w:hAnsi="楷体" w:eastAsia="楷体"/>
          <w:w w:val="98"/>
          <w:sz w:val="28"/>
          <w:highlight w:val="none"/>
        </w:rPr>
        <w:t>价对象位于</w:t>
      </w:r>
      <w:r>
        <w:rPr>
          <w:rFonts w:hint="eastAsia" w:ascii="楷体" w:hAnsi="楷体" w:eastAsia="楷体"/>
          <w:spacing w:val="-6"/>
          <w:w w:val="98"/>
          <w:sz w:val="28"/>
          <w:szCs w:val="28"/>
          <w:highlight w:val="none"/>
          <w:lang w:val="en-US" w:eastAsia="zh-CN"/>
        </w:rPr>
        <w:t>杭州市余杭区仁和街道清合嘉园西区24幢1单元401室</w:t>
      </w:r>
      <w:r>
        <w:rPr>
          <w:rFonts w:hint="eastAsia" w:ascii="楷体" w:hAnsi="楷体" w:eastAsia="楷体"/>
          <w:w w:val="98"/>
          <w:sz w:val="28"/>
          <w:highlight w:val="none"/>
        </w:rPr>
        <w:t>，房</w:t>
      </w:r>
      <w:r>
        <w:rPr>
          <w:rFonts w:hint="eastAsia" w:ascii="楷体" w:hAnsi="楷体" w:eastAsia="楷体" w:cs="楷体"/>
          <w:w w:val="98"/>
          <w:sz w:val="28"/>
          <w:highlight w:val="none"/>
        </w:rPr>
        <w:t>屋</w:t>
      </w:r>
      <w:r>
        <w:rPr>
          <w:rFonts w:hint="eastAsia" w:ascii="楷体" w:hAnsi="楷体" w:eastAsia="楷体" w:cs="楷体"/>
          <w:w w:val="98"/>
          <w:sz w:val="28"/>
          <w:highlight w:val="none"/>
          <w:lang w:eastAsia="zh-CN"/>
        </w:rPr>
        <w:t>建筑面积172.28平方米</w:t>
      </w:r>
      <w:r>
        <w:rPr>
          <w:rFonts w:hint="eastAsia" w:ascii="楷体" w:hAnsi="楷体" w:eastAsia="楷体" w:cs="楷体"/>
          <w:w w:val="98"/>
          <w:sz w:val="28"/>
          <w:highlight w:val="none"/>
        </w:rPr>
        <w:t>，</w:t>
      </w:r>
      <w:r>
        <w:rPr>
          <w:rFonts w:hint="eastAsia" w:ascii="楷体" w:hAnsi="楷体" w:eastAsia="楷体" w:cs="楷体"/>
          <w:w w:val="98"/>
          <w:sz w:val="28"/>
          <w:highlight w:val="none"/>
          <w:lang w:val="en-US" w:eastAsia="zh-CN"/>
        </w:rPr>
        <w:t>土地使用权面积90.1平方米</w:t>
      </w:r>
      <w:r>
        <w:rPr>
          <w:rFonts w:hint="eastAsia" w:ascii="楷体" w:hAnsi="楷体" w:eastAsia="楷体" w:cs="楷体"/>
          <w:w w:val="98"/>
          <w:sz w:val="28"/>
          <w:highlight w:val="none"/>
        </w:rPr>
        <w:t>。估价对象范围</w:t>
      </w:r>
      <w:r>
        <w:rPr>
          <w:rFonts w:hint="eastAsia" w:eastAsia="楷体"/>
          <w:w w:val="98"/>
          <w:sz w:val="28"/>
          <w:highlight w:val="none"/>
        </w:rPr>
        <w:t>包含估价对象房屋所有权、国有土地使用权</w:t>
      </w:r>
      <w:r>
        <w:rPr>
          <w:rFonts w:hint="eastAsia" w:eastAsia="楷体"/>
          <w:w w:val="98"/>
          <w:sz w:val="28"/>
          <w:highlight w:val="none"/>
          <w:lang w:val="en-US" w:eastAsia="zh-CN"/>
        </w:rPr>
        <w:t>及</w:t>
      </w:r>
      <w:r>
        <w:rPr>
          <w:rFonts w:hint="eastAsia" w:eastAsia="楷体"/>
          <w:w w:val="98"/>
          <w:sz w:val="28"/>
          <w:highlight w:val="none"/>
        </w:rPr>
        <w:t>室内</w:t>
      </w:r>
      <w:r>
        <w:rPr>
          <w:rFonts w:hint="eastAsia" w:eastAsia="楷体"/>
          <w:w w:val="98"/>
          <w:sz w:val="28"/>
          <w:highlight w:val="none"/>
          <w:lang w:val="en-US" w:eastAsia="zh-CN"/>
        </w:rPr>
        <w:t>固定</w:t>
      </w:r>
      <w:r>
        <w:rPr>
          <w:rFonts w:hint="eastAsia" w:eastAsia="楷体"/>
          <w:w w:val="98"/>
          <w:sz w:val="28"/>
          <w:highlight w:val="none"/>
        </w:rPr>
        <w:t>装修</w:t>
      </w:r>
      <w:r>
        <w:rPr>
          <w:rFonts w:hint="eastAsia" w:eastAsia="楷体"/>
          <w:w w:val="98"/>
          <w:sz w:val="28"/>
          <w:highlight w:val="none"/>
          <w:lang w:eastAsia="zh-CN"/>
        </w:rPr>
        <w:t>，</w:t>
      </w:r>
      <w:r>
        <w:rPr>
          <w:rFonts w:hint="eastAsia" w:eastAsia="楷体"/>
          <w:w w:val="98"/>
          <w:sz w:val="28"/>
          <w:highlight w:val="none"/>
          <w:lang w:val="en-US" w:eastAsia="zh-CN"/>
        </w:rPr>
        <w:t>不包含室内动产、</w:t>
      </w:r>
      <w:r>
        <w:rPr>
          <w:rFonts w:hint="eastAsia" w:eastAsia="楷体"/>
          <w:w w:val="98"/>
          <w:sz w:val="28"/>
          <w:highlight w:val="none"/>
        </w:rPr>
        <w:t>债权债务、特许经营等其他财产权利</w:t>
      </w:r>
      <w:r>
        <w:rPr>
          <w:rFonts w:hint="eastAsia" w:ascii="楷体" w:hAnsi="楷体" w:eastAsia="楷体"/>
          <w:w w:val="98"/>
          <w:sz w:val="28"/>
          <w:highlight w:val="none"/>
        </w:rPr>
        <w:t>。</w:t>
      </w:r>
    </w:p>
    <w:p>
      <w:pPr>
        <w:keepNext w:val="0"/>
        <w:keepLines w:val="0"/>
        <w:pageBreakBefore w:val="0"/>
        <w:widowControl w:val="0"/>
        <w:kinsoku/>
        <w:wordWrap/>
        <w:overflowPunct/>
        <w:topLinePunct w:val="0"/>
        <w:autoSpaceDE w:val="0"/>
        <w:autoSpaceDN/>
        <w:bidi w:val="0"/>
        <w:adjustRightInd/>
        <w:snapToGrid/>
        <w:spacing w:line="630" w:lineRule="exact"/>
        <w:ind w:firstLine="560" w:firstLineChars="200"/>
        <w:jc w:val="left"/>
        <w:textAlignment w:val="bottom"/>
        <w:outlineLvl w:val="9"/>
        <w:rPr>
          <w:rFonts w:hint="eastAsia" w:ascii="楷体" w:hAnsi="楷体" w:eastAsia="楷体"/>
          <w:sz w:val="28"/>
          <w:highlight w:val="none"/>
        </w:rPr>
      </w:pPr>
      <w:bookmarkStart w:id="59" w:name="_Toc7744"/>
      <w:r>
        <w:rPr>
          <w:rFonts w:hint="eastAsia" w:ascii="楷体" w:hAnsi="楷体" w:eastAsia="楷体"/>
          <w:sz w:val="28"/>
          <w:highlight w:val="none"/>
        </w:rPr>
        <w:t>（二）</w:t>
      </w:r>
      <w:r>
        <w:rPr>
          <w:rFonts w:hint="eastAsia" w:ascii="楷体" w:hAnsi="楷体" w:eastAsia="楷体"/>
          <w:sz w:val="28"/>
          <w:highlight w:val="none"/>
          <w:lang w:val="en-US" w:eastAsia="zh-CN"/>
        </w:rPr>
        <w:t>房地产</w:t>
      </w:r>
      <w:r>
        <w:rPr>
          <w:rFonts w:hint="eastAsia" w:ascii="楷体" w:hAnsi="楷体" w:eastAsia="楷体"/>
          <w:sz w:val="28"/>
          <w:highlight w:val="none"/>
        </w:rPr>
        <w:t>权利状况</w:t>
      </w:r>
      <w:bookmarkEnd w:id="58"/>
      <w:bookmarkEnd w:id="59"/>
    </w:p>
    <w:p>
      <w:pPr>
        <w:keepNext w:val="0"/>
        <w:keepLines w:val="0"/>
        <w:pageBreakBefore w:val="0"/>
        <w:widowControl w:val="0"/>
        <w:kinsoku/>
        <w:wordWrap/>
        <w:overflowPunct/>
        <w:topLinePunct w:val="0"/>
        <w:autoSpaceDE w:val="0"/>
        <w:autoSpaceDN/>
        <w:bidi w:val="0"/>
        <w:adjustRightInd/>
        <w:snapToGrid/>
        <w:spacing w:line="660" w:lineRule="exact"/>
        <w:ind w:firstLine="560" w:firstLineChars="200"/>
        <w:jc w:val="left"/>
        <w:textAlignment w:val="bottom"/>
        <w:outlineLvl w:val="9"/>
        <w:rPr>
          <w:rFonts w:hint="eastAsia" w:ascii="楷体" w:hAnsi="楷体" w:eastAsia="楷体"/>
          <w:sz w:val="28"/>
          <w:highlight w:val="none"/>
          <w:lang w:val="en-US" w:eastAsia="zh-CN"/>
        </w:rPr>
      </w:pPr>
      <w:r>
        <w:rPr>
          <w:rFonts w:hint="eastAsia" w:ascii="楷体" w:hAnsi="楷体" w:eastAsia="楷体"/>
          <w:sz w:val="28"/>
          <w:highlight w:val="none"/>
          <w:lang w:val="en-US" w:eastAsia="zh-CN"/>
        </w:rPr>
        <w:t>1、房地产</w:t>
      </w:r>
      <w:r>
        <w:rPr>
          <w:rFonts w:hint="eastAsia" w:ascii="楷体" w:hAnsi="楷体" w:eastAsia="楷体"/>
          <w:sz w:val="28"/>
          <w:highlight w:val="none"/>
        </w:rPr>
        <w:t>权利状况</w:t>
      </w:r>
    </w:p>
    <w:p>
      <w:pPr>
        <w:keepNext w:val="0"/>
        <w:keepLines w:val="0"/>
        <w:pageBreakBefore w:val="0"/>
        <w:widowControl w:val="0"/>
        <w:kinsoku/>
        <w:wordWrap/>
        <w:overflowPunct/>
        <w:topLinePunct w:val="0"/>
        <w:autoSpaceDE w:val="0"/>
        <w:autoSpaceDN/>
        <w:bidi w:val="0"/>
        <w:adjustRightInd/>
        <w:snapToGrid/>
        <w:spacing w:line="660" w:lineRule="exact"/>
        <w:ind w:firstLine="560" w:firstLineChars="200"/>
        <w:jc w:val="left"/>
        <w:textAlignment w:val="bottom"/>
        <w:outlineLvl w:val="1"/>
        <w:rPr>
          <w:rFonts w:hint="eastAsia" w:ascii="楷体_GB2312" w:hAnsi="宋体" w:eastAsia="楷体"/>
          <w:sz w:val="28"/>
          <w:szCs w:val="28"/>
          <w:highlight w:val="none"/>
          <w:lang w:val="en-US" w:eastAsia="zh-CN"/>
        </w:rPr>
      </w:pPr>
      <w:bookmarkStart w:id="60" w:name="_Toc22249"/>
      <w:r>
        <w:rPr>
          <w:rFonts w:hint="eastAsia" w:ascii="楷体_GB2312" w:hAnsi="宋体" w:eastAsia="楷体"/>
          <w:sz w:val="28"/>
          <w:szCs w:val="28"/>
          <w:highlight w:val="none"/>
        </w:rPr>
        <w:t>根据《杭州市不动产</w:t>
      </w:r>
      <w:r>
        <w:rPr>
          <w:rFonts w:hint="eastAsia" w:ascii="楷体_GB2312" w:hAnsi="宋体" w:eastAsia="楷体"/>
          <w:sz w:val="28"/>
          <w:szCs w:val="28"/>
          <w:highlight w:val="none"/>
          <w:lang w:val="en-US" w:eastAsia="zh-CN"/>
        </w:rPr>
        <w:t>登记</w:t>
      </w:r>
      <w:r>
        <w:rPr>
          <w:rFonts w:hint="eastAsia" w:ascii="楷体_GB2312" w:hAnsi="宋体" w:eastAsia="楷体"/>
          <w:sz w:val="28"/>
          <w:szCs w:val="28"/>
          <w:highlight w:val="none"/>
        </w:rPr>
        <w:t>信息查询记录》记载，估价对象权利人为</w:t>
      </w:r>
      <w:r>
        <w:rPr>
          <w:rFonts w:hint="eastAsia" w:ascii="楷体_GB2312" w:hAnsi="宋体" w:eastAsia="楷体"/>
          <w:sz w:val="28"/>
          <w:szCs w:val="28"/>
          <w:highlight w:val="none"/>
          <w:lang w:val="en-US" w:eastAsia="zh-CN"/>
        </w:rPr>
        <w:t>张祥荣、徐忠联</w:t>
      </w:r>
      <w:r>
        <w:rPr>
          <w:rFonts w:hint="eastAsia" w:ascii="楷体_GB2312" w:hAnsi="宋体" w:eastAsia="楷体"/>
          <w:sz w:val="28"/>
          <w:szCs w:val="28"/>
          <w:highlight w:val="none"/>
        </w:rPr>
        <w:t>，权证号（证明号）为</w:t>
      </w:r>
      <w:r>
        <w:rPr>
          <w:rFonts w:hint="eastAsia" w:ascii="楷体_GB2312" w:hAnsi="宋体" w:eastAsia="楷体"/>
          <w:sz w:val="28"/>
          <w:szCs w:val="28"/>
          <w:highlight w:val="none"/>
          <w:lang w:val="en-US" w:eastAsia="zh-CN"/>
        </w:rPr>
        <w:t>浙（2019）余杭区不动产权第0012809号</w:t>
      </w:r>
      <w:r>
        <w:rPr>
          <w:rFonts w:hint="eastAsia" w:ascii="楷体_GB2312" w:hAnsi="宋体" w:eastAsia="楷体"/>
          <w:sz w:val="28"/>
          <w:szCs w:val="28"/>
          <w:highlight w:val="none"/>
        </w:rPr>
        <w:t>，坐落为</w:t>
      </w:r>
      <w:r>
        <w:rPr>
          <w:rFonts w:hint="eastAsia" w:ascii="楷体" w:hAnsi="楷体" w:eastAsia="楷体"/>
          <w:spacing w:val="-6"/>
          <w:sz w:val="28"/>
          <w:szCs w:val="28"/>
          <w:highlight w:val="none"/>
          <w:lang w:val="en-US" w:eastAsia="zh-CN"/>
        </w:rPr>
        <w:t>杭州市余杭区仁和街道清合嘉园西区24幢1单元401室</w:t>
      </w:r>
      <w:r>
        <w:rPr>
          <w:rFonts w:hint="eastAsia" w:ascii="楷体_GB2312" w:hAnsi="宋体" w:eastAsia="楷体"/>
          <w:sz w:val="28"/>
          <w:szCs w:val="28"/>
          <w:highlight w:val="none"/>
        </w:rPr>
        <w:t>，权利类型为国有建设用地使用权/房屋（构筑物）</w:t>
      </w:r>
      <w:r>
        <w:rPr>
          <w:rFonts w:hint="eastAsia" w:ascii="楷体_GB2312" w:hAnsi="宋体" w:eastAsia="楷体"/>
          <w:sz w:val="28"/>
          <w:szCs w:val="28"/>
          <w:highlight w:val="none"/>
          <w:lang w:val="en-US" w:eastAsia="zh-CN"/>
        </w:rPr>
        <w:t>所有</w:t>
      </w:r>
      <w:r>
        <w:rPr>
          <w:rFonts w:hint="eastAsia" w:ascii="楷体_GB2312" w:hAnsi="宋体" w:eastAsia="楷体"/>
          <w:sz w:val="28"/>
          <w:szCs w:val="28"/>
          <w:highlight w:val="none"/>
        </w:rPr>
        <w:t>权，权利性质为</w:t>
      </w:r>
      <w:r>
        <w:rPr>
          <w:rFonts w:hint="eastAsia" w:ascii="楷体_GB2312" w:hAnsi="宋体" w:eastAsia="楷体"/>
          <w:sz w:val="28"/>
          <w:szCs w:val="28"/>
          <w:highlight w:val="none"/>
          <w:lang w:val="en-US" w:eastAsia="zh-CN"/>
        </w:rPr>
        <w:t>出让</w:t>
      </w:r>
      <w:r>
        <w:rPr>
          <w:rFonts w:hint="eastAsia" w:ascii="楷体_GB2312" w:hAnsi="宋体" w:eastAsia="楷体"/>
          <w:sz w:val="28"/>
          <w:szCs w:val="28"/>
          <w:highlight w:val="none"/>
        </w:rPr>
        <w:t>/存量房产，共有情况为</w:t>
      </w:r>
      <w:r>
        <w:rPr>
          <w:rFonts w:hint="eastAsia" w:ascii="楷体_GB2312" w:hAnsi="宋体" w:eastAsia="楷体"/>
          <w:sz w:val="28"/>
          <w:szCs w:val="28"/>
          <w:highlight w:val="none"/>
          <w:lang w:val="en-US" w:eastAsia="zh-CN"/>
        </w:rPr>
        <w:t>共同共有</w:t>
      </w:r>
      <w:r>
        <w:rPr>
          <w:rFonts w:hint="eastAsia" w:ascii="楷体_GB2312" w:hAnsi="宋体" w:eastAsia="楷体"/>
          <w:sz w:val="28"/>
          <w:szCs w:val="28"/>
          <w:highlight w:val="none"/>
        </w:rPr>
        <w:t>，房屋</w:t>
      </w:r>
      <w:r>
        <w:rPr>
          <w:rFonts w:hint="eastAsia" w:ascii="楷体_GB2312" w:hAnsi="宋体" w:eastAsia="楷体"/>
          <w:sz w:val="28"/>
          <w:szCs w:val="28"/>
          <w:highlight w:val="none"/>
          <w:lang w:eastAsia="zh-CN"/>
        </w:rPr>
        <w:t>建筑面积172.28平方米</w:t>
      </w:r>
      <w:r>
        <w:rPr>
          <w:rFonts w:hint="eastAsia" w:ascii="楷体_GB2312" w:hAnsi="宋体" w:eastAsia="楷体"/>
          <w:sz w:val="28"/>
          <w:szCs w:val="28"/>
          <w:highlight w:val="none"/>
        </w:rPr>
        <w:t>，土地</w:t>
      </w:r>
      <w:r>
        <w:rPr>
          <w:rFonts w:hint="eastAsia" w:ascii="楷体_GB2312" w:hAnsi="宋体" w:eastAsia="楷体"/>
          <w:sz w:val="28"/>
          <w:szCs w:val="28"/>
          <w:highlight w:val="none"/>
          <w:lang w:eastAsia="zh-CN"/>
        </w:rPr>
        <w:t>使用权面积90.1平方米</w:t>
      </w:r>
      <w:r>
        <w:rPr>
          <w:rFonts w:hint="eastAsia" w:ascii="楷体_GB2312" w:hAnsi="宋体" w:eastAsia="楷体"/>
          <w:sz w:val="28"/>
          <w:szCs w:val="28"/>
          <w:highlight w:val="none"/>
        </w:rPr>
        <w:t>，</w:t>
      </w:r>
      <w:r>
        <w:rPr>
          <w:rFonts w:hint="eastAsia" w:ascii="楷体_GB2312" w:hAnsi="宋体" w:eastAsia="楷体"/>
          <w:sz w:val="28"/>
          <w:szCs w:val="28"/>
          <w:highlight w:val="none"/>
          <w:lang w:eastAsia="zh-CN"/>
        </w:rPr>
        <w:t>使用期限至2073年06月28日</w:t>
      </w:r>
      <w:r>
        <w:rPr>
          <w:rFonts w:hint="eastAsia" w:ascii="楷体_GB2312" w:hAnsi="宋体" w:eastAsia="楷体"/>
          <w:sz w:val="28"/>
          <w:szCs w:val="28"/>
          <w:highlight w:val="none"/>
        </w:rPr>
        <w:t>，登记日期为20</w:t>
      </w:r>
      <w:r>
        <w:rPr>
          <w:rFonts w:hint="eastAsia" w:ascii="楷体_GB2312" w:hAnsi="宋体" w:eastAsia="楷体"/>
          <w:sz w:val="28"/>
          <w:szCs w:val="28"/>
          <w:highlight w:val="none"/>
          <w:lang w:val="en-US" w:eastAsia="zh-CN"/>
        </w:rPr>
        <w:t>19</w:t>
      </w:r>
      <w:r>
        <w:rPr>
          <w:rFonts w:hint="eastAsia" w:ascii="楷体_GB2312" w:hAnsi="宋体" w:eastAsia="楷体"/>
          <w:sz w:val="28"/>
          <w:szCs w:val="28"/>
          <w:highlight w:val="none"/>
        </w:rPr>
        <w:t>年</w:t>
      </w:r>
      <w:r>
        <w:rPr>
          <w:rFonts w:hint="eastAsia" w:ascii="楷体_GB2312" w:hAnsi="宋体" w:eastAsia="楷体"/>
          <w:sz w:val="28"/>
          <w:szCs w:val="28"/>
          <w:highlight w:val="none"/>
          <w:lang w:val="en-US" w:eastAsia="zh-CN"/>
        </w:rPr>
        <w:t>01</w:t>
      </w:r>
      <w:r>
        <w:rPr>
          <w:rFonts w:hint="eastAsia" w:ascii="楷体_GB2312" w:hAnsi="宋体" w:eastAsia="楷体"/>
          <w:sz w:val="28"/>
          <w:szCs w:val="28"/>
          <w:highlight w:val="none"/>
        </w:rPr>
        <w:t>月</w:t>
      </w:r>
      <w:r>
        <w:rPr>
          <w:rFonts w:hint="eastAsia" w:ascii="楷体_GB2312" w:hAnsi="宋体" w:eastAsia="楷体"/>
          <w:sz w:val="28"/>
          <w:szCs w:val="28"/>
          <w:highlight w:val="none"/>
          <w:lang w:val="en-US" w:eastAsia="zh-CN"/>
        </w:rPr>
        <w:t>18</w:t>
      </w:r>
      <w:r>
        <w:rPr>
          <w:rFonts w:hint="eastAsia" w:ascii="楷体_GB2312" w:hAnsi="宋体" w:eastAsia="楷体"/>
          <w:sz w:val="28"/>
          <w:szCs w:val="28"/>
          <w:highlight w:val="none"/>
        </w:rPr>
        <w:t>日。权利状态为现状。</w:t>
      </w:r>
      <w:r>
        <w:rPr>
          <w:rFonts w:hint="eastAsia" w:ascii="楷体_GB2312" w:hAnsi="宋体" w:eastAsia="楷体"/>
          <w:sz w:val="28"/>
          <w:szCs w:val="28"/>
          <w:highlight w:val="none"/>
          <w:lang w:val="en-US" w:eastAsia="zh-CN"/>
        </w:rPr>
        <w:t>异议状况：无。</w:t>
      </w:r>
    </w:p>
    <w:p>
      <w:pPr>
        <w:keepNext w:val="0"/>
        <w:keepLines w:val="0"/>
        <w:pageBreakBefore w:val="0"/>
        <w:widowControl w:val="0"/>
        <w:kinsoku/>
        <w:wordWrap/>
        <w:overflowPunct/>
        <w:topLinePunct w:val="0"/>
        <w:autoSpaceDE w:val="0"/>
        <w:autoSpaceDN/>
        <w:bidi w:val="0"/>
        <w:adjustRightInd/>
        <w:snapToGrid/>
        <w:spacing w:line="660" w:lineRule="exact"/>
        <w:ind w:firstLine="560" w:firstLineChars="200"/>
        <w:jc w:val="left"/>
        <w:textAlignment w:val="bottom"/>
        <w:outlineLvl w:val="1"/>
        <w:rPr>
          <w:rFonts w:hint="eastAsia" w:ascii="楷体_GB2312" w:hAnsi="宋体" w:eastAsia="楷体"/>
          <w:sz w:val="28"/>
          <w:szCs w:val="28"/>
          <w:highlight w:val="none"/>
          <w:lang w:val="en-US" w:eastAsia="zh-CN"/>
        </w:rPr>
      </w:pPr>
      <w:r>
        <w:rPr>
          <w:rFonts w:hint="eastAsia" w:ascii="楷体_GB2312" w:hAnsi="宋体" w:eastAsia="楷体"/>
          <w:sz w:val="28"/>
          <w:szCs w:val="28"/>
          <w:highlight w:val="none"/>
          <w:lang w:val="en-US" w:eastAsia="zh-CN"/>
        </w:rPr>
        <w:t>2、房地产抵押状况</w:t>
      </w:r>
    </w:p>
    <w:p>
      <w:pPr>
        <w:keepNext w:val="0"/>
        <w:keepLines w:val="0"/>
        <w:pageBreakBefore w:val="0"/>
        <w:widowControl w:val="0"/>
        <w:kinsoku/>
        <w:wordWrap/>
        <w:overflowPunct/>
        <w:topLinePunct w:val="0"/>
        <w:autoSpaceDE w:val="0"/>
        <w:autoSpaceDN/>
        <w:bidi w:val="0"/>
        <w:adjustRightInd/>
        <w:snapToGrid/>
        <w:spacing w:line="660" w:lineRule="exact"/>
        <w:ind w:firstLine="560" w:firstLineChars="200"/>
        <w:jc w:val="left"/>
        <w:textAlignment w:val="bottom"/>
        <w:outlineLvl w:val="1"/>
        <w:rPr>
          <w:rFonts w:hint="eastAsia" w:ascii="楷体_GB2312" w:hAnsi="宋体" w:eastAsia="楷体"/>
          <w:sz w:val="28"/>
          <w:szCs w:val="28"/>
          <w:highlight w:val="none"/>
          <w:lang w:val="en-US" w:eastAsia="zh-CN"/>
        </w:rPr>
      </w:pPr>
      <w:r>
        <w:rPr>
          <w:rFonts w:hint="eastAsia" w:ascii="楷体_GB2312" w:hAnsi="宋体" w:eastAsia="楷体"/>
          <w:sz w:val="28"/>
          <w:szCs w:val="28"/>
          <w:highlight w:val="none"/>
        </w:rPr>
        <w:t>根据</w:t>
      </w:r>
      <w:r>
        <w:rPr>
          <w:rFonts w:hint="eastAsia" w:ascii="楷体" w:hAnsi="楷体" w:eastAsia="楷体"/>
          <w:sz w:val="28"/>
          <w:highlight w:val="none"/>
        </w:rPr>
        <w:t>《</w:t>
      </w:r>
      <w:r>
        <w:rPr>
          <w:rFonts w:hint="eastAsia" w:ascii="楷体" w:hAnsi="楷体" w:eastAsia="楷体"/>
          <w:sz w:val="28"/>
          <w:szCs w:val="28"/>
          <w:highlight w:val="none"/>
        </w:rPr>
        <w:t>杭州市不动产</w:t>
      </w:r>
      <w:r>
        <w:rPr>
          <w:rFonts w:hint="eastAsia" w:ascii="楷体" w:hAnsi="楷体" w:eastAsia="楷体"/>
          <w:sz w:val="28"/>
          <w:szCs w:val="28"/>
          <w:highlight w:val="none"/>
          <w:lang w:val="en-US" w:eastAsia="zh-CN"/>
        </w:rPr>
        <w:t>登记</w:t>
      </w:r>
      <w:r>
        <w:rPr>
          <w:rFonts w:hint="eastAsia" w:ascii="楷体" w:hAnsi="楷体" w:eastAsia="楷体"/>
          <w:sz w:val="28"/>
          <w:szCs w:val="28"/>
          <w:highlight w:val="none"/>
        </w:rPr>
        <w:t>信息查询记录</w:t>
      </w:r>
      <w:r>
        <w:rPr>
          <w:rFonts w:hint="eastAsia" w:ascii="楷体" w:hAnsi="楷体" w:eastAsia="楷体"/>
          <w:sz w:val="28"/>
          <w:highlight w:val="none"/>
        </w:rPr>
        <w:t>》</w:t>
      </w:r>
      <w:r>
        <w:rPr>
          <w:rFonts w:hint="eastAsia" w:ascii="楷体_GB2312" w:hAnsi="宋体" w:eastAsia="楷体"/>
          <w:sz w:val="28"/>
          <w:szCs w:val="28"/>
          <w:highlight w:val="none"/>
        </w:rPr>
        <w:t>记载，至价值时点，估价对象已</w:t>
      </w:r>
      <w:r>
        <w:rPr>
          <w:rFonts w:hint="eastAsia" w:ascii="楷体_GB2312" w:hAnsi="宋体" w:eastAsia="楷体"/>
          <w:sz w:val="28"/>
          <w:szCs w:val="28"/>
          <w:highlight w:val="none"/>
          <w:lang w:val="en-US" w:eastAsia="zh-CN"/>
        </w:rPr>
        <w:t>设定抵押。抵押权人为南京银行股份有限公司杭州城东小微企业专营支行，登记证明号为浙（2019）余杭区不动产证明第0007757号，抵押方式为一般抵押，债权数额217万元，登记日期2019年01月18日，债务履行期限（债权确定期间）2019年01月14日起2040年01月13日止。</w:t>
      </w:r>
    </w:p>
    <w:p>
      <w:pPr>
        <w:keepNext w:val="0"/>
        <w:keepLines w:val="0"/>
        <w:pageBreakBefore w:val="0"/>
        <w:widowControl w:val="0"/>
        <w:kinsoku/>
        <w:wordWrap/>
        <w:overflowPunct/>
        <w:topLinePunct w:val="0"/>
        <w:autoSpaceDE w:val="0"/>
        <w:autoSpaceDN/>
        <w:bidi w:val="0"/>
        <w:adjustRightInd/>
        <w:snapToGrid/>
        <w:spacing w:line="660" w:lineRule="exact"/>
        <w:ind w:firstLine="560" w:firstLineChars="200"/>
        <w:jc w:val="left"/>
        <w:textAlignment w:val="bottom"/>
        <w:outlineLvl w:val="1"/>
        <w:rPr>
          <w:rFonts w:hint="default" w:ascii="楷体_GB2312" w:hAnsi="宋体" w:eastAsia="楷体"/>
          <w:sz w:val="28"/>
          <w:szCs w:val="28"/>
          <w:highlight w:val="none"/>
          <w:lang w:val="en-US" w:eastAsia="zh-CN"/>
        </w:rPr>
      </w:pPr>
      <w:r>
        <w:rPr>
          <w:rFonts w:hint="eastAsia" w:ascii="楷体_GB2312" w:hAnsi="宋体" w:eastAsia="楷体"/>
          <w:sz w:val="28"/>
          <w:szCs w:val="28"/>
          <w:highlight w:val="none"/>
          <w:lang w:val="en-US" w:eastAsia="zh-CN"/>
        </w:rPr>
        <w:t>3、</w:t>
      </w:r>
      <w:bookmarkStart w:id="61" w:name="_Toc14320"/>
      <w:r>
        <w:rPr>
          <w:rFonts w:hint="eastAsia" w:ascii="楷体_GB2312" w:hAnsi="宋体" w:eastAsia="楷体"/>
          <w:sz w:val="28"/>
          <w:szCs w:val="28"/>
          <w:highlight w:val="none"/>
          <w:lang w:val="en-US" w:eastAsia="zh-CN"/>
        </w:rPr>
        <w:t>房地产查封状况</w:t>
      </w:r>
    </w:p>
    <w:p>
      <w:pPr>
        <w:keepNext w:val="0"/>
        <w:keepLines w:val="0"/>
        <w:pageBreakBefore w:val="0"/>
        <w:widowControl w:val="0"/>
        <w:kinsoku/>
        <w:wordWrap/>
        <w:overflowPunct/>
        <w:topLinePunct w:val="0"/>
        <w:autoSpaceDE w:val="0"/>
        <w:autoSpaceDN/>
        <w:bidi w:val="0"/>
        <w:adjustRightInd/>
        <w:snapToGrid/>
        <w:spacing w:line="660" w:lineRule="exact"/>
        <w:ind w:firstLine="560" w:firstLineChars="200"/>
        <w:jc w:val="left"/>
        <w:textAlignment w:val="bottom"/>
        <w:outlineLvl w:val="1"/>
        <w:rPr>
          <w:rFonts w:hint="eastAsia" w:ascii="楷体_GB2312" w:hAnsi="宋体" w:eastAsia="楷体"/>
          <w:sz w:val="28"/>
          <w:szCs w:val="28"/>
          <w:highlight w:val="none"/>
          <w:lang w:val="en-US" w:eastAsia="zh-CN"/>
        </w:rPr>
      </w:pPr>
      <w:r>
        <w:rPr>
          <w:rFonts w:hint="eastAsia" w:ascii="楷体_GB2312" w:hAnsi="宋体" w:eastAsia="楷体"/>
          <w:sz w:val="28"/>
          <w:szCs w:val="28"/>
          <w:highlight w:val="none"/>
        </w:rPr>
        <w:t>根据</w:t>
      </w:r>
      <w:r>
        <w:rPr>
          <w:rFonts w:hint="eastAsia" w:ascii="楷体" w:hAnsi="楷体" w:eastAsia="楷体"/>
          <w:sz w:val="28"/>
          <w:highlight w:val="none"/>
        </w:rPr>
        <w:t>《</w:t>
      </w:r>
      <w:r>
        <w:rPr>
          <w:rFonts w:hint="eastAsia" w:ascii="楷体" w:hAnsi="楷体" w:eastAsia="楷体"/>
          <w:sz w:val="28"/>
          <w:szCs w:val="28"/>
          <w:highlight w:val="none"/>
        </w:rPr>
        <w:t>杭州市不动产</w:t>
      </w:r>
      <w:r>
        <w:rPr>
          <w:rFonts w:hint="eastAsia" w:ascii="楷体" w:hAnsi="楷体" w:eastAsia="楷体"/>
          <w:sz w:val="28"/>
          <w:szCs w:val="28"/>
          <w:highlight w:val="none"/>
          <w:lang w:val="en-US" w:eastAsia="zh-CN"/>
        </w:rPr>
        <w:t>登记</w:t>
      </w:r>
      <w:r>
        <w:rPr>
          <w:rFonts w:hint="eastAsia" w:ascii="楷体" w:hAnsi="楷体" w:eastAsia="楷体"/>
          <w:sz w:val="28"/>
          <w:szCs w:val="28"/>
          <w:highlight w:val="none"/>
        </w:rPr>
        <w:t>信息查询记录</w:t>
      </w:r>
      <w:r>
        <w:rPr>
          <w:rFonts w:hint="eastAsia" w:ascii="楷体" w:hAnsi="楷体" w:eastAsia="楷体"/>
          <w:sz w:val="28"/>
          <w:highlight w:val="none"/>
        </w:rPr>
        <w:t>》</w:t>
      </w:r>
      <w:r>
        <w:rPr>
          <w:rFonts w:hint="eastAsia" w:ascii="楷体_GB2312" w:hAnsi="宋体" w:eastAsia="楷体"/>
          <w:sz w:val="28"/>
          <w:szCs w:val="28"/>
          <w:highlight w:val="none"/>
        </w:rPr>
        <w:t>记载，至价值时点，估价对象已被司法机关查封</w:t>
      </w:r>
      <w:r>
        <w:rPr>
          <w:rFonts w:hint="eastAsia" w:ascii="楷体_GB2312" w:hAnsi="宋体" w:eastAsia="楷体"/>
          <w:sz w:val="28"/>
          <w:szCs w:val="28"/>
          <w:highlight w:val="none"/>
          <w:lang w:eastAsia="zh-CN"/>
        </w:rPr>
        <w:t>，</w:t>
      </w:r>
      <w:r>
        <w:rPr>
          <w:rFonts w:hint="eastAsia" w:ascii="楷体_GB2312" w:hAnsi="宋体" w:eastAsia="楷体"/>
          <w:sz w:val="28"/>
          <w:szCs w:val="28"/>
          <w:highlight w:val="none"/>
          <w:lang w:val="en-US" w:eastAsia="zh-CN"/>
        </w:rPr>
        <w:t>查封状况详见本报告附件。</w:t>
      </w:r>
    </w:p>
    <w:p>
      <w:pPr>
        <w:keepNext w:val="0"/>
        <w:keepLines w:val="0"/>
        <w:pageBreakBefore w:val="0"/>
        <w:widowControl w:val="0"/>
        <w:kinsoku/>
        <w:wordWrap/>
        <w:overflowPunct/>
        <w:topLinePunct w:val="0"/>
        <w:autoSpaceDE w:val="0"/>
        <w:autoSpaceDN/>
        <w:bidi w:val="0"/>
        <w:adjustRightInd/>
        <w:snapToGrid/>
        <w:spacing w:line="630" w:lineRule="exact"/>
        <w:ind w:firstLine="560" w:firstLineChars="200"/>
        <w:jc w:val="left"/>
        <w:textAlignment w:val="bottom"/>
        <w:outlineLvl w:val="9"/>
        <w:rPr>
          <w:rFonts w:ascii="楷体" w:hAnsi="楷体" w:eastAsia="楷体"/>
          <w:sz w:val="28"/>
          <w:highlight w:val="none"/>
        </w:rPr>
      </w:pPr>
      <w:r>
        <w:rPr>
          <w:rFonts w:hint="eastAsia" w:ascii="楷体" w:hAnsi="楷体" w:eastAsia="楷体"/>
          <w:sz w:val="28"/>
          <w:highlight w:val="none"/>
        </w:rPr>
        <w:t>（三）房地产实物状况</w:t>
      </w:r>
      <w:bookmarkEnd w:id="60"/>
      <w:bookmarkEnd w:id="61"/>
    </w:p>
    <w:p>
      <w:pPr>
        <w:keepNext w:val="0"/>
        <w:keepLines w:val="0"/>
        <w:pageBreakBefore w:val="0"/>
        <w:widowControl w:val="0"/>
        <w:kinsoku/>
        <w:wordWrap/>
        <w:overflowPunct/>
        <w:topLinePunct w:val="0"/>
        <w:autoSpaceDE w:val="0"/>
        <w:autoSpaceDN/>
        <w:bidi w:val="0"/>
        <w:adjustRightInd/>
        <w:spacing w:line="630" w:lineRule="exact"/>
        <w:ind w:firstLine="560" w:firstLineChars="200"/>
        <w:jc w:val="left"/>
        <w:textAlignment w:val="bottom"/>
        <w:rPr>
          <w:rFonts w:ascii="楷体" w:hAnsi="楷体" w:eastAsia="楷体"/>
          <w:sz w:val="28"/>
          <w:highlight w:val="none"/>
        </w:rPr>
      </w:pPr>
      <w:r>
        <w:rPr>
          <w:rFonts w:hint="eastAsia" w:ascii="楷体" w:hAnsi="楷体" w:eastAsia="楷体"/>
          <w:sz w:val="28"/>
          <w:highlight w:val="none"/>
        </w:rPr>
        <w:t>1、土地实物状况</w:t>
      </w:r>
    </w:p>
    <w:p>
      <w:pPr>
        <w:keepNext w:val="0"/>
        <w:keepLines w:val="0"/>
        <w:pageBreakBefore w:val="0"/>
        <w:widowControl w:val="0"/>
        <w:kinsoku/>
        <w:wordWrap/>
        <w:overflowPunct/>
        <w:topLinePunct w:val="0"/>
        <w:autoSpaceDN/>
        <w:bidi w:val="0"/>
        <w:adjustRightInd/>
        <w:spacing w:line="630" w:lineRule="exact"/>
        <w:ind w:firstLine="560" w:firstLineChars="200"/>
        <w:jc w:val="left"/>
        <w:rPr>
          <w:rFonts w:ascii="楷体" w:hAnsi="楷体" w:eastAsia="楷体"/>
          <w:sz w:val="28"/>
          <w:highlight w:val="none"/>
        </w:rPr>
      </w:pPr>
      <w:r>
        <w:rPr>
          <w:rFonts w:hint="eastAsia" w:eastAsia="楷体"/>
          <w:sz w:val="28"/>
          <w:highlight w:val="none"/>
        </w:rPr>
        <w:t>估价对象</w:t>
      </w:r>
      <w:r>
        <w:rPr>
          <w:rFonts w:hint="eastAsia" w:eastAsia="楷体"/>
          <w:sz w:val="28"/>
          <w:highlight w:val="none"/>
          <w:lang w:val="en-US" w:eastAsia="zh-CN"/>
        </w:rPr>
        <w:t>土</w:t>
      </w:r>
      <w:r>
        <w:rPr>
          <w:rFonts w:hint="eastAsia" w:eastAsia="楷体"/>
          <w:sz w:val="28"/>
          <w:highlight w:val="none"/>
        </w:rPr>
        <w:t>地座落于</w:t>
      </w:r>
      <w:r>
        <w:rPr>
          <w:rFonts w:hint="eastAsia" w:ascii="楷体" w:hAnsi="楷体" w:eastAsia="楷体"/>
          <w:spacing w:val="-6"/>
          <w:sz w:val="28"/>
          <w:szCs w:val="28"/>
          <w:highlight w:val="none"/>
          <w:lang w:val="en-US" w:eastAsia="zh-CN"/>
        </w:rPr>
        <w:t>杭州市余杭区仁和街道清合嘉园西区</w:t>
      </w:r>
      <w:r>
        <w:rPr>
          <w:rFonts w:hint="eastAsia" w:eastAsia="楷体"/>
          <w:sz w:val="28"/>
          <w:highlight w:val="none"/>
        </w:rPr>
        <w:t>，</w:t>
      </w:r>
      <w:r>
        <w:rPr>
          <w:rFonts w:hint="eastAsia" w:eastAsia="楷体"/>
          <w:sz w:val="28"/>
          <w:highlight w:val="none"/>
          <w:lang w:val="en-US" w:eastAsia="zh-CN"/>
        </w:rPr>
        <w:t>土地使用权面积</w:t>
      </w:r>
      <w:r>
        <w:rPr>
          <w:rFonts w:hint="eastAsia" w:ascii="楷体" w:hAnsi="楷体" w:eastAsia="楷体" w:cs="楷体"/>
          <w:sz w:val="28"/>
          <w:highlight w:val="none"/>
          <w:lang w:val="en-US" w:eastAsia="zh-CN"/>
        </w:rPr>
        <w:t>90.1</w:t>
      </w:r>
      <w:r>
        <w:rPr>
          <w:rFonts w:hint="eastAsia" w:eastAsia="楷体"/>
          <w:sz w:val="28"/>
          <w:highlight w:val="none"/>
          <w:lang w:val="en-US" w:eastAsia="zh-CN"/>
        </w:rPr>
        <w:t>平方米</w:t>
      </w:r>
      <w:r>
        <w:rPr>
          <w:rFonts w:hint="eastAsia" w:eastAsia="楷体"/>
          <w:sz w:val="28"/>
          <w:highlight w:val="none"/>
        </w:rPr>
        <w:t>，所在宗</w:t>
      </w:r>
      <w:r>
        <w:rPr>
          <w:rFonts w:hint="eastAsia" w:eastAsia="楷体"/>
          <w:sz w:val="28"/>
          <w:highlight w:val="none"/>
          <w:lang w:val="en-US" w:eastAsia="zh-CN"/>
        </w:rPr>
        <w:t>地东</w:t>
      </w:r>
      <w:r>
        <w:rPr>
          <w:rFonts w:hint="eastAsia" w:eastAsia="楷体"/>
          <w:sz w:val="28"/>
          <w:highlight w:val="none"/>
        </w:rPr>
        <w:t>至</w:t>
      </w:r>
      <w:r>
        <w:rPr>
          <w:rFonts w:hint="eastAsia" w:eastAsia="楷体"/>
          <w:sz w:val="28"/>
          <w:highlight w:val="none"/>
          <w:lang w:val="en-US" w:eastAsia="zh-CN"/>
        </w:rPr>
        <w:t>仁河大道</w:t>
      </w:r>
      <w:r>
        <w:rPr>
          <w:rFonts w:hint="eastAsia" w:eastAsia="楷体"/>
          <w:sz w:val="28"/>
          <w:highlight w:val="none"/>
        </w:rPr>
        <w:t>，</w:t>
      </w:r>
      <w:r>
        <w:rPr>
          <w:rFonts w:hint="eastAsia" w:eastAsia="楷体"/>
          <w:sz w:val="28"/>
          <w:highlight w:val="none"/>
          <w:lang w:val="en-US" w:eastAsia="zh-CN"/>
        </w:rPr>
        <w:t>南</w:t>
      </w:r>
      <w:r>
        <w:rPr>
          <w:rFonts w:hint="eastAsia" w:eastAsia="楷体"/>
          <w:sz w:val="28"/>
          <w:highlight w:val="none"/>
        </w:rPr>
        <w:t>至</w:t>
      </w:r>
      <w:r>
        <w:rPr>
          <w:rFonts w:hint="eastAsia" w:eastAsia="楷体"/>
          <w:sz w:val="28"/>
          <w:highlight w:val="none"/>
          <w:lang w:val="en-US" w:eastAsia="zh-CN"/>
        </w:rPr>
        <w:t>和旺街</w:t>
      </w:r>
      <w:r>
        <w:rPr>
          <w:rFonts w:hint="eastAsia" w:eastAsia="楷体"/>
          <w:sz w:val="28"/>
          <w:highlight w:val="none"/>
        </w:rPr>
        <w:t>，</w:t>
      </w:r>
      <w:r>
        <w:rPr>
          <w:rFonts w:hint="eastAsia" w:eastAsia="楷体"/>
          <w:sz w:val="28"/>
          <w:highlight w:val="none"/>
          <w:lang w:val="en-US" w:eastAsia="zh-CN"/>
        </w:rPr>
        <w:t>西至獐山路，北至河滨街</w:t>
      </w:r>
      <w:r>
        <w:rPr>
          <w:rFonts w:hint="eastAsia" w:eastAsia="楷体"/>
          <w:sz w:val="28"/>
          <w:highlight w:val="none"/>
        </w:rPr>
        <w:t>，估价对象所属区域地形</w:t>
      </w:r>
      <w:r>
        <w:rPr>
          <w:rFonts w:hint="eastAsia" w:eastAsia="楷体"/>
          <w:sz w:val="28"/>
          <w:highlight w:val="none"/>
          <w:lang w:val="en-US" w:eastAsia="zh-CN"/>
        </w:rPr>
        <w:t>平坦，</w:t>
      </w:r>
      <w:r>
        <w:rPr>
          <w:rFonts w:hint="eastAsia" w:eastAsia="楷体"/>
          <w:sz w:val="28"/>
          <w:highlight w:val="none"/>
        </w:rPr>
        <w:t>地势</w:t>
      </w:r>
      <w:r>
        <w:rPr>
          <w:rFonts w:hint="eastAsia" w:eastAsia="楷体"/>
          <w:sz w:val="28"/>
          <w:highlight w:val="none"/>
          <w:lang w:val="en-US" w:eastAsia="zh-CN"/>
        </w:rPr>
        <w:t>与周边持平</w:t>
      </w:r>
      <w:r>
        <w:rPr>
          <w:rFonts w:hint="eastAsia" w:eastAsia="楷体"/>
          <w:sz w:val="28"/>
          <w:highlight w:val="none"/>
        </w:rPr>
        <w:t>，地基承载力较好，水文地质条件较好，基础设施较完善，城市规划限制条件较少，利用状况较好</w:t>
      </w:r>
      <w:r>
        <w:rPr>
          <w:rFonts w:hint="eastAsia" w:ascii="楷体" w:hAnsi="楷体" w:eastAsia="楷体"/>
          <w:sz w:val="28"/>
          <w:highlight w:val="none"/>
        </w:rPr>
        <w:t>。</w:t>
      </w:r>
    </w:p>
    <w:p>
      <w:pPr>
        <w:keepNext w:val="0"/>
        <w:keepLines w:val="0"/>
        <w:pageBreakBefore w:val="0"/>
        <w:widowControl w:val="0"/>
        <w:kinsoku/>
        <w:wordWrap/>
        <w:overflowPunct/>
        <w:topLinePunct w:val="0"/>
        <w:autoSpaceDE w:val="0"/>
        <w:autoSpaceDN/>
        <w:bidi w:val="0"/>
        <w:adjustRightInd/>
        <w:spacing w:line="630" w:lineRule="exact"/>
        <w:ind w:firstLine="560" w:firstLineChars="200"/>
        <w:jc w:val="left"/>
        <w:textAlignment w:val="bottom"/>
        <w:rPr>
          <w:rFonts w:ascii="楷体_GB2312" w:hAnsi="宋体" w:eastAsia="楷体"/>
          <w:sz w:val="28"/>
          <w:szCs w:val="28"/>
          <w:highlight w:val="none"/>
        </w:rPr>
      </w:pPr>
      <w:r>
        <w:rPr>
          <w:rFonts w:hint="eastAsia" w:ascii="楷体_GB2312" w:hAnsi="宋体" w:eastAsia="楷体"/>
          <w:sz w:val="28"/>
          <w:szCs w:val="28"/>
          <w:highlight w:val="none"/>
        </w:rPr>
        <w:t>2、建筑物实物状况</w:t>
      </w:r>
    </w:p>
    <w:p>
      <w:pPr>
        <w:pStyle w:val="45"/>
        <w:keepNext w:val="0"/>
        <w:keepLines w:val="0"/>
        <w:pageBreakBefore w:val="0"/>
        <w:widowControl w:val="0"/>
        <w:kinsoku/>
        <w:wordWrap/>
        <w:overflowPunct/>
        <w:topLinePunct w:val="0"/>
        <w:autoSpaceDN/>
        <w:bidi w:val="0"/>
        <w:adjustRightInd/>
        <w:snapToGrid w:val="0"/>
        <w:spacing w:line="630" w:lineRule="exact"/>
        <w:ind w:firstLine="560"/>
        <w:jc w:val="left"/>
        <w:rPr>
          <w:rFonts w:hint="eastAsia" w:ascii="楷体" w:hAnsi="楷体" w:eastAsia="楷体"/>
          <w:w w:val="95"/>
          <w:sz w:val="28"/>
          <w:highlight w:val="none"/>
        </w:rPr>
      </w:pPr>
      <w:bookmarkStart w:id="62" w:name="_Toc24922"/>
      <w:r>
        <w:rPr>
          <w:rFonts w:hint="eastAsia" w:ascii="楷体" w:hAnsi="楷体" w:eastAsia="楷体"/>
          <w:sz w:val="28"/>
          <w:highlight w:val="none"/>
        </w:rPr>
        <w:t>估价对象</w:t>
      </w:r>
      <w:r>
        <w:rPr>
          <w:rFonts w:hint="eastAsia" w:ascii="楷体" w:hAnsi="楷体" w:eastAsia="楷体"/>
          <w:sz w:val="28"/>
          <w:highlight w:val="none"/>
          <w:lang w:val="en-US" w:eastAsia="zh-CN"/>
        </w:rPr>
        <w:t>坐</w:t>
      </w:r>
      <w:r>
        <w:rPr>
          <w:rFonts w:hint="eastAsia" w:ascii="楷体" w:hAnsi="楷体" w:eastAsia="楷体"/>
          <w:sz w:val="28"/>
          <w:highlight w:val="none"/>
        </w:rPr>
        <w:t>落于</w:t>
      </w:r>
      <w:r>
        <w:rPr>
          <w:rFonts w:hint="eastAsia" w:ascii="楷体" w:hAnsi="楷体" w:eastAsia="楷体"/>
          <w:spacing w:val="-6"/>
          <w:sz w:val="28"/>
          <w:szCs w:val="28"/>
          <w:highlight w:val="none"/>
          <w:lang w:val="en-US" w:eastAsia="zh-CN"/>
        </w:rPr>
        <w:t>杭州市余杭区仁和街道清合嘉园西区24幢1单元401室</w:t>
      </w:r>
      <w:r>
        <w:rPr>
          <w:rFonts w:hint="eastAsia" w:ascii="楷体" w:hAnsi="楷体" w:eastAsia="楷体"/>
          <w:sz w:val="28"/>
          <w:highlight w:val="none"/>
          <w:lang w:eastAsia="zh-CN"/>
        </w:rPr>
        <w:t>，</w:t>
      </w:r>
      <w:r>
        <w:rPr>
          <w:rFonts w:hint="eastAsia" w:ascii="楷体" w:hAnsi="楷体" w:eastAsia="楷体"/>
          <w:sz w:val="28"/>
          <w:highlight w:val="none"/>
        </w:rPr>
        <w:t>所在房屋为</w:t>
      </w:r>
      <w:r>
        <w:rPr>
          <w:rFonts w:hint="eastAsia" w:ascii="楷体" w:hAnsi="楷体" w:eastAsia="楷体"/>
          <w:sz w:val="28"/>
          <w:highlight w:val="none"/>
          <w:lang w:val="en-US" w:eastAsia="zh-CN"/>
        </w:rPr>
        <w:t>钢混</w:t>
      </w:r>
      <w:r>
        <w:rPr>
          <w:rFonts w:hint="eastAsia" w:ascii="楷体" w:hAnsi="楷体" w:eastAsia="楷体"/>
          <w:sz w:val="28"/>
          <w:highlight w:val="none"/>
        </w:rPr>
        <w:t>结构</w:t>
      </w:r>
      <w:r>
        <w:rPr>
          <w:rFonts w:hint="eastAsia" w:ascii="楷体" w:hAnsi="楷体" w:eastAsia="楷体"/>
          <w:sz w:val="28"/>
          <w:highlight w:val="none"/>
          <w:lang w:val="en-US" w:eastAsia="zh-CN"/>
        </w:rPr>
        <w:t>多</w:t>
      </w:r>
      <w:r>
        <w:rPr>
          <w:rFonts w:hint="eastAsia" w:ascii="楷体" w:hAnsi="楷体" w:eastAsia="楷体"/>
          <w:sz w:val="28"/>
          <w:highlight w:val="none"/>
        </w:rPr>
        <w:t>层</w:t>
      </w:r>
      <w:r>
        <w:rPr>
          <w:rFonts w:hint="eastAsia" w:ascii="楷体" w:hAnsi="楷体" w:eastAsia="楷体"/>
          <w:sz w:val="28"/>
          <w:highlight w:val="none"/>
          <w:lang w:val="en-US" w:eastAsia="zh-CN"/>
        </w:rPr>
        <w:t>建筑</w:t>
      </w:r>
      <w:r>
        <w:rPr>
          <w:rFonts w:hint="eastAsia" w:ascii="楷体" w:hAnsi="楷体" w:eastAsia="楷体"/>
          <w:sz w:val="28"/>
          <w:highlight w:val="none"/>
        </w:rPr>
        <w:t>，</w:t>
      </w:r>
      <w:r>
        <w:rPr>
          <w:rFonts w:hint="eastAsia" w:ascii="楷体" w:hAnsi="楷体" w:eastAsia="楷体"/>
          <w:sz w:val="28"/>
          <w:highlight w:val="none"/>
          <w:lang w:val="en-US" w:eastAsia="zh-CN"/>
        </w:rPr>
        <w:t>建成于2005年，</w:t>
      </w:r>
      <w:r>
        <w:rPr>
          <w:rFonts w:hint="eastAsia" w:ascii="楷体" w:hAnsi="楷体" w:eastAsia="楷体"/>
          <w:sz w:val="28"/>
          <w:highlight w:val="none"/>
        </w:rPr>
        <w:t>建筑物外墙为</w:t>
      </w:r>
      <w:r>
        <w:rPr>
          <w:rFonts w:hint="eastAsia" w:ascii="楷体" w:hAnsi="楷体" w:eastAsia="楷体"/>
          <w:sz w:val="28"/>
          <w:highlight w:val="none"/>
          <w:lang w:val="en-US" w:eastAsia="zh-CN"/>
        </w:rPr>
        <w:t>墙砖</w:t>
      </w:r>
      <w:r>
        <w:rPr>
          <w:rFonts w:hint="eastAsia" w:ascii="楷体" w:hAnsi="楷体" w:eastAsia="楷体"/>
          <w:sz w:val="28"/>
          <w:highlight w:val="none"/>
        </w:rPr>
        <w:t>，</w:t>
      </w:r>
      <w:r>
        <w:rPr>
          <w:rFonts w:hint="eastAsia" w:ascii="楷体" w:hAnsi="楷体" w:eastAsia="楷体"/>
          <w:sz w:val="28"/>
          <w:highlight w:val="none"/>
          <w:lang w:val="en-US" w:eastAsia="zh-CN"/>
        </w:rPr>
        <w:t>铝合金窗</w:t>
      </w:r>
      <w:r>
        <w:rPr>
          <w:rFonts w:hint="eastAsia" w:ascii="楷体" w:hAnsi="楷体" w:eastAsia="楷体"/>
          <w:sz w:val="28"/>
          <w:highlight w:val="none"/>
          <w:lang w:eastAsia="zh-CN"/>
        </w:rPr>
        <w:t>，</w:t>
      </w:r>
      <w:r>
        <w:rPr>
          <w:rFonts w:hint="eastAsia" w:ascii="楷体" w:hAnsi="楷体" w:eastAsia="楷体"/>
          <w:sz w:val="28"/>
          <w:highlight w:val="none"/>
        </w:rPr>
        <w:t>房屋</w:t>
      </w:r>
      <w:r>
        <w:rPr>
          <w:rFonts w:hint="eastAsia" w:ascii="楷体" w:hAnsi="楷体" w:eastAsia="楷体"/>
          <w:sz w:val="28"/>
          <w:highlight w:val="none"/>
          <w:lang w:val="en-US" w:eastAsia="zh-CN"/>
        </w:rPr>
        <w:t>地上</w:t>
      </w:r>
      <w:r>
        <w:rPr>
          <w:rFonts w:hint="eastAsia" w:ascii="楷体" w:hAnsi="楷体" w:eastAsia="楷体"/>
          <w:sz w:val="28"/>
          <w:highlight w:val="none"/>
        </w:rPr>
        <w:t>总层数</w:t>
      </w:r>
      <w:r>
        <w:rPr>
          <w:rFonts w:hint="eastAsia" w:ascii="楷体" w:hAnsi="楷体" w:eastAsia="楷体"/>
          <w:sz w:val="28"/>
          <w:highlight w:val="none"/>
          <w:lang w:val="en-US" w:eastAsia="zh-CN"/>
        </w:rPr>
        <w:t>4</w:t>
      </w:r>
      <w:r>
        <w:rPr>
          <w:rFonts w:hint="eastAsia" w:ascii="楷体" w:hAnsi="楷体" w:eastAsia="楷体"/>
          <w:sz w:val="28"/>
          <w:highlight w:val="none"/>
        </w:rPr>
        <w:t>层</w:t>
      </w:r>
      <w:r>
        <w:rPr>
          <w:rFonts w:hint="eastAsia" w:ascii="楷体" w:hAnsi="楷体" w:eastAsia="楷体"/>
          <w:sz w:val="28"/>
          <w:highlight w:val="none"/>
          <w:lang w:eastAsia="zh-CN"/>
        </w:rPr>
        <w:t>，</w:t>
      </w:r>
      <w:r>
        <w:rPr>
          <w:rFonts w:hint="eastAsia" w:ascii="楷体" w:hAnsi="楷体" w:eastAsia="楷体"/>
          <w:sz w:val="28"/>
          <w:highlight w:val="none"/>
        </w:rPr>
        <w:t>估价对象位于第</w:t>
      </w:r>
      <w:r>
        <w:rPr>
          <w:rFonts w:hint="eastAsia" w:ascii="楷体" w:hAnsi="楷体" w:eastAsia="楷体"/>
          <w:sz w:val="28"/>
          <w:highlight w:val="none"/>
          <w:lang w:val="en-US" w:eastAsia="zh-CN"/>
        </w:rPr>
        <w:t>4</w:t>
      </w:r>
      <w:r>
        <w:rPr>
          <w:rFonts w:hint="eastAsia" w:ascii="楷体" w:hAnsi="楷体" w:eastAsia="楷体"/>
          <w:sz w:val="28"/>
          <w:highlight w:val="none"/>
        </w:rPr>
        <w:t>层</w:t>
      </w:r>
      <w:r>
        <w:rPr>
          <w:rFonts w:hint="eastAsia" w:ascii="楷体" w:hAnsi="楷体" w:eastAsia="楷体"/>
          <w:sz w:val="28"/>
          <w:highlight w:val="none"/>
          <w:lang w:val="en-US" w:eastAsia="zh-CN"/>
        </w:rPr>
        <w:t>及阁楼层</w:t>
      </w:r>
      <w:r>
        <w:rPr>
          <w:rFonts w:hint="eastAsia" w:ascii="楷体" w:hAnsi="楷体" w:eastAsia="楷体"/>
          <w:sz w:val="28"/>
          <w:highlight w:val="none"/>
          <w:lang w:eastAsia="zh-CN"/>
        </w:rPr>
        <w:t>，</w:t>
      </w:r>
      <w:r>
        <w:rPr>
          <w:rFonts w:hint="eastAsia" w:ascii="楷体" w:hAnsi="楷体" w:eastAsia="楷体"/>
          <w:sz w:val="28"/>
          <w:highlight w:val="none"/>
          <w:lang w:val="en-US" w:eastAsia="zh-CN"/>
        </w:rPr>
        <w:t>东边套，所在单元布局为一梯二户，</w:t>
      </w:r>
      <w:r>
        <w:rPr>
          <w:rFonts w:hint="eastAsia" w:ascii="楷体" w:hAnsi="楷体" w:eastAsia="楷体"/>
          <w:sz w:val="28"/>
          <w:highlight w:val="none"/>
        </w:rPr>
        <w:t>房屋</w:t>
      </w:r>
      <w:r>
        <w:rPr>
          <w:rFonts w:hint="eastAsia" w:ascii="楷体" w:hAnsi="楷体" w:eastAsia="楷体"/>
          <w:sz w:val="28"/>
          <w:highlight w:val="none"/>
          <w:lang w:eastAsia="zh-CN"/>
        </w:rPr>
        <w:t>建筑面积172.28平方米，</w:t>
      </w:r>
      <w:r>
        <w:rPr>
          <w:rFonts w:hint="eastAsia" w:ascii="楷体" w:hAnsi="楷体" w:eastAsia="楷体"/>
          <w:sz w:val="28"/>
          <w:highlight w:val="none"/>
        </w:rPr>
        <w:t>室内布局</w:t>
      </w:r>
      <w:r>
        <w:rPr>
          <w:rFonts w:hint="eastAsia" w:ascii="楷体" w:hAnsi="楷体" w:eastAsia="楷体"/>
          <w:sz w:val="28"/>
          <w:highlight w:val="none"/>
          <w:lang w:val="en-US" w:eastAsia="zh-CN"/>
        </w:rPr>
        <w:t>第4层</w:t>
      </w:r>
      <w:r>
        <w:rPr>
          <w:rFonts w:hint="eastAsia" w:ascii="楷体" w:hAnsi="楷体" w:eastAsia="楷体"/>
          <w:sz w:val="28"/>
          <w:highlight w:val="none"/>
        </w:rPr>
        <w:t>为</w:t>
      </w:r>
      <w:r>
        <w:rPr>
          <w:rFonts w:hint="eastAsia" w:ascii="楷体" w:hAnsi="楷体" w:eastAsia="楷体"/>
          <w:sz w:val="28"/>
          <w:highlight w:val="none"/>
          <w:lang w:val="en-US" w:eastAsia="zh-CN"/>
        </w:rPr>
        <w:t>二室二</w:t>
      </w:r>
      <w:r>
        <w:rPr>
          <w:rFonts w:hint="eastAsia" w:ascii="楷体" w:hAnsi="楷体" w:eastAsia="楷体"/>
          <w:sz w:val="28"/>
          <w:highlight w:val="none"/>
        </w:rPr>
        <w:t>厅一厨</w:t>
      </w:r>
      <w:r>
        <w:rPr>
          <w:rFonts w:hint="eastAsia" w:ascii="楷体" w:hAnsi="楷体" w:eastAsia="楷体"/>
          <w:sz w:val="28"/>
          <w:highlight w:val="none"/>
          <w:lang w:val="en-US" w:eastAsia="zh-CN"/>
        </w:rPr>
        <w:t>一</w:t>
      </w:r>
      <w:r>
        <w:rPr>
          <w:rFonts w:hint="eastAsia" w:ascii="楷体" w:hAnsi="楷体" w:eastAsia="楷体"/>
          <w:sz w:val="28"/>
          <w:highlight w:val="none"/>
        </w:rPr>
        <w:t>卫</w:t>
      </w:r>
      <w:r>
        <w:rPr>
          <w:rFonts w:hint="eastAsia" w:ascii="楷体" w:hAnsi="楷体" w:eastAsia="楷体"/>
          <w:sz w:val="28"/>
          <w:highlight w:val="none"/>
          <w:lang w:val="en-US" w:eastAsia="zh-CN"/>
        </w:rPr>
        <w:t>二</w:t>
      </w:r>
      <w:r>
        <w:rPr>
          <w:rFonts w:hint="eastAsia" w:ascii="楷体" w:hAnsi="楷体" w:eastAsia="楷体"/>
          <w:sz w:val="28"/>
          <w:highlight w:val="none"/>
        </w:rPr>
        <w:t>阳台</w:t>
      </w:r>
      <w:r>
        <w:rPr>
          <w:rFonts w:hint="eastAsia" w:ascii="楷体" w:hAnsi="楷体" w:eastAsia="楷体"/>
          <w:sz w:val="28"/>
          <w:highlight w:val="none"/>
          <w:lang w:eastAsia="zh-CN"/>
        </w:rPr>
        <w:t>；</w:t>
      </w:r>
      <w:r>
        <w:rPr>
          <w:rFonts w:hint="eastAsia" w:ascii="楷体" w:hAnsi="楷体" w:eastAsia="楷体"/>
          <w:sz w:val="28"/>
          <w:highlight w:val="none"/>
          <w:lang w:val="en-US" w:eastAsia="zh-CN"/>
        </w:rPr>
        <w:t>阁楼层为二室一厅一卫一阳台一露台。</w:t>
      </w:r>
      <w:r>
        <w:rPr>
          <w:rFonts w:hint="eastAsia" w:ascii="楷体" w:hAnsi="楷体" w:eastAsia="楷体"/>
          <w:sz w:val="28"/>
          <w:highlight w:val="none"/>
        </w:rPr>
        <w:t>室内装修</w:t>
      </w:r>
      <w:r>
        <w:rPr>
          <w:rFonts w:hint="eastAsia" w:ascii="楷体" w:hAnsi="楷体" w:eastAsia="楷体"/>
          <w:sz w:val="28"/>
          <w:highlight w:val="none"/>
          <w:lang w:val="en-US" w:eastAsia="zh-CN"/>
        </w:rPr>
        <w:t>未完成：客、餐厅地面铺地砖，墙面、顶面为涂料；卧室地面为水泥地面，墙、顶面为涂料；厨房、卫生间地面铺地砖，墙面铺贴墙砖，顶面涂料。估价对象</w:t>
      </w:r>
      <w:r>
        <w:rPr>
          <w:rFonts w:hint="eastAsia" w:ascii="楷体" w:hAnsi="楷体" w:eastAsia="楷体"/>
          <w:sz w:val="28"/>
          <w:highlight w:val="none"/>
        </w:rPr>
        <w:t>户型布局</w:t>
      </w:r>
      <w:r>
        <w:rPr>
          <w:rFonts w:hint="eastAsia" w:ascii="楷体" w:hAnsi="楷体" w:eastAsia="楷体"/>
          <w:sz w:val="28"/>
          <w:highlight w:val="none"/>
          <w:lang w:val="en-US" w:eastAsia="zh-CN"/>
        </w:rPr>
        <w:t>较好</w:t>
      </w:r>
      <w:r>
        <w:rPr>
          <w:rFonts w:hint="eastAsia" w:ascii="楷体" w:hAnsi="楷体" w:eastAsia="楷体"/>
          <w:sz w:val="28"/>
          <w:highlight w:val="none"/>
        </w:rPr>
        <w:t>，</w:t>
      </w:r>
      <w:r>
        <w:rPr>
          <w:rFonts w:hint="eastAsia" w:ascii="楷体" w:hAnsi="楷体" w:eastAsia="楷体"/>
          <w:sz w:val="28"/>
          <w:highlight w:val="none"/>
          <w:lang w:val="en-US" w:eastAsia="zh-CN"/>
        </w:rPr>
        <w:t>南北通透，</w:t>
      </w:r>
      <w:r>
        <w:rPr>
          <w:rFonts w:hint="eastAsia" w:ascii="楷体" w:hAnsi="楷体" w:eastAsia="楷体"/>
          <w:sz w:val="28"/>
          <w:highlight w:val="none"/>
        </w:rPr>
        <w:t>通风及采光条件</w:t>
      </w:r>
      <w:r>
        <w:rPr>
          <w:rFonts w:hint="eastAsia" w:ascii="楷体" w:hAnsi="楷体" w:eastAsia="楷体"/>
          <w:sz w:val="28"/>
          <w:highlight w:val="none"/>
          <w:lang w:val="en-US" w:eastAsia="zh-CN"/>
        </w:rPr>
        <w:t>较</w:t>
      </w:r>
      <w:r>
        <w:rPr>
          <w:rFonts w:hint="eastAsia" w:ascii="楷体" w:hAnsi="楷体" w:eastAsia="楷体"/>
          <w:sz w:val="28"/>
          <w:highlight w:val="none"/>
        </w:rPr>
        <w:t>好。</w:t>
      </w:r>
      <w:r>
        <w:rPr>
          <w:rFonts w:hint="eastAsia" w:ascii="楷体" w:hAnsi="楷体" w:eastAsia="楷体"/>
          <w:w w:val="100"/>
          <w:sz w:val="28"/>
          <w:highlight w:val="none"/>
        </w:rPr>
        <w:t>估价对象所在房屋水电卫燃气</w:t>
      </w:r>
      <w:r>
        <w:rPr>
          <w:rFonts w:hint="eastAsia" w:ascii="楷体" w:hAnsi="楷体" w:eastAsia="楷体"/>
          <w:w w:val="100"/>
          <w:sz w:val="28"/>
          <w:highlight w:val="none"/>
          <w:lang w:val="en-US" w:eastAsia="zh-CN"/>
        </w:rPr>
        <w:t>预留接口</w:t>
      </w:r>
      <w:r>
        <w:rPr>
          <w:rFonts w:hint="eastAsia" w:ascii="楷体" w:hAnsi="楷体" w:eastAsia="楷体"/>
          <w:w w:val="100"/>
          <w:sz w:val="28"/>
          <w:highlight w:val="none"/>
        </w:rPr>
        <w:t>，</w:t>
      </w:r>
      <w:r>
        <w:rPr>
          <w:rFonts w:hint="eastAsia" w:ascii="楷体" w:hAnsi="楷体" w:eastAsia="楷体"/>
          <w:w w:val="95"/>
          <w:sz w:val="28"/>
          <w:highlight w:val="none"/>
        </w:rPr>
        <w:t>整体使用维护状况</w:t>
      </w:r>
      <w:r>
        <w:rPr>
          <w:rFonts w:hint="eastAsia" w:ascii="楷体" w:hAnsi="楷体" w:eastAsia="楷体"/>
          <w:w w:val="95"/>
          <w:sz w:val="28"/>
          <w:highlight w:val="none"/>
          <w:lang w:val="en-US" w:eastAsia="zh-CN"/>
        </w:rPr>
        <w:t>较</w:t>
      </w:r>
      <w:r>
        <w:rPr>
          <w:rFonts w:hint="eastAsia" w:ascii="楷体" w:hAnsi="楷体" w:eastAsia="楷体"/>
          <w:w w:val="95"/>
          <w:sz w:val="28"/>
          <w:highlight w:val="none"/>
        </w:rPr>
        <w:t>好，属完好房。</w:t>
      </w:r>
    </w:p>
    <w:p>
      <w:pPr>
        <w:keepNext w:val="0"/>
        <w:keepLines w:val="0"/>
        <w:pageBreakBefore w:val="0"/>
        <w:widowControl w:val="0"/>
        <w:numPr>
          <w:ilvl w:val="0"/>
          <w:numId w:val="6"/>
        </w:numPr>
        <w:kinsoku/>
        <w:wordWrap/>
        <w:overflowPunct/>
        <w:topLinePunct w:val="0"/>
        <w:autoSpaceDE w:val="0"/>
        <w:autoSpaceDN/>
        <w:bidi w:val="0"/>
        <w:adjustRightInd/>
        <w:snapToGrid/>
        <w:spacing w:line="630" w:lineRule="exact"/>
        <w:ind w:firstLine="561"/>
        <w:jc w:val="left"/>
        <w:textAlignment w:val="bottom"/>
        <w:outlineLvl w:val="9"/>
        <w:rPr>
          <w:rFonts w:ascii="楷体_GB2312" w:hAnsi="宋体" w:eastAsia="楷体"/>
          <w:sz w:val="28"/>
          <w:szCs w:val="28"/>
          <w:highlight w:val="none"/>
        </w:rPr>
      </w:pPr>
      <w:bookmarkStart w:id="63" w:name="_Toc29769"/>
      <w:r>
        <w:rPr>
          <w:rFonts w:hint="eastAsia" w:ascii="楷体_GB2312" w:hAnsi="宋体" w:eastAsia="楷体"/>
          <w:sz w:val="28"/>
          <w:szCs w:val="28"/>
          <w:highlight w:val="none"/>
        </w:rPr>
        <w:t>区位状况</w:t>
      </w:r>
      <w:bookmarkEnd w:id="62"/>
      <w:bookmarkEnd w:id="63"/>
    </w:p>
    <w:p>
      <w:pPr>
        <w:keepNext w:val="0"/>
        <w:keepLines w:val="0"/>
        <w:pageBreakBefore w:val="0"/>
        <w:widowControl w:val="0"/>
        <w:kinsoku/>
        <w:wordWrap/>
        <w:overflowPunct/>
        <w:topLinePunct w:val="0"/>
        <w:autoSpaceDE w:val="0"/>
        <w:autoSpaceDN/>
        <w:bidi w:val="0"/>
        <w:adjustRightInd/>
        <w:snapToGrid/>
        <w:spacing w:line="630" w:lineRule="exact"/>
        <w:ind w:firstLine="560" w:firstLineChars="200"/>
        <w:jc w:val="left"/>
        <w:textAlignment w:val="bottom"/>
        <w:rPr>
          <w:rFonts w:hint="eastAsia" w:ascii="楷体" w:hAnsi="楷体" w:eastAsia="楷体" w:cs="楷体"/>
          <w:sz w:val="28"/>
          <w:highlight w:val="none"/>
        </w:rPr>
      </w:pPr>
      <w:r>
        <w:rPr>
          <w:rFonts w:hint="eastAsia" w:ascii="楷体" w:hAnsi="楷体" w:eastAsia="楷体" w:cs="楷体"/>
          <w:sz w:val="28"/>
          <w:highlight w:val="none"/>
        </w:rPr>
        <w:t>杭州市位于浙江省北部，总面积16596平方千米，辖上城、拱墅、西湖、滨江、萧</w:t>
      </w:r>
      <w:bookmarkStart w:id="112" w:name="_GoBack"/>
      <w:bookmarkEnd w:id="112"/>
      <w:r>
        <w:rPr>
          <w:rFonts w:hint="eastAsia" w:ascii="楷体" w:hAnsi="楷体" w:eastAsia="楷体" w:cs="楷体"/>
          <w:sz w:val="28"/>
          <w:highlight w:val="none"/>
        </w:rPr>
        <w:t>山、余杭、临平、钱塘、富阳及临安10个市辖区，桐庐、淳安2个县和建德1个县级市。</w:t>
      </w:r>
    </w:p>
    <w:p>
      <w:pPr>
        <w:keepNext w:val="0"/>
        <w:keepLines w:val="0"/>
        <w:pageBreakBefore w:val="0"/>
        <w:widowControl w:val="0"/>
        <w:kinsoku/>
        <w:wordWrap/>
        <w:overflowPunct/>
        <w:topLinePunct w:val="0"/>
        <w:autoSpaceDE w:val="0"/>
        <w:autoSpaceDN/>
        <w:bidi w:val="0"/>
        <w:adjustRightInd/>
        <w:spacing w:line="630" w:lineRule="exact"/>
        <w:ind w:firstLine="560" w:firstLineChars="200"/>
        <w:jc w:val="left"/>
        <w:textAlignment w:val="bottom"/>
        <w:rPr>
          <w:rFonts w:hint="eastAsia" w:ascii="楷体" w:hAnsi="楷体" w:eastAsia="楷体" w:cs="楷体"/>
          <w:sz w:val="28"/>
          <w:highlight w:val="none"/>
          <w:lang w:eastAsia="zh-CN"/>
        </w:rPr>
      </w:pPr>
      <w:r>
        <w:rPr>
          <w:rFonts w:hint="eastAsia" w:ascii="楷体" w:hAnsi="楷体" w:eastAsia="楷体" w:cs="楷体"/>
          <w:sz w:val="28"/>
          <w:highlight w:val="none"/>
        </w:rPr>
        <w:t>余杭区地处杭州市北部，位于杭嘉湖平原和京杭大运河的南端，是长江三角洲的圆心地，是“中华文明曙光”──良渚文化的发祥地，素称“鱼米之乡，丝绸之府，花果之地，文化之邦”。</w:t>
      </w:r>
    </w:p>
    <w:p>
      <w:pPr>
        <w:keepNext w:val="0"/>
        <w:keepLines w:val="0"/>
        <w:pageBreakBefore w:val="0"/>
        <w:widowControl w:val="0"/>
        <w:kinsoku/>
        <w:wordWrap/>
        <w:overflowPunct/>
        <w:topLinePunct w:val="0"/>
        <w:autoSpaceDE w:val="0"/>
        <w:autoSpaceDN/>
        <w:bidi w:val="0"/>
        <w:adjustRightInd/>
        <w:spacing w:line="630" w:lineRule="exact"/>
        <w:ind w:firstLine="560" w:firstLineChars="200"/>
        <w:jc w:val="left"/>
        <w:textAlignment w:val="bottom"/>
        <w:rPr>
          <w:rFonts w:ascii="楷体_GB2312" w:hAnsi="宋体" w:eastAsia="楷体"/>
          <w:sz w:val="28"/>
          <w:szCs w:val="28"/>
          <w:highlight w:val="none"/>
        </w:rPr>
      </w:pPr>
      <w:r>
        <w:rPr>
          <w:rFonts w:hint="eastAsia" w:ascii="楷体_GB2312" w:hAnsi="宋体" w:eastAsia="楷体"/>
          <w:sz w:val="28"/>
          <w:szCs w:val="28"/>
          <w:highlight w:val="none"/>
        </w:rPr>
        <w:t>1.位置状况</w:t>
      </w:r>
    </w:p>
    <w:p>
      <w:pPr>
        <w:keepNext w:val="0"/>
        <w:keepLines w:val="0"/>
        <w:pageBreakBefore w:val="0"/>
        <w:widowControl w:val="0"/>
        <w:kinsoku/>
        <w:wordWrap/>
        <w:overflowPunct/>
        <w:topLinePunct w:val="0"/>
        <w:autoSpaceDN/>
        <w:bidi w:val="0"/>
        <w:adjustRightInd/>
        <w:spacing w:line="630" w:lineRule="exact"/>
        <w:ind w:firstLine="560" w:firstLineChars="200"/>
        <w:rPr>
          <w:rFonts w:ascii="宋体" w:hAnsi="宋体" w:eastAsia="楷体"/>
          <w:sz w:val="28"/>
          <w:highlight w:val="none"/>
        </w:rPr>
      </w:pPr>
      <w:r>
        <w:rPr>
          <w:rFonts w:hint="eastAsia" w:ascii="楷体_GB2312" w:hAnsi="宋体" w:eastAsia="楷体"/>
          <w:sz w:val="28"/>
          <w:szCs w:val="28"/>
          <w:highlight w:val="none"/>
        </w:rPr>
        <w:t>估价对象坐落于</w:t>
      </w:r>
      <w:r>
        <w:rPr>
          <w:rFonts w:hint="eastAsia" w:ascii="楷体" w:hAnsi="楷体" w:eastAsia="楷体"/>
          <w:spacing w:val="-6"/>
          <w:sz w:val="28"/>
          <w:szCs w:val="28"/>
          <w:highlight w:val="none"/>
          <w:lang w:val="en-US" w:eastAsia="zh-CN"/>
        </w:rPr>
        <w:t>杭州市余杭区仁和街道清合嘉园西区24幢1单元401室</w:t>
      </w:r>
      <w:r>
        <w:rPr>
          <w:rFonts w:hint="eastAsia" w:ascii="楷体_GB2312" w:hAnsi="宋体" w:eastAsia="楷体"/>
          <w:sz w:val="28"/>
          <w:szCs w:val="28"/>
          <w:highlight w:val="none"/>
        </w:rPr>
        <w:t>，位于</w:t>
      </w:r>
      <w:r>
        <w:rPr>
          <w:rFonts w:hint="eastAsia" w:ascii="楷体_GB2312" w:hAnsi="宋体" w:eastAsia="楷体"/>
          <w:sz w:val="28"/>
          <w:szCs w:val="28"/>
          <w:highlight w:val="none"/>
          <w:lang w:val="en-US" w:eastAsia="zh-CN"/>
        </w:rPr>
        <w:t>仁河大道</w:t>
      </w:r>
      <w:r>
        <w:rPr>
          <w:rFonts w:hint="eastAsia" w:ascii="楷体_GB2312" w:hAnsi="宋体" w:eastAsia="楷体"/>
          <w:sz w:val="28"/>
          <w:szCs w:val="28"/>
          <w:highlight w:val="none"/>
        </w:rPr>
        <w:t>与</w:t>
      </w:r>
      <w:r>
        <w:rPr>
          <w:rFonts w:hint="eastAsia" w:ascii="楷体_GB2312" w:hAnsi="宋体" w:eastAsia="楷体"/>
          <w:sz w:val="28"/>
          <w:szCs w:val="28"/>
          <w:highlight w:val="none"/>
          <w:lang w:val="en-US" w:eastAsia="zh-CN"/>
        </w:rPr>
        <w:t>和旺街</w:t>
      </w:r>
      <w:r>
        <w:rPr>
          <w:rFonts w:hint="eastAsia" w:ascii="楷体_GB2312" w:hAnsi="宋体" w:eastAsia="楷体"/>
          <w:sz w:val="28"/>
          <w:szCs w:val="28"/>
          <w:highlight w:val="none"/>
        </w:rPr>
        <w:t>交汇处</w:t>
      </w:r>
      <w:r>
        <w:rPr>
          <w:rFonts w:hint="eastAsia" w:ascii="楷体_GB2312" w:hAnsi="宋体" w:eastAsia="楷体"/>
          <w:sz w:val="28"/>
          <w:szCs w:val="28"/>
          <w:highlight w:val="none"/>
          <w:lang w:val="en-US" w:eastAsia="zh-CN"/>
        </w:rPr>
        <w:t>西北</w:t>
      </w:r>
      <w:r>
        <w:rPr>
          <w:rFonts w:hint="eastAsia" w:ascii="楷体_GB2312" w:hAnsi="宋体" w:eastAsia="楷体"/>
          <w:sz w:val="28"/>
          <w:szCs w:val="28"/>
          <w:highlight w:val="none"/>
        </w:rPr>
        <w:t>侧</w:t>
      </w:r>
      <w:r>
        <w:rPr>
          <w:rFonts w:hint="eastAsia" w:ascii="楷体_GB2312" w:hAnsi="宋体" w:eastAsia="楷体"/>
          <w:sz w:val="28"/>
          <w:szCs w:val="28"/>
          <w:highlight w:val="none"/>
          <w:lang w:eastAsia="zh-CN"/>
        </w:rPr>
        <w:t>。</w:t>
      </w:r>
    </w:p>
    <w:p>
      <w:pPr>
        <w:keepNext w:val="0"/>
        <w:keepLines w:val="0"/>
        <w:pageBreakBefore w:val="0"/>
        <w:widowControl w:val="0"/>
        <w:kinsoku/>
        <w:wordWrap/>
        <w:overflowPunct/>
        <w:topLinePunct w:val="0"/>
        <w:autoSpaceDE w:val="0"/>
        <w:autoSpaceDN/>
        <w:bidi w:val="0"/>
        <w:adjustRightInd/>
        <w:spacing w:line="630" w:lineRule="exact"/>
        <w:ind w:firstLine="560" w:firstLineChars="200"/>
        <w:jc w:val="left"/>
        <w:textAlignment w:val="bottom"/>
        <w:rPr>
          <w:rFonts w:ascii="楷体_GB2312" w:hAnsi="宋体" w:eastAsia="楷体"/>
          <w:sz w:val="28"/>
          <w:szCs w:val="28"/>
          <w:highlight w:val="none"/>
        </w:rPr>
      </w:pPr>
      <w:r>
        <w:rPr>
          <w:rFonts w:hint="eastAsia" w:ascii="楷体_GB2312" w:hAnsi="宋体" w:eastAsia="楷体"/>
          <w:sz w:val="28"/>
          <w:szCs w:val="28"/>
          <w:highlight w:val="none"/>
        </w:rPr>
        <w:t>2.交通状况</w:t>
      </w:r>
    </w:p>
    <w:p>
      <w:pPr>
        <w:keepNext w:val="0"/>
        <w:keepLines w:val="0"/>
        <w:pageBreakBefore w:val="0"/>
        <w:widowControl w:val="0"/>
        <w:kinsoku/>
        <w:wordWrap/>
        <w:overflowPunct/>
        <w:topLinePunct w:val="0"/>
        <w:autoSpaceDN/>
        <w:bidi w:val="0"/>
        <w:adjustRightInd/>
        <w:spacing w:line="630" w:lineRule="exact"/>
        <w:ind w:firstLine="560" w:firstLineChars="200"/>
        <w:rPr>
          <w:rFonts w:ascii="楷体" w:hAnsi="楷体" w:eastAsia="楷体"/>
          <w:sz w:val="28"/>
          <w:highlight w:val="none"/>
        </w:rPr>
      </w:pPr>
      <w:r>
        <w:rPr>
          <w:rFonts w:hint="eastAsia" w:ascii="楷体" w:hAnsi="楷体" w:eastAsia="楷体"/>
          <w:sz w:val="28"/>
          <w:highlight w:val="none"/>
        </w:rPr>
        <w:t>估价对象附近有</w:t>
      </w:r>
      <w:r>
        <w:rPr>
          <w:rFonts w:hint="eastAsia" w:ascii="楷体_GB2312" w:hAnsi="宋体" w:eastAsia="楷体"/>
          <w:sz w:val="28"/>
          <w:szCs w:val="28"/>
          <w:highlight w:val="none"/>
          <w:lang w:val="en-US" w:eastAsia="zh-CN"/>
        </w:rPr>
        <w:t>仁河大道</w:t>
      </w:r>
      <w:r>
        <w:rPr>
          <w:rFonts w:hint="eastAsia" w:ascii="楷体" w:hAnsi="楷体" w:eastAsia="楷体"/>
          <w:sz w:val="28"/>
          <w:highlight w:val="none"/>
        </w:rPr>
        <w:t>、</w:t>
      </w:r>
      <w:r>
        <w:rPr>
          <w:rFonts w:hint="eastAsia" w:ascii="楷体_GB2312" w:hAnsi="宋体" w:eastAsia="楷体"/>
          <w:sz w:val="28"/>
          <w:szCs w:val="28"/>
          <w:highlight w:val="none"/>
          <w:lang w:val="en-US" w:eastAsia="zh-CN"/>
        </w:rPr>
        <w:t>和旺街</w:t>
      </w:r>
      <w:r>
        <w:rPr>
          <w:rFonts w:hint="eastAsia" w:ascii="楷体" w:hAnsi="楷体" w:eastAsia="楷体"/>
          <w:sz w:val="28"/>
          <w:highlight w:val="none"/>
        </w:rPr>
        <w:t>、</w:t>
      </w:r>
      <w:r>
        <w:rPr>
          <w:rFonts w:hint="eastAsia" w:eastAsia="楷体"/>
          <w:sz w:val="28"/>
          <w:highlight w:val="none"/>
          <w:lang w:val="en-US" w:eastAsia="zh-CN"/>
        </w:rPr>
        <w:t>运溪路</w:t>
      </w:r>
      <w:r>
        <w:rPr>
          <w:rFonts w:hint="eastAsia" w:ascii="楷体" w:hAnsi="楷体" w:eastAsia="楷体"/>
          <w:sz w:val="28"/>
          <w:highlight w:val="none"/>
        </w:rPr>
        <w:t>等城市主次道路，交通便利度较高。估价对象所在区域附近有438M路</w:t>
      </w:r>
      <w:r>
        <w:rPr>
          <w:rFonts w:hint="eastAsia" w:ascii="楷体" w:hAnsi="楷体" w:eastAsia="楷体"/>
          <w:sz w:val="28"/>
          <w:highlight w:val="none"/>
          <w:lang w:eastAsia="zh-CN"/>
        </w:rPr>
        <w:t>、</w:t>
      </w:r>
      <w:r>
        <w:rPr>
          <w:rFonts w:hint="eastAsia" w:ascii="楷体" w:hAnsi="楷体" w:eastAsia="楷体"/>
          <w:sz w:val="28"/>
          <w:highlight w:val="none"/>
        </w:rPr>
        <w:t>487M路</w:t>
      </w:r>
      <w:r>
        <w:rPr>
          <w:rFonts w:hint="eastAsia" w:ascii="楷体" w:hAnsi="楷体" w:eastAsia="楷体"/>
          <w:sz w:val="28"/>
          <w:highlight w:val="none"/>
          <w:lang w:eastAsia="zh-CN"/>
        </w:rPr>
        <w:t>、</w:t>
      </w:r>
      <w:r>
        <w:rPr>
          <w:rFonts w:hint="eastAsia" w:ascii="楷体" w:hAnsi="楷体" w:eastAsia="楷体"/>
          <w:sz w:val="28"/>
          <w:highlight w:val="none"/>
        </w:rPr>
        <w:t>578路</w:t>
      </w:r>
      <w:r>
        <w:rPr>
          <w:rFonts w:hint="eastAsia" w:ascii="楷体" w:hAnsi="楷体" w:eastAsia="楷体"/>
          <w:sz w:val="28"/>
          <w:highlight w:val="none"/>
          <w:lang w:eastAsia="zh-CN"/>
        </w:rPr>
        <w:t>、</w:t>
      </w:r>
      <w:r>
        <w:rPr>
          <w:rFonts w:hint="eastAsia" w:ascii="楷体" w:hAnsi="楷体" w:eastAsia="楷体"/>
          <w:sz w:val="28"/>
          <w:highlight w:val="none"/>
        </w:rPr>
        <w:t>2531路</w:t>
      </w:r>
      <w:r>
        <w:rPr>
          <w:rFonts w:hint="eastAsia" w:ascii="楷体" w:hAnsi="楷体" w:eastAsia="楷体"/>
          <w:sz w:val="28"/>
          <w:highlight w:val="none"/>
          <w:lang w:eastAsia="zh-CN"/>
        </w:rPr>
        <w:t>、</w:t>
      </w:r>
      <w:r>
        <w:rPr>
          <w:rFonts w:hint="eastAsia" w:ascii="楷体" w:hAnsi="楷体" w:eastAsia="楷体"/>
          <w:sz w:val="28"/>
          <w:highlight w:val="none"/>
        </w:rPr>
        <w:t>2533路等多条公交线路设有停靠站点，公共交通便捷度高，停车方便程度较好。</w:t>
      </w:r>
    </w:p>
    <w:p>
      <w:pPr>
        <w:keepNext w:val="0"/>
        <w:keepLines w:val="0"/>
        <w:pageBreakBefore w:val="0"/>
        <w:widowControl w:val="0"/>
        <w:kinsoku/>
        <w:wordWrap/>
        <w:overflowPunct/>
        <w:topLinePunct w:val="0"/>
        <w:autoSpaceDE w:val="0"/>
        <w:autoSpaceDN/>
        <w:bidi w:val="0"/>
        <w:adjustRightInd/>
        <w:spacing w:line="630" w:lineRule="exact"/>
        <w:ind w:firstLine="560" w:firstLineChars="200"/>
        <w:jc w:val="left"/>
        <w:textAlignment w:val="bottom"/>
        <w:rPr>
          <w:rFonts w:ascii="楷体_GB2312" w:hAnsi="宋体" w:eastAsia="楷体"/>
          <w:sz w:val="28"/>
          <w:szCs w:val="28"/>
          <w:highlight w:val="none"/>
        </w:rPr>
      </w:pPr>
      <w:r>
        <w:rPr>
          <w:rFonts w:hint="eastAsia" w:ascii="楷体_GB2312" w:hAnsi="宋体" w:eastAsia="楷体"/>
          <w:sz w:val="28"/>
          <w:szCs w:val="28"/>
          <w:highlight w:val="none"/>
        </w:rPr>
        <w:t>3.基础配套设施</w:t>
      </w:r>
    </w:p>
    <w:p>
      <w:pPr>
        <w:keepNext w:val="0"/>
        <w:keepLines w:val="0"/>
        <w:pageBreakBefore w:val="0"/>
        <w:widowControl w:val="0"/>
        <w:kinsoku/>
        <w:wordWrap/>
        <w:overflowPunct/>
        <w:topLinePunct w:val="0"/>
        <w:autoSpaceDE w:val="0"/>
        <w:autoSpaceDN/>
        <w:bidi w:val="0"/>
        <w:adjustRightInd/>
        <w:spacing w:line="630" w:lineRule="exact"/>
        <w:ind w:firstLine="560" w:firstLineChars="200"/>
        <w:jc w:val="left"/>
        <w:textAlignment w:val="bottom"/>
        <w:rPr>
          <w:rFonts w:hint="eastAsia" w:ascii="楷体_GB2312" w:hAnsi="宋体" w:eastAsia="楷体"/>
          <w:sz w:val="28"/>
          <w:szCs w:val="28"/>
          <w:highlight w:val="none"/>
        </w:rPr>
      </w:pPr>
      <w:r>
        <w:rPr>
          <w:rFonts w:hint="eastAsia" w:ascii="楷体_GB2312" w:hAnsi="宋体" w:eastAsia="楷体"/>
          <w:sz w:val="28"/>
          <w:szCs w:val="28"/>
          <w:highlight w:val="none"/>
        </w:rPr>
        <w:t>估价对象所在区域具备了以通路、通上水、通下水、通电、通讯、通燃气及场地平整、地上有建筑物为主的“六通一平”基础设施条件，基础配套设施齐全。</w:t>
      </w:r>
    </w:p>
    <w:p>
      <w:pPr>
        <w:keepNext w:val="0"/>
        <w:keepLines w:val="0"/>
        <w:pageBreakBefore w:val="0"/>
        <w:widowControl w:val="0"/>
        <w:kinsoku/>
        <w:wordWrap/>
        <w:overflowPunct/>
        <w:topLinePunct w:val="0"/>
        <w:autoSpaceDE w:val="0"/>
        <w:autoSpaceDN/>
        <w:bidi w:val="0"/>
        <w:adjustRightInd/>
        <w:spacing w:line="630" w:lineRule="exact"/>
        <w:ind w:firstLine="560" w:firstLineChars="200"/>
        <w:jc w:val="left"/>
        <w:textAlignment w:val="bottom"/>
        <w:rPr>
          <w:rFonts w:ascii="楷体_GB2312" w:hAnsi="宋体" w:eastAsia="楷体"/>
          <w:sz w:val="28"/>
          <w:szCs w:val="28"/>
          <w:highlight w:val="none"/>
        </w:rPr>
      </w:pPr>
      <w:r>
        <w:rPr>
          <w:rFonts w:hint="eastAsia" w:ascii="楷体_GB2312" w:hAnsi="宋体" w:eastAsia="楷体"/>
          <w:sz w:val="28"/>
          <w:szCs w:val="28"/>
          <w:highlight w:val="none"/>
        </w:rPr>
        <w:t>4.公共服务设施</w:t>
      </w:r>
    </w:p>
    <w:p>
      <w:pPr>
        <w:keepNext w:val="0"/>
        <w:keepLines w:val="0"/>
        <w:pageBreakBefore w:val="0"/>
        <w:widowControl w:val="0"/>
        <w:kinsoku/>
        <w:wordWrap/>
        <w:overflowPunct/>
        <w:topLinePunct w:val="0"/>
        <w:autoSpaceDE w:val="0"/>
        <w:autoSpaceDN/>
        <w:bidi w:val="0"/>
        <w:adjustRightInd/>
        <w:spacing w:line="630" w:lineRule="exact"/>
        <w:ind w:firstLine="560" w:firstLineChars="200"/>
        <w:jc w:val="left"/>
        <w:textAlignment w:val="bottom"/>
        <w:rPr>
          <w:rFonts w:ascii="楷体_GB2312" w:hAnsi="宋体" w:eastAsia="楷体"/>
          <w:w w:val="98"/>
          <w:sz w:val="28"/>
          <w:szCs w:val="28"/>
          <w:highlight w:val="none"/>
        </w:rPr>
      </w:pPr>
      <w:r>
        <w:rPr>
          <w:rFonts w:hint="eastAsia" w:ascii="楷体_GB2312" w:hAnsi="宋体" w:eastAsia="楷体"/>
          <w:sz w:val="28"/>
          <w:szCs w:val="28"/>
          <w:highlight w:val="none"/>
        </w:rPr>
        <w:t>估价对象所在区域附近有杭州市余杭区仁和第一幼儿园(獐山园区)</w:t>
      </w:r>
      <w:r>
        <w:rPr>
          <w:rFonts w:hint="eastAsia" w:ascii="楷体_GB2312" w:hAnsi="宋体" w:eastAsia="楷体"/>
          <w:sz w:val="28"/>
          <w:szCs w:val="28"/>
          <w:highlight w:val="none"/>
          <w:lang w:eastAsia="zh-CN"/>
        </w:rPr>
        <w:t>、杭州妙乐卡凯利达幼儿园、</w:t>
      </w:r>
      <w:r>
        <w:rPr>
          <w:rFonts w:hint="eastAsia" w:ascii="楷体_GB2312" w:hAnsi="宋体" w:eastAsia="楷体"/>
          <w:sz w:val="28"/>
          <w:szCs w:val="28"/>
          <w:highlight w:val="none"/>
        </w:rPr>
        <w:t>仁和中心小学、仁和中学</w:t>
      </w:r>
      <w:r>
        <w:rPr>
          <w:rFonts w:hint="eastAsia" w:ascii="楷体_GB2312" w:hAnsi="宋体" w:eastAsia="楷体"/>
          <w:sz w:val="28"/>
          <w:szCs w:val="28"/>
          <w:highlight w:val="none"/>
          <w:lang w:eastAsia="zh-CN"/>
        </w:rPr>
        <w:t>、</w:t>
      </w:r>
      <w:r>
        <w:rPr>
          <w:rFonts w:hint="eastAsia" w:ascii="楷体_GB2312" w:hAnsi="宋体" w:eastAsia="楷体"/>
          <w:sz w:val="28"/>
          <w:szCs w:val="28"/>
          <w:highlight w:val="none"/>
        </w:rPr>
        <w:t>新理想高级中学</w:t>
      </w:r>
      <w:r>
        <w:rPr>
          <w:rFonts w:hint="eastAsia" w:ascii="楷体_GB2312" w:hAnsi="宋体" w:eastAsia="楷体"/>
          <w:sz w:val="28"/>
          <w:szCs w:val="28"/>
          <w:highlight w:val="none"/>
          <w:lang w:eastAsia="zh-CN"/>
        </w:rPr>
        <w:t>、</w:t>
      </w:r>
      <w:r>
        <w:rPr>
          <w:rFonts w:hint="eastAsia" w:ascii="楷体_GB2312" w:hAnsi="宋体" w:eastAsia="楷体"/>
          <w:sz w:val="28"/>
          <w:szCs w:val="28"/>
          <w:highlight w:val="none"/>
        </w:rPr>
        <w:t>余杭区仁和街道社区卫生服务中心等公共服务配套设施，公共服务设施配套较完善。</w:t>
      </w:r>
    </w:p>
    <w:p>
      <w:pPr>
        <w:keepNext w:val="0"/>
        <w:keepLines w:val="0"/>
        <w:pageBreakBefore w:val="0"/>
        <w:widowControl w:val="0"/>
        <w:kinsoku/>
        <w:wordWrap/>
        <w:overflowPunct/>
        <w:topLinePunct w:val="0"/>
        <w:autoSpaceDE w:val="0"/>
        <w:autoSpaceDN/>
        <w:bidi w:val="0"/>
        <w:adjustRightInd/>
        <w:spacing w:line="630" w:lineRule="exact"/>
        <w:ind w:firstLine="560" w:firstLineChars="200"/>
        <w:jc w:val="left"/>
        <w:textAlignment w:val="bottom"/>
        <w:rPr>
          <w:rFonts w:ascii="楷体_GB2312" w:hAnsi="宋体" w:eastAsia="楷体"/>
          <w:sz w:val="28"/>
          <w:szCs w:val="28"/>
          <w:highlight w:val="none"/>
        </w:rPr>
      </w:pPr>
      <w:r>
        <w:rPr>
          <w:rFonts w:hint="eastAsia" w:ascii="楷体_GB2312" w:hAnsi="宋体" w:eastAsia="楷体"/>
          <w:sz w:val="28"/>
          <w:szCs w:val="28"/>
          <w:highlight w:val="none"/>
        </w:rPr>
        <w:t>5.居住氛围及商业繁华程度</w:t>
      </w:r>
    </w:p>
    <w:p>
      <w:pPr>
        <w:keepNext w:val="0"/>
        <w:keepLines w:val="0"/>
        <w:pageBreakBefore w:val="0"/>
        <w:widowControl w:val="0"/>
        <w:kinsoku/>
        <w:wordWrap/>
        <w:overflowPunct/>
        <w:topLinePunct w:val="0"/>
        <w:autoSpaceDE w:val="0"/>
        <w:autoSpaceDN/>
        <w:bidi w:val="0"/>
        <w:adjustRightInd/>
        <w:spacing w:line="630" w:lineRule="exact"/>
        <w:ind w:firstLine="560" w:firstLineChars="200"/>
        <w:jc w:val="left"/>
        <w:textAlignment w:val="bottom"/>
        <w:rPr>
          <w:rFonts w:hint="eastAsia" w:ascii="楷体_GB2312" w:hAnsi="宋体" w:eastAsia="楷体"/>
          <w:sz w:val="28"/>
          <w:szCs w:val="28"/>
          <w:highlight w:val="none"/>
        </w:rPr>
      </w:pPr>
      <w:r>
        <w:rPr>
          <w:rFonts w:hint="eastAsia" w:ascii="楷体_GB2312" w:hAnsi="宋体" w:eastAsia="楷体"/>
          <w:sz w:val="28"/>
          <w:szCs w:val="28"/>
          <w:highlight w:val="none"/>
        </w:rPr>
        <w:t>估价对象附近有金鼎阳光公寓、和平雅苑、仁和渔港嘉园</w:t>
      </w:r>
      <w:r>
        <w:rPr>
          <w:rFonts w:hint="eastAsia" w:ascii="楷体_GB2312" w:hAnsi="宋体" w:eastAsia="楷体"/>
          <w:sz w:val="28"/>
          <w:szCs w:val="28"/>
          <w:highlight w:val="none"/>
          <w:lang w:eastAsia="zh-CN"/>
        </w:rPr>
        <w:t>、仁良花苑</w:t>
      </w:r>
      <w:r>
        <w:rPr>
          <w:rFonts w:hint="eastAsia" w:ascii="楷体_GB2312" w:hAnsi="宋体" w:eastAsia="楷体"/>
          <w:sz w:val="28"/>
          <w:szCs w:val="28"/>
          <w:highlight w:val="none"/>
        </w:rPr>
        <w:t>等住宅小区，居住氛围较浓厚。估价对象附近有余杭区农村商业银行(仁河支行)、中国农业银行(杭州仁和支行)等金融网点，有好亿购生活街区(仁和店)等购物场所，商业氛围</w:t>
      </w:r>
      <w:r>
        <w:rPr>
          <w:rFonts w:hint="eastAsia" w:ascii="楷体_GB2312" w:hAnsi="宋体" w:eastAsia="楷体"/>
          <w:sz w:val="28"/>
          <w:szCs w:val="28"/>
          <w:highlight w:val="none"/>
          <w:lang w:val="en-US" w:eastAsia="zh-CN"/>
        </w:rPr>
        <w:t>一般</w:t>
      </w:r>
      <w:r>
        <w:rPr>
          <w:rFonts w:hint="eastAsia" w:ascii="楷体_GB2312" w:hAnsi="宋体" w:eastAsia="楷体"/>
          <w:sz w:val="28"/>
          <w:szCs w:val="28"/>
          <w:highlight w:val="none"/>
        </w:rPr>
        <w:t>。</w:t>
      </w:r>
    </w:p>
    <w:p>
      <w:pPr>
        <w:keepNext w:val="0"/>
        <w:keepLines w:val="0"/>
        <w:pageBreakBefore w:val="0"/>
        <w:widowControl w:val="0"/>
        <w:kinsoku/>
        <w:wordWrap/>
        <w:overflowPunct/>
        <w:topLinePunct w:val="0"/>
        <w:autoSpaceDE w:val="0"/>
        <w:autoSpaceDN/>
        <w:bidi w:val="0"/>
        <w:adjustRightInd/>
        <w:spacing w:line="630" w:lineRule="exact"/>
        <w:ind w:firstLine="560" w:firstLineChars="200"/>
        <w:jc w:val="left"/>
        <w:textAlignment w:val="bottom"/>
        <w:rPr>
          <w:rFonts w:ascii="楷体_GB2312" w:hAnsi="宋体" w:eastAsia="楷体"/>
          <w:sz w:val="28"/>
          <w:szCs w:val="28"/>
          <w:highlight w:val="none"/>
        </w:rPr>
      </w:pPr>
      <w:r>
        <w:rPr>
          <w:rFonts w:hint="eastAsia" w:ascii="楷体_GB2312" w:hAnsi="宋体" w:eastAsia="楷体"/>
          <w:sz w:val="28"/>
          <w:szCs w:val="28"/>
          <w:highlight w:val="none"/>
        </w:rPr>
        <w:t>6.环境状况</w:t>
      </w:r>
    </w:p>
    <w:p>
      <w:pPr>
        <w:pStyle w:val="45"/>
        <w:keepNext w:val="0"/>
        <w:keepLines w:val="0"/>
        <w:pageBreakBefore w:val="0"/>
        <w:widowControl w:val="0"/>
        <w:kinsoku/>
        <w:wordWrap/>
        <w:overflowPunct/>
        <w:topLinePunct w:val="0"/>
        <w:autoSpaceDE w:val="0"/>
        <w:autoSpaceDN/>
        <w:bidi w:val="0"/>
        <w:adjustRightInd/>
        <w:spacing w:line="630" w:lineRule="exact"/>
        <w:ind w:firstLineChars="150"/>
        <w:jc w:val="left"/>
        <w:textAlignment w:val="bottom"/>
        <w:rPr>
          <w:rFonts w:ascii="楷体" w:hAnsi="楷体" w:eastAsia="楷体" w:cs="楷体"/>
          <w:sz w:val="28"/>
          <w:highlight w:val="none"/>
        </w:rPr>
      </w:pPr>
      <w:bookmarkStart w:id="64" w:name="_Toc11822"/>
      <w:bookmarkStart w:id="65" w:name="_Toc4218"/>
      <w:bookmarkStart w:id="66" w:name="_Toc451175951"/>
      <w:r>
        <w:rPr>
          <w:rFonts w:hint="eastAsia" w:ascii="楷体_GB2312" w:hAnsi="宋体" w:eastAsia="楷体"/>
          <w:sz w:val="28"/>
          <w:szCs w:val="28"/>
          <w:highlight w:val="none"/>
        </w:rPr>
        <w:t>估价对象所在区域整体环境较好，自然环境较好；所在区域治安状况较好，人文环境较好。</w:t>
      </w:r>
    </w:p>
    <w:p>
      <w:pPr>
        <w:pStyle w:val="3"/>
        <w:keepNext/>
        <w:keepLines/>
        <w:pageBreakBefore w:val="0"/>
        <w:widowControl w:val="0"/>
        <w:numPr>
          <w:ilvl w:val="0"/>
          <w:numId w:val="5"/>
        </w:numPr>
        <w:kinsoku/>
        <w:wordWrap/>
        <w:overflowPunct/>
        <w:topLinePunct w:val="0"/>
        <w:autoSpaceDE/>
        <w:autoSpaceDN/>
        <w:bidi w:val="0"/>
        <w:adjustRightInd/>
        <w:snapToGrid w:val="0"/>
        <w:spacing w:before="0" w:beforeLines="50" w:after="0" w:afterLines="50" w:line="630" w:lineRule="exact"/>
        <w:ind w:left="720"/>
        <w:textAlignment w:val="auto"/>
        <w:rPr>
          <w:highlight w:val="none"/>
        </w:rPr>
      </w:pPr>
      <w:bookmarkStart w:id="67" w:name="_Toc14512"/>
      <w:r>
        <w:rPr>
          <w:rFonts w:hint="eastAsia"/>
          <w:highlight w:val="none"/>
        </w:rPr>
        <w:t>价值时点</w:t>
      </w:r>
      <w:bookmarkEnd w:id="64"/>
      <w:bookmarkEnd w:id="65"/>
      <w:bookmarkEnd w:id="66"/>
      <w:bookmarkEnd w:id="67"/>
    </w:p>
    <w:p>
      <w:pPr>
        <w:keepNext w:val="0"/>
        <w:keepLines w:val="0"/>
        <w:pageBreakBefore w:val="0"/>
        <w:widowControl w:val="0"/>
        <w:kinsoku/>
        <w:wordWrap/>
        <w:overflowPunct/>
        <w:topLinePunct w:val="0"/>
        <w:autoSpaceDE/>
        <w:autoSpaceDN/>
        <w:bidi w:val="0"/>
        <w:adjustRightInd w:val="0"/>
        <w:snapToGrid w:val="0"/>
        <w:spacing w:line="630" w:lineRule="exact"/>
        <w:ind w:left="573"/>
        <w:textAlignment w:val="auto"/>
        <w:rPr>
          <w:rFonts w:hint="eastAsia" w:eastAsia="楷体"/>
          <w:sz w:val="28"/>
          <w:highlight w:val="none"/>
        </w:rPr>
      </w:pPr>
      <w:r>
        <w:rPr>
          <w:rFonts w:hint="eastAsia" w:eastAsia="楷体"/>
          <w:sz w:val="28"/>
          <w:highlight w:val="none"/>
          <w:lang w:eastAsia="zh-CN"/>
        </w:rPr>
        <w:t>二Ο二二年七月二十五日</w:t>
      </w:r>
      <w:r>
        <w:rPr>
          <w:rFonts w:hint="eastAsia" w:eastAsia="楷体"/>
          <w:sz w:val="28"/>
          <w:highlight w:val="none"/>
        </w:rPr>
        <w:t>（实地查勘之日）。</w:t>
      </w:r>
    </w:p>
    <w:p>
      <w:pPr>
        <w:bidi w:val="0"/>
        <w:rPr>
          <w:rFonts w:hint="eastAsia" w:ascii="Times New Roman" w:hAnsi="Times New Roman" w:eastAsia="宋体" w:cs="Times New Roman"/>
          <w:kern w:val="2"/>
          <w:sz w:val="21"/>
          <w:szCs w:val="24"/>
          <w:highlight w:val="none"/>
          <w:lang w:val="en-US" w:eastAsia="zh-CN" w:bidi="ar-SA"/>
        </w:rPr>
      </w:pPr>
    </w:p>
    <w:p>
      <w:pPr>
        <w:pStyle w:val="3"/>
        <w:keepNext/>
        <w:keepLines/>
        <w:pageBreakBefore w:val="0"/>
        <w:widowControl w:val="0"/>
        <w:numPr>
          <w:ilvl w:val="0"/>
          <w:numId w:val="5"/>
        </w:numPr>
        <w:kinsoku/>
        <w:wordWrap/>
        <w:overflowPunct/>
        <w:topLinePunct w:val="0"/>
        <w:autoSpaceDE/>
        <w:autoSpaceDN/>
        <w:bidi w:val="0"/>
        <w:adjustRightInd/>
        <w:snapToGrid w:val="0"/>
        <w:spacing w:before="0" w:beforeLines="50" w:after="0" w:afterLines="50" w:line="630" w:lineRule="exact"/>
        <w:ind w:left="720"/>
        <w:textAlignment w:val="auto"/>
        <w:rPr>
          <w:highlight w:val="none"/>
        </w:rPr>
      </w:pPr>
      <w:bookmarkStart w:id="68" w:name="_Toc32275"/>
      <w:bookmarkStart w:id="69" w:name="_Toc451175952"/>
      <w:bookmarkStart w:id="70" w:name="_Toc7054"/>
      <w:bookmarkStart w:id="71" w:name="_Toc14483"/>
      <w:r>
        <w:rPr>
          <w:rFonts w:hint="eastAsia"/>
          <w:highlight w:val="none"/>
        </w:rPr>
        <w:t>价值类型</w:t>
      </w:r>
      <w:bookmarkEnd w:id="68"/>
      <w:bookmarkEnd w:id="69"/>
      <w:bookmarkEnd w:id="70"/>
      <w:bookmarkEnd w:id="71"/>
    </w:p>
    <w:p>
      <w:pPr>
        <w:pStyle w:val="45"/>
        <w:spacing w:line="630" w:lineRule="exact"/>
        <w:ind w:firstLine="560"/>
        <w:rPr>
          <w:highlight w:val="none"/>
        </w:rPr>
      </w:pPr>
      <w:bookmarkStart w:id="72" w:name="_Toc451175953"/>
      <w:bookmarkStart w:id="73" w:name="_Toc31480"/>
      <w:bookmarkStart w:id="74" w:name="_Toc712"/>
      <w:r>
        <w:rPr>
          <w:rFonts w:hint="eastAsia" w:ascii="宋体" w:eastAsia="楷体"/>
          <w:sz w:val="28"/>
          <w:highlight w:val="none"/>
        </w:rPr>
        <w:t>房地产市场价值是在公开市场上最可能形成的价格，公开市场指在该市场上交易双方进行交易的目的在于最大限度地追求经济效益，并掌握必要的市场信息，有较充裕的时间进行交易，对交易对象具有必要的专业知识，交易条件公开并不具有排它性。</w:t>
      </w:r>
    </w:p>
    <w:p>
      <w:pPr>
        <w:pStyle w:val="3"/>
        <w:keepNext/>
        <w:keepLines/>
        <w:pageBreakBefore w:val="0"/>
        <w:widowControl w:val="0"/>
        <w:numPr>
          <w:ilvl w:val="0"/>
          <w:numId w:val="5"/>
        </w:numPr>
        <w:kinsoku/>
        <w:wordWrap/>
        <w:overflowPunct/>
        <w:topLinePunct w:val="0"/>
        <w:autoSpaceDE/>
        <w:autoSpaceDN/>
        <w:bidi w:val="0"/>
        <w:adjustRightInd/>
        <w:snapToGrid w:val="0"/>
        <w:spacing w:before="0" w:beforeLines="50" w:after="0" w:afterLines="50" w:line="630" w:lineRule="exact"/>
        <w:ind w:left="720"/>
        <w:textAlignment w:val="auto"/>
        <w:rPr>
          <w:highlight w:val="none"/>
        </w:rPr>
      </w:pPr>
      <w:bookmarkStart w:id="75" w:name="_Toc14677"/>
      <w:r>
        <w:rPr>
          <w:rFonts w:hint="eastAsia"/>
          <w:highlight w:val="none"/>
        </w:rPr>
        <w:t>估价原则</w:t>
      </w:r>
      <w:bookmarkEnd w:id="72"/>
      <w:bookmarkEnd w:id="73"/>
      <w:bookmarkEnd w:id="74"/>
      <w:bookmarkEnd w:id="75"/>
    </w:p>
    <w:p>
      <w:pPr>
        <w:spacing w:line="630" w:lineRule="exact"/>
        <w:ind w:firstLine="560" w:firstLineChars="200"/>
        <w:rPr>
          <w:rFonts w:ascii="楷体" w:hAnsi="楷体" w:eastAsia="楷体" w:cs="楷体"/>
          <w:sz w:val="28"/>
          <w:highlight w:val="none"/>
        </w:rPr>
      </w:pPr>
      <w:r>
        <w:rPr>
          <w:rFonts w:hint="eastAsia" w:ascii="楷体" w:hAnsi="楷体" w:eastAsia="楷体" w:cs="楷体"/>
          <w:sz w:val="28"/>
          <w:highlight w:val="none"/>
        </w:rPr>
        <w:t>本次估价遵循独立、客观、公正原则，合法原则，价值时点原则，替代原则，最高最佳利用原则等估价原则。</w:t>
      </w:r>
    </w:p>
    <w:p>
      <w:pPr>
        <w:spacing w:line="630" w:lineRule="exact"/>
        <w:ind w:firstLine="560" w:firstLineChars="200"/>
        <w:rPr>
          <w:rFonts w:ascii="楷体" w:hAnsi="楷体" w:eastAsia="楷体" w:cs="楷体"/>
          <w:sz w:val="28"/>
          <w:highlight w:val="none"/>
        </w:rPr>
      </w:pPr>
      <w:r>
        <w:rPr>
          <w:rFonts w:hint="eastAsia" w:ascii="楷体" w:hAnsi="楷体" w:eastAsia="楷体" w:cs="楷体"/>
          <w:sz w:val="28"/>
          <w:highlight w:val="none"/>
        </w:rPr>
        <w:t>（一）客观、独立、公正原则：要求站在中立的立场上，实事求是、公平正直地评估出对各方估价利害关系人均是公平合理的价值或价格的原则。</w:t>
      </w:r>
    </w:p>
    <w:p>
      <w:pPr>
        <w:spacing w:line="630" w:lineRule="exact"/>
        <w:ind w:firstLine="560" w:firstLineChars="200"/>
        <w:rPr>
          <w:rFonts w:ascii="楷体" w:hAnsi="楷体" w:eastAsia="楷体" w:cs="楷体"/>
          <w:sz w:val="28"/>
          <w:highlight w:val="none"/>
        </w:rPr>
      </w:pPr>
      <w:r>
        <w:rPr>
          <w:rFonts w:hint="eastAsia" w:ascii="楷体" w:hAnsi="楷体" w:eastAsia="楷体" w:cs="楷体"/>
          <w:sz w:val="28"/>
          <w:highlight w:val="none"/>
        </w:rPr>
        <w:t>（二）合法原则：要求估价结果是在依法判定的估价对象状况下的价值或价格的原则。</w:t>
      </w:r>
    </w:p>
    <w:p>
      <w:pPr>
        <w:spacing w:line="630" w:lineRule="exact"/>
        <w:ind w:firstLine="560" w:firstLineChars="200"/>
        <w:rPr>
          <w:rFonts w:ascii="楷体" w:hAnsi="楷体" w:eastAsia="楷体" w:cs="楷体"/>
          <w:sz w:val="28"/>
          <w:highlight w:val="none"/>
        </w:rPr>
      </w:pPr>
      <w:r>
        <w:rPr>
          <w:rFonts w:hint="eastAsia" w:ascii="楷体" w:hAnsi="楷体" w:eastAsia="楷体" w:cs="楷体"/>
          <w:sz w:val="28"/>
          <w:highlight w:val="none"/>
        </w:rPr>
        <w:t>（三）价值时点原则：要求估价结果是在根据估价目的确定的某一特定时间的价值或价格的原则。</w:t>
      </w:r>
    </w:p>
    <w:p>
      <w:pPr>
        <w:spacing w:line="630" w:lineRule="exact"/>
        <w:ind w:firstLine="560" w:firstLineChars="200"/>
        <w:rPr>
          <w:rFonts w:ascii="楷体" w:hAnsi="楷体" w:eastAsia="楷体" w:cs="楷体"/>
          <w:sz w:val="28"/>
          <w:highlight w:val="none"/>
        </w:rPr>
      </w:pPr>
      <w:r>
        <w:rPr>
          <w:rFonts w:hint="eastAsia" w:ascii="楷体" w:hAnsi="楷体" w:eastAsia="楷体" w:cs="楷体"/>
          <w:sz w:val="28"/>
          <w:highlight w:val="none"/>
        </w:rPr>
        <w:t>（四）替代原则：要求估价结果与估价对象的类似房地产在同等条件下的价值或价格偏差在合理范围内的原则。</w:t>
      </w:r>
    </w:p>
    <w:p>
      <w:pPr>
        <w:spacing w:line="630" w:lineRule="exact"/>
        <w:ind w:firstLine="560" w:firstLineChars="200"/>
        <w:rPr>
          <w:rFonts w:ascii="楷体" w:hAnsi="楷体" w:eastAsia="楷体" w:cs="楷体"/>
          <w:sz w:val="28"/>
          <w:highlight w:val="none"/>
        </w:rPr>
      </w:pPr>
      <w:r>
        <w:rPr>
          <w:rFonts w:hint="eastAsia" w:ascii="楷体" w:hAnsi="楷体" w:eastAsia="楷体" w:cs="楷体"/>
          <w:sz w:val="28"/>
          <w:highlight w:val="none"/>
        </w:rPr>
        <w:t>（五）最高最佳利用原则：要求估价结果是在估价对象最高最佳利用状况下的价值或价格的原则。</w:t>
      </w:r>
    </w:p>
    <w:p>
      <w:pPr>
        <w:spacing w:line="630" w:lineRule="exact"/>
        <w:ind w:firstLine="560" w:firstLineChars="200"/>
        <w:rPr>
          <w:rFonts w:ascii="楷体" w:hAnsi="楷体" w:eastAsia="楷体" w:cs="楷体"/>
          <w:sz w:val="28"/>
          <w:highlight w:val="none"/>
        </w:rPr>
      </w:pPr>
      <w:r>
        <w:rPr>
          <w:rFonts w:hint="eastAsia" w:ascii="楷体" w:hAnsi="楷体" w:eastAsia="楷体" w:cs="楷体"/>
          <w:sz w:val="28"/>
          <w:highlight w:val="none"/>
        </w:rPr>
        <w:t>最高最佳利用：房地产在法律上允许、技术上可能、财务上可行并使价值最大的合理、可能的利用，包括最佳的用途、规模、档次等。</w:t>
      </w:r>
    </w:p>
    <w:p>
      <w:pPr>
        <w:pStyle w:val="3"/>
        <w:keepNext/>
        <w:keepLines/>
        <w:pageBreakBefore w:val="0"/>
        <w:widowControl w:val="0"/>
        <w:numPr>
          <w:ilvl w:val="0"/>
          <w:numId w:val="5"/>
        </w:numPr>
        <w:kinsoku/>
        <w:wordWrap/>
        <w:overflowPunct/>
        <w:topLinePunct w:val="0"/>
        <w:autoSpaceDE/>
        <w:autoSpaceDN/>
        <w:bidi w:val="0"/>
        <w:adjustRightInd/>
        <w:snapToGrid w:val="0"/>
        <w:spacing w:before="0" w:beforeLines="50" w:after="0" w:afterLines="50" w:line="630" w:lineRule="exact"/>
        <w:ind w:left="720"/>
        <w:textAlignment w:val="auto"/>
        <w:rPr>
          <w:highlight w:val="none"/>
        </w:rPr>
      </w:pPr>
      <w:bookmarkStart w:id="76" w:name="_Toc23485"/>
      <w:bookmarkStart w:id="77" w:name="_Toc451175954"/>
      <w:bookmarkStart w:id="78" w:name="_Toc18042"/>
      <w:bookmarkStart w:id="79" w:name="_Toc7979"/>
      <w:r>
        <w:rPr>
          <w:rFonts w:hint="eastAsia"/>
          <w:highlight w:val="none"/>
        </w:rPr>
        <w:t>估价依据</w:t>
      </w:r>
      <w:bookmarkEnd w:id="76"/>
      <w:bookmarkEnd w:id="77"/>
      <w:bookmarkEnd w:id="78"/>
      <w:bookmarkEnd w:id="79"/>
    </w:p>
    <w:p>
      <w:pPr>
        <w:numPr>
          <w:ilvl w:val="0"/>
          <w:numId w:val="7"/>
        </w:numPr>
        <w:autoSpaceDE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《中华人民共和国民法典》（2020年5月28日第十三届全国人民代表大会第三次会议通过）；</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中华人民共和国城市房地产管理法》（2019年8月26日第十三届全国人民代表大会常务委员会第十二次会议《关于修改&lt;中华人民共和国土地管理法&gt;、&lt;中华人民共和国城市房地产管理法&gt;的决定》第三次修正）；</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《中华人民共和国土地管理法》（2019年8月26日第十三届全国人民代表大会常务委员会第十二次会议《关于修改&lt;中华人民共和国土地管理法&gt;、&lt;中华人民共和国城市房地产管理法&gt;的决定》第三次修正）；</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《中华人民共和国资产评估法》（2016年7月2日中华人民共和国主席令第46号公布）；</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bookmarkStart w:id="80" w:name="_Toc14584"/>
      <w:bookmarkStart w:id="81" w:name="_Toc451175955"/>
      <w:bookmarkStart w:id="82" w:name="_Toc24098"/>
      <w:r>
        <w:rPr>
          <w:rFonts w:hint="eastAsia" w:ascii="楷体" w:hAnsi="楷体" w:eastAsia="楷体" w:cs="楷体"/>
          <w:sz w:val="28"/>
          <w:highlight w:val="none"/>
        </w:rPr>
        <w:t>《中华人民共和国土地管理法实施条例 》（2021年4月21日国务院第132次常务会议修订通过，自2021年9月1日起施行）；</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《不动产登记暂行条例》（2014年11月24日中国人民共和国国务院令第656号发布）;</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《房地产估价规范》GB/T</w:t>
      </w:r>
      <w:r>
        <w:rPr>
          <w:rFonts w:hint="eastAsia" w:ascii="楷体" w:hAnsi="楷体" w:eastAsia="楷体" w:cs="楷体"/>
          <w:sz w:val="28"/>
          <w:highlight w:val="none"/>
          <w:lang w:val="en-US" w:eastAsia="zh-CN"/>
        </w:rPr>
        <w:t xml:space="preserve"> </w:t>
      </w:r>
      <w:r>
        <w:rPr>
          <w:rFonts w:hint="eastAsia" w:ascii="楷体" w:hAnsi="楷体" w:eastAsia="楷体" w:cs="楷体"/>
          <w:sz w:val="28"/>
          <w:highlight w:val="none"/>
        </w:rPr>
        <w:t>50291-2015（2015年4月8日发布，2015年12月1日实施）；</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《房地产估价基本术语标准》GB/T</w:t>
      </w:r>
      <w:r>
        <w:rPr>
          <w:rFonts w:hint="eastAsia" w:ascii="楷体" w:hAnsi="楷体" w:eastAsia="楷体" w:cs="楷体"/>
          <w:sz w:val="28"/>
          <w:highlight w:val="none"/>
          <w:lang w:val="en-US" w:eastAsia="zh-CN"/>
        </w:rPr>
        <w:t xml:space="preserve"> </w:t>
      </w:r>
      <w:r>
        <w:rPr>
          <w:rFonts w:hint="eastAsia" w:ascii="楷体" w:hAnsi="楷体" w:eastAsia="楷体" w:cs="楷体"/>
          <w:sz w:val="28"/>
          <w:highlight w:val="none"/>
        </w:rPr>
        <w:t>50899-2013（2013年6月26日发布，2014年2月1日实施）；</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lang w:eastAsia="zh-CN"/>
        </w:rPr>
        <w:t>《</w:t>
      </w:r>
      <w:r>
        <w:rPr>
          <w:rFonts w:hint="eastAsia" w:ascii="楷体" w:hAnsi="楷体" w:eastAsia="楷体" w:cs="楷体"/>
          <w:sz w:val="28"/>
          <w:highlight w:val="none"/>
          <w:lang w:val="en-US" w:eastAsia="zh-CN"/>
        </w:rPr>
        <w:t>司法鉴定程序通则</w:t>
      </w:r>
      <w:r>
        <w:rPr>
          <w:rFonts w:hint="eastAsia" w:ascii="楷体" w:hAnsi="楷体" w:eastAsia="楷体" w:cs="楷体"/>
          <w:sz w:val="28"/>
          <w:highlight w:val="none"/>
          <w:lang w:eastAsia="zh-CN"/>
        </w:rPr>
        <w:t>》（</w:t>
      </w:r>
      <w:r>
        <w:rPr>
          <w:rFonts w:hint="eastAsia" w:ascii="楷体" w:hAnsi="楷体" w:eastAsia="楷体" w:cs="楷体"/>
          <w:sz w:val="28"/>
          <w:highlight w:val="none"/>
          <w:lang w:val="en-US" w:eastAsia="zh-CN"/>
        </w:rPr>
        <w:t>司法部令第132号</w:t>
      </w:r>
      <w:r>
        <w:rPr>
          <w:rFonts w:hint="eastAsia" w:ascii="楷体" w:hAnsi="楷体" w:eastAsia="楷体" w:cs="楷体"/>
          <w:sz w:val="28"/>
          <w:highlight w:val="none"/>
          <w:lang w:eastAsia="zh-CN"/>
        </w:rPr>
        <w:t>）；</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《最高人民法院关于人民法院确定财产处置参考价若干问题的规定》（法释［2018］15号）；</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《人民法院委托评估工作规范》（法办［2018］273号）；</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hint="eastAsia" w:ascii="楷体" w:hAnsi="楷体" w:eastAsia="楷体" w:cs="楷体"/>
          <w:sz w:val="28"/>
          <w:szCs w:val="28"/>
          <w:highlight w:val="none"/>
          <w:lang w:eastAsia="zh-CN"/>
        </w:rPr>
      </w:pPr>
      <w:r>
        <w:rPr>
          <w:rFonts w:hint="eastAsia" w:ascii="楷体" w:hAnsi="楷体" w:eastAsia="楷体" w:cs="楷体"/>
          <w:sz w:val="28"/>
          <w:highlight w:val="none"/>
        </w:rPr>
        <w:t>《涉</w:t>
      </w:r>
      <w:r>
        <w:rPr>
          <w:rFonts w:hint="eastAsia" w:ascii="楷体" w:hAnsi="楷体" w:eastAsia="楷体" w:cs="楷体"/>
          <w:sz w:val="28"/>
          <w:szCs w:val="28"/>
          <w:highlight w:val="none"/>
        </w:rPr>
        <w:t>执房地产处置司法评估指导意见（试行）》</w:t>
      </w:r>
      <w:r>
        <w:rPr>
          <w:rFonts w:hint="eastAsia" w:ascii="楷体" w:hAnsi="楷体" w:eastAsia="楷体" w:cs="楷体"/>
          <w:sz w:val="28"/>
          <w:szCs w:val="28"/>
          <w:highlight w:val="none"/>
          <w:lang w:eastAsia="zh-CN"/>
        </w:rPr>
        <w:t>（</w:t>
      </w:r>
      <w:r>
        <w:rPr>
          <w:rFonts w:hint="eastAsia" w:ascii="楷体" w:hAnsi="楷体" w:eastAsia="楷体" w:cs="楷体"/>
          <w:sz w:val="28"/>
          <w:szCs w:val="28"/>
          <w:highlight w:val="none"/>
        </w:rPr>
        <w:t>中房学〔2021〕37号</w:t>
      </w:r>
      <w:r>
        <w:rPr>
          <w:rFonts w:hint="eastAsia" w:ascii="楷体" w:hAnsi="楷体" w:eastAsia="楷体" w:cs="楷体"/>
          <w:sz w:val="28"/>
          <w:szCs w:val="28"/>
          <w:highlight w:val="none"/>
          <w:lang w:eastAsia="zh-CN"/>
        </w:rPr>
        <w:t>）</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szCs w:val="28"/>
          <w:highlight w:val="none"/>
        </w:rPr>
      </w:pPr>
      <w:r>
        <w:rPr>
          <w:rFonts w:hint="eastAsia" w:ascii="楷体" w:hAnsi="楷体" w:eastAsia="楷体" w:cs="楷体"/>
          <w:sz w:val="28"/>
          <w:szCs w:val="28"/>
          <w:highlight w:val="none"/>
        </w:rPr>
        <w:t>《浙江省房地产司法评估指导意见（试行）》（浙估协［2021］3号）；</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《浙江省高级人民法院执行局关于规范不动产网络司法拍卖、变卖工作指引》（浙高法</w:t>
      </w:r>
      <w:r>
        <w:rPr>
          <w:rFonts w:hint="eastAsia" w:ascii="楷体" w:hAnsi="楷体" w:eastAsia="楷体" w:cs="楷体"/>
          <w:sz w:val="28"/>
          <w:highlight w:val="none"/>
          <w:lang w:val="en-US" w:eastAsia="zh-CN"/>
        </w:rPr>
        <w:t>执</w:t>
      </w:r>
      <w:r>
        <w:rPr>
          <w:rFonts w:hint="eastAsia" w:ascii="楷体" w:hAnsi="楷体" w:eastAsia="楷体" w:cs="楷体"/>
          <w:sz w:val="28"/>
          <w:highlight w:val="none"/>
        </w:rPr>
        <w:t>[2020]6号）；</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《房屋完损等级评定标准（试行）》（1984年 城住字[1984]第678号）；</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3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《关于全面推开营业税改征增值税试点的通知》（2016年3月23日中国财政部和国家税务总局联合发布的财税[2016]36号）；</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40" w:lineRule="exact"/>
        <w:ind w:left="0" w:leftChars="0" w:firstLine="420" w:firstLineChars="0"/>
        <w:textAlignment w:val="bottom"/>
        <w:rPr>
          <w:rFonts w:ascii="楷体" w:hAnsi="楷体" w:eastAsia="楷体" w:cs="楷体"/>
          <w:sz w:val="28"/>
          <w:highlight w:val="none"/>
        </w:rPr>
      </w:pPr>
      <w:r>
        <w:rPr>
          <w:rFonts w:hint="eastAsia" w:ascii="楷体" w:hAnsi="楷体" w:eastAsia="楷体" w:cs="楷体"/>
          <w:sz w:val="28"/>
          <w:highlight w:val="none"/>
        </w:rPr>
        <w:t>《关于营改增后契税、房产税、土地增值税、个人所得税计税依据问题的通知》（2016年4月25日 由中国财政部和国家税务总局联合发布的财税[2016]43号）；</w:t>
      </w:r>
    </w:p>
    <w:p>
      <w:pPr>
        <w:keepNext w:val="0"/>
        <w:keepLines w:val="0"/>
        <w:pageBreakBefore w:val="0"/>
        <w:widowControl w:val="0"/>
        <w:numPr>
          <w:ilvl w:val="0"/>
          <w:numId w:val="7"/>
        </w:numPr>
        <w:kinsoku/>
        <w:wordWrap/>
        <w:overflowPunct/>
        <w:topLinePunct w:val="0"/>
        <w:autoSpaceDN/>
        <w:bidi w:val="0"/>
        <w:adjustRightInd w:val="0"/>
        <w:snapToGrid w:val="0"/>
        <w:spacing w:line="640" w:lineRule="exact"/>
        <w:ind w:left="0" w:leftChars="0" w:firstLine="420" w:firstLineChars="0"/>
        <w:rPr>
          <w:rFonts w:ascii="楷体" w:hAnsi="楷体" w:eastAsia="楷体"/>
          <w:sz w:val="28"/>
          <w:highlight w:val="none"/>
        </w:rPr>
      </w:pPr>
      <w:r>
        <w:rPr>
          <w:rFonts w:hint="eastAsia" w:ascii="楷体" w:hAnsi="楷体" w:eastAsia="楷体" w:cs="楷体"/>
          <w:color w:val="000000"/>
          <w:sz w:val="28"/>
          <w:szCs w:val="28"/>
          <w:highlight w:val="none"/>
          <w:lang w:val="en-US" w:eastAsia="zh-CN"/>
        </w:rPr>
        <w:t>（2022）浙0102委评222号《资产评估委托书》</w:t>
      </w:r>
      <w:r>
        <w:rPr>
          <w:rFonts w:hint="eastAsia" w:ascii="楷体" w:hAnsi="楷体" w:eastAsia="楷体"/>
          <w:sz w:val="28"/>
          <w:highlight w:val="none"/>
        </w:rPr>
        <w:t>；</w:t>
      </w:r>
    </w:p>
    <w:p>
      <w:pPr>
        <w:keepNext w:val="0"/>
        <w:keepLines w:val="0"/>
        <w:pageBreakBefore w:val="0"/>
        <w:widowControl w:val="0"/>
        <w:numPr>
          <w:ilvl w:val="0"/>
          <w:numId w:val="7"/>
        </w:numPr>
        <w:kinsoku/>
        <w:wordWrap/>
        <w:overflowPunct/>
        <w:topLinePunct w:val="0"/>
        <w:autoSpaceDN/>
        <w:bidi w:val="0"/>
        <w:adjustRightInd w:val="0"/>
        <w:snapToGrid w:val="0"/>
        <w:spacing w:line="640" w:lineRule="exact"/>
        <w:ind w:left="0" w:leftChars="0" w:firstLine="420" w:firstLineChars="0"/>
        <w:rPr>
          <w:rFonts w:ascii="楷体" w:hAnsi="楷体" w:eastAsia="楷体"/>
          <w:sz w:val="28"/>
          <w:highlight w:val="none"/>
        </w:rPr>
      </w:pPr>
      <w:r>
        <w:rPr>
          <w:rFonts w:hint="eastAsia" w:ascii="楷体" w:hAnsi="楷体" w:eastAsia="楷体"/>
          <w:sz w:val="28"/>
          <w:highlight w:val="none"/>
        </w:rPr>
        <w:t>《</w:t>
      </w:r>
      <w:r>
        <w:rPr>
          <w:rFonts w:hint="eastAsia" w:ascii="楷体" w:hAnsi="楷体" w:eastAsia="楷体"/>
          <w:sz w:val="28"/>
          <w:szCs w:val="28"/>
          <w:highlight w:val="none"/>
        </w:rPr>
        <w:t>杭州市不动产</w:t>
      </w:r>
      <w:r>
        <w:rPr>
          <w:rFonts w:hint="eastAsia" w:ascii="楷体" w:hAnsi="楷体" w:eastAsia="楷体"/>
          <w:sz w:val="28"/>
          <w:szCs w:val="28"/>
          <w:highlight w:val="none"/>
          <w:lang w:val="en-US" w:eastAsia="zh-CN"/>
        </w:rPr>
        <w:t>登记</w:t>
      </w:r>
      <w:r>
        <w:rPr>
          <w:rFonts w:hint="eastAsia" w:ascii="楷体" w:hAnsi="楷体" w:eastAsia="楷体"/>
          <w:sz w:val="28"/>
          <w:szCs w:val="28"/>
          <w:highlight w:val="none"/>
        </w:rPr>
        <w:t>信息查询记录</w:t>
      </w:r>
      <w:r>
        <w:rPr>
          <w:rFonts w:hint="eastAsia" w:ascii="楷体" w:hAnsi="楷体" w:eastAsia="楷体"/>
          <w:sz w:val="28"/>
          <w:highlight w:val="none"/>
        </w:rPr>
        <w:t>》</w:t>
      </w:r>
      <w:r>
        <w:rPr>
          <w:rFonts w:hint="eastAsia" w:ascii="楷体" w:hAnsi="楷体" w:eastAsia="楷体"/>
          <w:sz w:val="28"/>
          <w:highlight w:val="none"/>
          <w:lang w:val="en-US" w:eastAsia="zh-CN"/>
        </w:rPr>
        <w:t>复印件</w:t>
      </w:r>
      <w:r>
        <w:rPr>
          <w:rFonts w:hint="eastAsia" w:ascii="楷体" w:hAnsi="楷体" w:eastAsia="楷体"/>
          <w:sz w:val="28"/>
          <w:highlight w:val="none"/>
        </w:rPr>
        <w:t>；</w:t>
      </w:r>
    </w:p>
    <w:p>
      <w:pPr>
        <w:keepNext w:val="0"/>
        <w:keepLines w:val="0"/>
        <w:pageBreakBefore w:val="0"/>
        <w:widowControl w:val="0"/>
        <w:numPr>
          <w:ilvl w:val="0"/>
          <w:numId w:val="7"/>
        </w:numPr>
        <w:kinsoku/>
        <w:wordWrap/>
        <w:overflowPunct/>
        <w:topLinePunct w:val="0"/>
        <w:autoSpaceDE w:val="0"/>
        <w:autoSpaceDN/>
        <w:bidi w:val="0"/>
        <w:adjustRightInd w:val="0"/>
        <w:snapToGrid w:val="0"/>
        <w:spacing w:line="640" w:lineRule="exact"/>
        <w:ind w:left="0" w:leftChars="0" w:firstLine="420" w:firstLineChars="0"/>
        <w:textAlignment w:val="bottom"/>
        <w:rPr>
          <w:rFonts w:hint="eastAsia" w:ascii="楷体" w:hAnsi="楷体" w:eastAsia="楷体"/>
          <w:w w:val="90"/>
          <w:sz w:val="28"/>
          <w:szCs w:val="22"/>
          <w:highlight w:val="none"/>
          <w:lang w:eastAsia="zh-CN"/>
        </w:rPr>
      </w:pPr>
      <w:r>
        <w:rPr>
          <w:rFonts w:hint="eastAsia" w:ascii="楷体" w:hAnsi="楷体" w:eastAsia="楷体"/>
          <w:w w:val="90"/>
          <w:sz w:val="28"/>
          <w:szCs w:val="22"/>
          <w:highlight w:val="none"/>
        </w:rPr>
        <w:t>注</w:t>
      </w:r>
      <w:r>
        <w:rPr>
          <w:rFonts w:hint="eastAsia" w:ascii="楷体" w:hAnsi="楷体" w:eastAsia="楷体"/>
          <w:w w:val="100"/>
          <w:sz w:val="28"/>
          <w:szCs w:val="22"/>
          <w:highlight w:val="none"/>
        </w:rPr>
        <w:t>册房地产估价师现场查勘、掌握和搜集的有关资</w:t>
      </w:r>
      <w:r>
        <w:rPr>
          <w:rFonts w:hint="eastAsia" w:ascii="楷体" w:hAnsi="楷体" w:eastAsia="楷体"/>
          <w:w w:val="100"/>
          <w:sz w:val="28"/>
          <w:szCs w:val="22"/>
          <w:highlight w:val="none"/>
          <w:lang w:val="en-US" w:eastAsia="zh-CN"/>
        </w:rPr>
        <w:t>料</w:t>
      </w:r>
      <w:r>
        <w:rPr>
          <w:rFonts w:hint="eastAsia" w:ascii="楷体" w:hAnsi="楷体" w:eastAsia="楷体"/>
          <w:w w:val="90"/>
          <w:sz w:val="28"/>
          <w:szCs w:val="22"/>
          <w:highlight w:val="none"/>
          <w:lang w:eastAsia="zh-CN"/>
        </w:rPr>
        <w:t>。</w:t>
      </w:r>
    </w:p>
    <w:p>
      <w:pPr>
        <w:pStyle w:val="3"/>
        <w:keepNext/>
        <w:keepLines/>
        <w:pageBreakBefore w:val="0"/>
        <w:widowControl w:val="0"/>
        <w:numPr>
          <w:ilvl w:val="0"/>
          <w:numId w:val="0"/>
        </w:numPr>
        <w:kinsoku/>
        <w:wordWrap/>
        <w:overflowPunct/>
        <w:topLinePunct w:val="0"/>
        <w:autoSpaceDE/>
        <w:autoSpaceDN/>
        <w:bidi w:val="0"/>
        <w:adjustRightInd/>
        <w:snapToGrid w:val="0"/>
        <w:spacing w:before="0" w:beforeLines="50" w:after="0" w:afterLines="50" w:line="640" w:lineRule="exact"/>
        <w:ind w:leftChars="0"/>
        <w:textAlignment w:val="auto"/>
        <w:rPr>
          <w:b w:val="0"/>
          <w:highlight w:val="none"/>
        </w:rPr>
      </w:pPr>
      <w:bookmarkStart w:id="83" w:name="_Toc21672"/>
      <w:r>
        <w:rPr>
          <w:rFonts w:hint="eastAsia"/>
          <w:b/>
          <w:bCs w:val="0"/>
          <w:highlight w:val="none"/>
          <w:lang w:val="en-US" w:eastAsia="zh-CN"/>
        </w:rPr>
        <w:t>九、</w:t>
      </w:r>
      <w:r>
        <w:rPr>
          <w:rFonts w:hint="eastAsia"/>
          <w:b/>
          <w:bCs w:val="0"/>
          <w:highlight w:val="none"/>
        </w:rPr>
        <w:t>估价方法</w:t>
      </w:r>
      <w:bookmarkEnd w:id="80"/>
      <w:bookmarkEnd w:id="81"/>
      <w:bookmarkEnd w:id="82"/>
      <w:bookmarkEnd w:id="83"/>
    </w:p>
    <w:p>
      <w:pPr>
        <w:keepNext w:val="0"/>
        <w:keepLines w:val="0"/>
        <w:pageBreakBefore w:val="0"/>
        <w:widowControl w:val="0"/>
        <w:kinsoku/>
        <w:wordWrap/>
        <w:overflowPunct/>
        <w:topLinePunct w:val="0"/>
        <w:autoSpaceDE/>
        <w:autoSpaceDN/>
        <w:bidi w:val="0"/>
        <w:adjustRightInd/>
        <w:snapToGrid/>
        <w:spacing w:line="640" w:lineRule="exact"/>
        <w:ind w:firstLine="560" w:firstLineChars="200"/>
        <w:textAlignment w:val="auto"/>
        <w:outlineLvl w:val="9"/>
        <w:rPr>
          <w:rFonts w:ascii="楷体" w:hAnsi="楷体" w:eastAsia="楷体" w:cs="楷体"/>
          <w:sz w:val="28"/>
          <w:highlight w:val="none"/>
        </w:rPr>
      </w:pPr>
      <w:bookmarkStart w:id="84" w:name="_Toc29555"/>
      <w:bookmarkStart w:id="85" w:name="_Toc17836"/>
      <w:r>
        <w:rPr>
          <w:rFonts w:hint="eastAsia" w:ascii="楷体" w:hAnsi="楷体" w:eastAsia="楷体" w:cs="楷体"/>
          <w:sz w:val="28"/>
          <w:highlight w:val="none"/>
        </w:rPr>
        <w:t>（一）估价方法选择</w:t>
      </w:r>
      <w:bookmarkEnd w:id="84"/>
      <w:bookmarkEnd w:id="85"/>
    </w:p>
    <w:p>
      <w:pPr>
        <w:keepNext w:val="0"/>
        <w:keepLines w:val="0"/>
        <w:pageBreakBefore w:val="0"/>
        <w:widowControl w:val="0"/>
        <w:kinsoku/>
        <w:wordWrap/>
        <w:overflowPunct/>
        <w:topLinePunct w:val="0"/>
        <w:autoSpaceDE w:val="0"/>
        <w:autoSpaceDN/>
        <w:bidi w:val="0"/>
        <w:adjustRightInd/>
        <w:snapToGrid/>
        <w:spacing w:line="640" w:lineRule="exact"/>
        <w:ind w:firstLine="560" w:firstLineChars="200"/>
        <w:textAlignment w:val="bottom"/>
        <w:rPr>
          <w:rFonts w:ascii="楷体" w:hAnsi="楷体" w:eastAsia="楷体"/>
          <w:sz w:val="28"/>
          <w:highlight w:val="none"/>
        </w:rPr>
      </w:pPr>
      <w:r>
        <w:rPr>
          <w:rFonts w:hint="eastAsia" w:ascii="楷体" w:hAnsi="楷体" w:eastAsia="楷体"/>
          <w:sz w:val="28"/>
          <w:highlight w:val="none"/>
        </w:rPr>
        <w:t>依照国家行业标准《房地产估价规范》，通常的估价方法有比较法、收益法、假设开发法、成本法等。其中估价对象的同类房地产有较多交易的，应选用比较法；估价对象或其同类房地产通常有租金等经济收益的，应选用收益法；估价对象可假定为独立的开发建设项目进行重新开发建设的宜选用成本法；估价对象具有开发或再开发潜力且开发完成后的价值可采用成本法以外的方法测算的，应选用假设开发法。</w:t>
      </w:r>
    </w:p>
    <w:p>
      <w:pPr>
        <w:keepNext w:val="0"/>
        <w:keepLines w:val="0"/>
        <w:pageBreakBefore w:val="0"/>
        <w:widowControl w:val="0"/>
        <w:kinsoku/>
        <w:wordWrap/>
        <w:overflowPunct/>
        <w:topLinePunct w:val="0"/>
        <w:autoSpaceDE w:val="0"/>
        <w:autoSpaceDN/>
        <w:bidi w:val="0"/>
        <w:adjustRightInd/>
        <w:snapToGrid/>
        <w:spacing w:line="640" w:lineRule="exact"/>
        <w:ind w:firstLine="560" w:firstLineChars="200"/>
        <w:textAlignment w:val="bottom"/>
        <w:rPr>
          <w:rFonts w:ascii="楷体" w:hAnsi="楷体" w:eastAsia="楷体"/>
          <w:sz w:val="28"/>
          <w:highlight w:val="none"/>
        </w:rPr>
      </w:pPr>
      <w:bookmarkStart w:id="86" w:name="_Toc3616"/>
      <w:bookmarkStart w:id="87" w:name="_Toc451175956"/>
      <w:r>
        <w:rPr>
          <w:rFonts w:hint="eastAsia" w:ascii="楷体" w:hAnsi="楷体" w:eastAsia="楷体"/>
          <w:sz w:val="28"/>
          <w:highlight w:val="none"/>
        </w:rPr>
        <w:t>根据估价委托人提供的资料及注册房地产估价师实地查勘、市场调查和了解的政策、规划等有关资料，在遵循估价原则的基础上，深入细致地分析了估价对象的特点和实际状况，采用比较法</w:t>
      </w:r>
      <w:r>
        <w:rPr>
          <w:rFonts w:hint="eastAsia" w:ascii="楷体" w:hAnsi="楷体" w:eastAsia="楷体"/>
          <w:sz w:val="28"/>
          <w:highlight w:val="none"/>
          <w:lang w:val="en-US" w:eastAsia="zh-CN"/>
        </w:rPr>
        <w:t>和收益法</w:t>
      </w:r>
      <w:r>
        <w:rPr>
          <w:rFonts w:hint="eastAsia" w:ascii="楷体" w:hAnsi="楷体" w:eastAsia="楷体"/>
          <w:sz w:val="28"/>
          <w:highlight w:val="none"/>
        </w:rPr>
        <w:t>进行测算分析确定本次估价结果。</w:t>
      </w:r>
    </w:p>
    <w:p>
      <w:pPr>
        <w:keepNext w:val="0"/>
        <w:keepLines w:val="0"/>
        <w:pageBreakBefore w:val="0"/>
        <w:widowControl w:val="0"/>
        <w:kinsoku/>
        <w:wordWrap/>
        <w:overflowPunct/>
        <w:topLinePunct w:val="0"/>
        <w:autoSpaceDN/>
        <w:bidi w:val="0"/>
        <w:adjustRightInd/>
        <w:snapToGrid/>
        <w:spacing w:line="640" w:lineRule="exact"/>
        <w:ind w:firstLine="560" w:firstLineChars="200"/>
        <w:rPr>
          <w:rFonts w:ascii="楷体" w:hAnsi="楷体" w:eastAsia="楷体"/>
          <w:sz w:val="28"/>
          <w:szCs w:val="28"/>
          <w:highlight w:val="none"/>
        </w:rPr>
      </w:pPr>
      <w:r>
        <w:rPr>
          <w:rFonts w:hint="eastAsia" w:ascii="楷体" w:hAnsi="楷体" w:eastAsia="楷体"/>
          <w:sz w:val="28"/>
          <w:szCs w:val="28"/>
          <w:highlight w:val="none"/>
        </w:rPr>
        <w:t>估价对象所在</w:t>
      </w:r>
      <w:r>
        <w:rPr>
          <w:rFonts w:hint="eastAsia" w:ascii="楷体" w:eastAsia="楷体"/>
          <w:sz w:val="28"/>
          <w:szCs w:val="28"/>
          <w:highlight w:val="none"/>
        </w:rPr>
        <w:t>区域住宅</w:t>
      </w:r>
      <w:r>
        <w:rPr>
          <w:rFonts w:hint="eastAsia" w:ascii="楷体" w:hAnsi="楷体" w:eastAsia="楷体"/>
          <w:sz w:val="28"/>
          <w:szCs w:val="28"/>
          <w:highlight w:val="none"/>
        </w:rPr>
        <w:t>房地产市场较活跃，交易量较大，较易取得交易案例，符合比较法的应用条件，因此可采用比较法作为估价方法；</w:t>
      </w:r>
    </w:p>
    <w:p>
      <w:pPr>
        <w:keepNext w:val="0"/>
        <w:keepLines w:val="0"/>
        <w:pageBreakBefore w:val="0"/>
        <w:widowControl w:val="0"/>
        <w:kinsoku/>
        <w:wordWrap/>
        <w:overflowPunct/>
        <w:topLinePunct w:val="0"/>
        <w:autoSpaceDN/>
        <w:bidi w:val="0"/>
        <w:adjustRightInd/>
        <w:snapToGrid/>
        <w:spacing w:line="640" w:lineRule="exact"/>
        <w:ind w:firstLine="560" w:firstLineChars="200"/>
        <w:rPr>
          <w:rFonts w:hint="eastAsia" w:ascii="楷体" w:hAnsi="楷体" w:eastAsia="楷体"/>
          <w:sz w:val="28"/>
          <w:szCs w:val="28"/>
          <w:highlight w:val="none"/>
          <w:lang w:val="en-US" w:eastAsia="zh-CN"/>
        </w:rPr>
      </w:pPr>
      <w:r>
        <w:rPr>
          <w:rFonts w:hint="eastAsia" w:ascii="楷体" w:hAnsi="楷体" w:eastAsia="楷体"/>
          <w:sz w:val="28"/>
          <w:szCs w:val="28"/>
          <w:highlight w:val="none"/>
          <w:lang w:val="en-US" w:eastAsia="zh-CN"/>
        </w:rPr>
        <w:t>估价对象房地产具有潜在收益，可以根据周边类似房地产的收益价格进行相应调整，得出估价对象对应的客观收益，符合收益法的应用条件，可采用收益法作为估价方法；</w:t>
      </w:r>
    </w:p>
    <w:p>
      <w:pPr>
        <w:keepNext w:val="0"/>
        <w:keepLines w:val="0"/>
        <w:pageBreakBefore w:val="0"/>
        <w:widowControl w:val="0"/>
        <w:kinsoku/>
        <w:wordWrap/>
        <w:overflowPunct/>
        <w:topLinePunct w:val="0"/>
        <w:autoSpaceDN/>
        <w:bidi w:val="0"/>
        <w:adjustRightInd/>
        <w:snapToGrid/>
        <w:spacing w:line="630" w:lineRule="exact"/>
        <w:ind w:firstLine="560" w:firstLineChars="200"/>
        <w:rPr>
          <w:rFonts w:hint="default" w:ascii="楷体" w:hAnsi="楷体" w:eastAsia="楷体"/>
          <w:sz w:val="28"/>
          <w:szCs w:val="28"/>
          <w:highlight w:val="none"/>
          <w:lang w:val="en-US" w:eastAsia="zh-CN"/>
        </w:rPr>
      </w:pPr>
      <w:r>
        <w:rPr>
          <w:rFonts w:hint="eastAsia" w:ascii="楷体" w:hAnsi="楷体" w:eastAsia="楷体"/>
          <w:sz w:val="28"/>
          <w:szCs w:val="28"/>
          <w:highlight w:val="none"/>
        </w:rPr>
        <w:t>估价对象为住宅房地产，其市场价值受区域经济发展状况、市场供需状况、房地产调控政策、公共配套</w:t>
      </w:r>
      <w:r>
        <w:rPr>
          <w:rFonts w:hint="eastAsia" w:ascii="楷体" w:hAnsi="楷体" w:eastAsia="楷体"/>
          <w:sz w:val="28"/>
          <w:szCs w:val="28"/>
          <w:highlight w:val="none"/>
          <w:lang w:eastAsia="zh-CN"/>
        </w:rPr>
        <w:t>、</w:t>
      </w:r>
      <w:r>
        <w:rPr>
          <w:rFonts w:hint="eastAsia" w:ascii="楷体" w:hAnsi="楷体" w:eastAsia="楷体"/>
          <w:sz w:val="28"/>
          <w:szCs w:val="28"/>
          <w:highlight w:val="none"/>
          <w:lang w:val="en-US" w:eastAsia="zh-CN"/>
        </w:rPr>
        <w:t>物业管理</w:t>
      </w:r>
      <w:r>
        <w:rPr>
          <w:rFonts w:hint="eastAsia" w:ascii="楷体" w:hAnsi="楷体" w:eastAsia="楷体"/>
          <w:sz w:val="28"/>
          <w:szCs w:val="28"/>
          <w:highlight w:val="none"/>
        </w:rPr>
        <w:t>等非成本因素影响较大，与其直接成本关联性较弱，其成本价值不能客观反映其市场价值，因此不宜采用成本法</w:t>
      </w:r>
      <w:r>
        <w:rPr>
          <w:rFonts w:hint="eastAsia" w:ascii="楷体" w:hAnsi="楷体" w:eastAsia="楷体"/>
          <w:sz w:val="28"/>
          <w:szCs w:val="28"/>
          <w:highlight w:val="none"/>
          <w:lang w:val="en-US" w:eastAsia="zh-CN"/>
        </w:rPr>
        <w:t>对估价对象房地产市场价值</w:t>
      </w:r>
      <w:r>
        <w:rPr>
          <w:rFonts w:hint="eastAsia" w:ascii="楷体" w:hAnsi="楷体" w:eastAsia="楷体"/>
          <w:sz w:val="28"/>
          <w:szCs w:val="28"/>
          <w:highlight w:val="none"/>
        </w:rPr>
        <w:t>进行估价</w:t>
      </w:r>
      <w:r>
        <w:rPr>
          <w:rFonts w:hint="eastAsia" w:ascii="楷体" w:hAnsi="楷体" w:eastAsia="楷体"/>
          <w:sz w:val="28"/>
          <w:szCs w:val="28"/>
          <w:highlight w:val="none"/>
          <w:lang w:val="en-US" w:eastAsia="zh-CN"/>
        </w:rPr>
        <w:t>。</w:t>
      </w:r>
    </w:p>
    <w:p>
      <w:pPr>
        <w:keepNext w:val="0"/>
        <w:keepLines w:val="0"/>
        <w:pageBreakBefore w:val="0"/>
        <w:widowControl w:val="0"/>
        <w:kinsoku/>
        <w:wordWrap/>
        <w:overflowPunct/>
        <w:autoSpaceDN/>
        <w:bidi w:val="0"/>
        <w:adjustRightInd/>
        <w:snapToGrid/>
        <w:spacing w:line="630" w:lineRule="exact"/>
        <w:ind w:firstLine="560" w:firstLineChars="200"/>
        <w:rPr>
          <w:rFonts w:ascii="楷体" w:hAnsi="楷体" w:eastAsia="楷体"/>
          <w:sz w:val="28"/>
          <w:szCs w:val="28"/>
          <w:highlight w:val="none"/>
        </w:rPr>
      </w:pPr>
      <w:r>
        <w:rPr>
          <w:rFonts w:hint="eastAsia" w:ascii="楷体" w:hAnsi="楷体" w:eastAsia="楷体"/>
          <w:sz w:val="28"/>
          <w:szCs w:val="28"/>
          <w:highlight w:val="none"/>
        </w:rPr>
        <w:t>估价对象为住宅房地产，目前已建成并处于正常使用状态，就目前状态，处于最佳使用，</w:t>
      </w:r>
      <w:r>
        <w:rPr>
          <w:rFonts w:hint="eastAsia" w:ascii="楷体" w:hAnsi="楷体" w:eastAsia="楷体"/>
          <w:sz w:val="28"/>
          <w:szCs w:val="28"/>
          <w:highlight w:val="none"/>
          <w:lang w:val="en-US" w:eastAsia="zh-CN"/>
        </w:rPr>
        <w:t>重新开发不经济也不合理</w:t>
      </w:r>
      <w:r>
        <w:rPr>
          <w:rFonts w:hint="eastAsia" w:ascii="楷体" w:hAnsi="楷体" w:eastAsia="楷体"/>
          <w:sz w:val="28"/>
          <w:szCs w:val="28"/>
          <w:highlight w:val="none"/>
        </w:rPr>
        <w:t>，故不宜采用假设开发法进行估价。</w:t>
      </w:r>
    </w:p>
    <w:p>
      <w:pPr>
        <w:pStyle w:val="10"/>
        <w:keepNext w:val="0"/>
        <w:keepLines w:val="0"/>
        <w:pageBreakBefore w:val="0"/>
        <w:widowControl w:val="0"/>
        <w:kinsoku/>
        <w:wordWrap/>
        <w:overflowPunct/>
        <w:topLinePunct/>
        <w:autoSpaceDE/>
        <w:autoSpaceDN/>
        <w:bidi w:val="0"/>
        <w:adjustRightInd/>
        <w:snapToGrid/>
        <w:spacing w:line="630" w:lineRule="exact"/>
        <w:textAlignment w:val="baseline"/>
        <w:outlineLvl w:val="9"/>
        <w:rPr>
          <w:rFonts w:ascii="楷体" w:hAnsi="楷体" w:eastAsia="楷体"/>
          <w:szCs w:val="28"/>
          <w:highlight w:val="none"/>
        </w:rPr>
      </w:pPr>
      <w:bookmarkStart w:id="88" w:name="_Toc15520"/>
      <w:r>
        <w:rPr>
          <w:rFonts w:hint="eastAsia" w:ascii="楷体" w:hAnsi="楷体" w:eastAsia="楷体"/>
          <w:szCs w:val="28"/>
          <w:highlight w:val="none"/>
        </w:rPr>
        <w:t>（二）估价方法定义</w:t>
      </w:r>
      <w:bookmarkEnd w:id="86"/>
      <w:bookmarkEnd w:id="88"/>
    </w:p>
    <w:p>
      <w:pPr>
        <w:keepNext w:val="0"/>
        <w:keepLines w:val="0"/>
        <w:pageBreakBefore w:val="0"/>
        <w:widowControl w:val="0"/>
        <w:tabs>
          <w:tab w:val="left" w:pos="720"/>
        </w:tabs>
        <w:kinsoku/>
        <w:wordWrap/>
        <w:overflowPunct/>
        <w:autoSpaceDN/>
        <w:bidi w:val="0"/>
        <w:adjustRightInd/>
        <w:snapToGrid/>
        <w:spacing w:line="630" w:lineRule="exact"/>
        <w:ind w:firstLine="560" w:firstLineChars="200"/>
        <w:rPr>
          <w:rFonts w:hint="eastAsia" w:ascii="楷体" w:hAnsi="楷体" w:eastAsia="楷体"/>
          <w:sz w:val="28"/>
          <w:szCs w:val="28"/>
          <w:highlight w:val="none"/>
          <w:lang w:val="en-US" w:eastAsia="zh-CN"/>
        </w:rPr>
      </w:pPr>
      <w:r>
        <w:rPr>
          <w:rFonts w:hint="eastAsia" w:ascii="楷体" w:hAnsi="楷体" w:eastAsia="楷体"/>
          <w:sz w:val="28"/>
          <w:szCs w:val="28"/>
          <w:highlight w:val="none"/>
          <w:lang w:val="en-US" w:eastAsia="zh-CN"/>
        </w:rPr>
        <w:t>1、比较法</w:t>
      </w:r>
    </w:p>
    <w:p>
      <w:pPr>
        <w:keepNext w:val="0"/>
        <w:keepLines w:val="0"/>
        <w:pageBreakBefore w:val="0"/>
        <w:widowControl w:val="0"/>
        <w:tabs>
          <w:tab w:val="left" w:pos="720"/>
        </w:tabs>
        <w:kinsoku/>
        <w:wordWrap/>
        <w:overflowPunct/>
        <w:autoSpaceDN/>
        <w:bidi w:val="0"/>
        <w:adjustRightInd/>
        <w:snapToGrid/>
        <w:spacing w:line="630" w:lineRule="exact"/>
        <w:ind w:firstLine="560" w:firstLineChars="200"/>
        <w:rPr>
          <w:rFonts w:ascii="楷体" w:hAnsi="楷体" w:eastAsia="楷体"/>
          <w:sz w:val="28"/>
          <w:szCs w:val="28"/>
          <w:highlight w:val="none"/>
        </w:rPr>
      </w:pPr>
      <w:r>
        <w:rPr>
          <w:rFonts w:hint="eastAsia" w:ascii="楷体" w:hAnsi="楷体" w:eastAsia="楷体"/>
          <w:sz w:val="28"/>
          <w:szCs w:val="28"/>
          <w:highlight w:val="none"/>
        </w:rPr>
        <w:t>所谓比较法是将估价对象与在价值时点近期有过交易的类似房地产进行比较，对这些类似房地产的已知价格作适当的修正，以此估算估价对象的客观合理价格或价值的方法。比较法的理论基础为替代原理。其基本计算公式如下：</w:t>
      </w:r>
    </w:p>
    <w:p>
      <w:pPr>
        <w:keepNext w:val="0"/>
        <w:keepLines w:val="0"/>
        <w:pageBreakBefore w:val="0"/>
        <w:kinsoku/>
        <w:wordWrap/>
        <w:overflowPunct/>
        <w:bidi w:val="0"/>
        <w:adjustRightInd/>
        <w:snapToGrid/>
        <w:spacing w:line="630" w:lineRule="exact"/>
        <w:ind w:firstLine="560" w:firstLineChars="200"/>
        <w:rPr>
          <w:rFonts w:hint="eastAsia" w:ascii="楷体" w:hAnsi="楷体" w:eastAsia="楷体"/>
          <w:sz w:val="28"/>
          <w:szCs w:val="28"/>
          <w:highlight w:val="none"/>
          <w:lang w:val="en-US" w:eastAsia="zh-CN"/>
        </w:rPr>
      </w:pPr>
      <w:r>
        <w:rPr>
          <w:rFonts w:hint="eastAsia" w:ascii="楷体" w:hAnsi="楷体" w:eastAsia="楷体"/>
          <w:sz w:val="28"/>
          <w:szCs w:val="28"/>
          <w:highlight w:val="none"/>
        </w:rPr>
        <w:t>房地产价值=可比实例成交价格×交易情况修正系数×市场状况调整系数×房地产状况调整系数。</w:t>
      </w:r>
      <w:bookmarkStart w:id="89" w:name="_Toc27570"/>
      <w:bookmarkStart w:id="90" w:name="_Toc5498"/>
      <w:r>
        <w:rPr>
          <w:rFonts w:hint="eastAsia" w:ascii="楷体" w:hAnsi="楷体" w:eastAsia="楷体"/>
          <w:sz w:val="28"/>
          <w:szCs w:val="28"/>
          <w:highlight w:val="none"/>
          <w:lang w:val="en-US" w:eastAsia="zh-CN"/>
        </w:rPr>
        <w:t xml:space="preserve">  </w:t>
      </w:r>
    </w:p>
    <w:p>
      <w:pPr>
        <w:keepNext w:val="0"/>
        <w:keepLines w:val="0"/>
        <w:pageBreakBefore w:val="0"/>
        <w:kinsoku/>
        <w:wordWrap/>
        <w:overflowPunct/>
        <w:bidi w:val="0"/>
        <w:adjustRightInd/>
        <w:snapToGrid/>
        <w:spacing w:line="630" w:lineRule="exact"/>
        <w:ind w:firstLine="560" w:firstLineChars="200"/>
        <w:rPr>
          <w:rFonts w:hint="eastAsia" w:ascii="楷体" w:hAnsi="楷体" w:eastAsia="楷体"/>
          <w:sz w:val="28"/>
          <w:szCs w:val="28"/>
          <w:highlight w:val="none"/>
          <w:lang w:val="en-US" w:eastAsia="zh-CN"/>
        </w:rPr>
      </w:pPr>
      <w:r>
        <w:rPr>
          <w:rFonts w:hint="eastAsia" w:ascii="楷体" w:hAnsi="楷体" w:eastAsia="楷体"/>
          <w:sz w:val="28"/>
          <w:szCs w:val="28"/>
          <w:highlight w:val="none"/>
          <w:lang w:val="en-US" w:eastAsia="zh-CN"/>
        </w:rPr>
        <w:t xml:space="preserve"> 2.收益法</w:t>
      </w:r>
    </w:p>
    <w:p>
      <w:pPr>
        <w:keepNext w:val="0"/>
        <w:keepLines w:val="0"/>
        <w:pageBreakBefore w:val="0"/>
        <w:kinsoku/>
        <w:wordWrap/>
        <w:overflowPunct/>
        <w:bidi w:val="0"/>
        <w:adjustRightInd/>
        <w:snapToGrid/>
        <w:spacing w:line="630" w:lineRule="exact"/>
        <w:ind w:firstLine="560" w:firstLineChars="200"/>
        <w:rPr>
          <w:rFonts w:hint="eastAsia" w:ascii="楷体" w:hAnsi="楷体" w:eastAsia="楷体"/>
          <w:sz w:val="28"/>
          <w:szCs w:val="28"/>
          <w:highlight w:val="none"/>
          <w:lang w:val="en-US" w:eastAsia="zh-CN"/>
        </w:rPr>
      </w:pPr>
      <w:r>
        <w:rPr>
          <w:rFonts w:hint="eastAsia" w:ascii="楷体" w:hAnsi="楷体" w:eastAsia="楷体"/>
          <w:sz w:val="28"/>
          <w:szCs w:val="28"/>
          <w:highlight w:val="none"/>
          <w:lang w:val="en-US" w:eastAsia="zh-CN"/>
        </w:rPr>
        <w:t>收益法是预侧估价对象未来的正常净收益，选用适当的报酬率将其折现到价值时点后累加，以此估算估价对象的客观合理价格或价值的方法。</w:t>
      </w:r>
    </w:p>
    <w:p>
      <w:pPr>
        <w:keepNext w:val="0"/>
        <w:keepLines w:val="0"/>
        <w:pageBreakBefore w:val="0"/>
        <w:kinsoku/>
        <w:wordWrap/>
        <w:overflowPunct/>
        <w:bidi w:val="0"/>
        <w:adjustRightInd/>
        <w:snapToGrid/>
        <w:spacing w:line="630" w:lineRule="exact"/>
        <w:ind w:firstLine="560" w:firstLineChars="200"/>
        <w:rPr>
          <w:rFonts w:hint="eastAsia" w:ascii="楷体" w:hAnsi="楷体" w:eastAsia="楷体"/>
          <w:sz w:val="28"/>
          <w:szCs w:val="28"/>
          <w:highlight w:val="none"/>
          <w:lang w:val="en-US" w:eastAsia="zh-CN"/>
        </w:rPr>
      </w:pPr>
      <w:r>
        <w:rPr>
          <w:rFonts w:hint="eastAsia" w:ascii="楷体" w:hAnsi="楷体" w:eastAsia="楷体"/>
          <w:sz w:val="28"/>
          <w:szCs w:val="28"/>
          <w:highlight w:val="none"/>
          <w:lang w:val="en-US" w:eastAsia="zh-CN"/>
        </w:rPr>
        <w:t xml:space="preserve">根据《房地产估价规范》4.3.2条款内容“报酬资本化法估价时，应区分全剩余寿命模式和持有加转售模式。当收益期较长，难以预测该期限内各年净收益时，宜选用持有加转售模式”。本次估价选用持有加转售模式，拟采用如下计算公式： </w:t>
      </w:r>
      <w:r>
        <w:rPr>
          <w:rFonts w:ascii="楷体" w:hAnsi="楷体" w:eastAsia="楷体"/>
          <w:position w:val="-22"/>
          <w:sz w:val="28"/>
          <w:szCs w:val="28"/>
          <w:highlight w:val="none"/>
        </w:rPr>
        <w:object>
          <v:shape id="_x0000_i1025" o:spt="75" type="#_x0000_t75" style="height:37pt;width:176pt;" o:ole="t" filled="f" o:preferrelative="t" stroked="f" coordsize="21600,21600">
            <v:path/>
            <v:fill on="f" focussize="0,0"/>
            <v:stroke on="f" joinstyle="miter"/>
            <v:imagedata r:id="rId11" o:title=""/>
            <o:lock v:ext="edit" aspectratio="f"/>
            <w10:wrap type="none"/>
            <w10:anchorlock/>
          </v:shape>
          <o:OLEObject Type="Embed" ProgID="Equation.3" ShapeID="_x0000_i1025" DrawAspect="Content" ObjectID="_1468075725" r:id="rId10">
            <o:LockedField>false</o:LockedField>
          </o:OLEObject>
        </w:object>
      </w:r>
    </w:p>
    <w:p>
      <w:pPr>
        <w:keepNext w:val="0"/>
        <w:keepLines w:val="0"/>
        <w:pageBreakBefore w:val="0"/>
        <w:kinsoku/>
        <w:wordWrap/>
        <w:overflowPunct/>
        <w:bidi w:val="0"/>
        <w:adjustRightInd/>
        <w:snapToGrid/>
        <w:spacing w:line="630" w:lineRule="exact"/>
        <w:ind w:firstLine="560" w:firstLineChars="200"/>
        <w:rPr>
          <w:rFonts w:hint="eastAsia" w:ascii="楷体" w:hAnsi="楷体" w:eastAsia="楷体"/>
          <w:sz w:val="28"/>
          <w:szCs w:val="28"/>
          <w:highlight w:val="none"/>
          <w:lang w:val="en-US" w:eastAsia="zh-CN"/>
        </w:rPr>
      </w:pPr>
      <w:r>
        <w:rPr>
          <w:rFonts w:hint="eastAsia" w:ascii="楷体" w:hAnsi="楷体" w:eastAsia="楷体"/>
          <w:sz w:val="28"/>
          <w:szCs w:val="28"/>
          <w:highlight w:val="none"/>
          <w:lang w:val="en-US" w:eastAsia="zh-CN"/>
        </w:rPr>
        <w:t>式中：V—房地产现值；</w:t>
      </w:r>
    </w:p>
    <w:p>
      <w:pPr>
        <w:keepNext w:val="0"/>
        <w:keepLines w:val="0"/>
        <w:pageBreakBefore w:val="0"/>
        <w:kinsoku/>
        <w:wordWrap/>
        <w:overflowPunct/>
        <w:bidi w:val="0"/>
        <w:adjustRightInd/>
        <w:snapToGrid/>
        <w:spacing w:line="630" w:lineRule="exact"/>
        <w:ind w:firstLine="560" w:firstLineChars="200"/>
        <w:rPr>
          <w:rFonts w:hint="eastAsia" w:ascii="楷体" w:hAnsi="楷体" w:eastAsia="楷体"/>
          <w:sz w:val="28"/>
          <w:szCs w:val="28"/>
          <w:highlight w:val="none"/>
          <w:lang w:val="en-US" w:eastAsia="zh-CN"/>
        </w:rPr>
      </w:pPr>
      <w:r>
        <w:rPr>
          <w:rFonts w:hint="eastAsia" w:ascii="楷体" w:hAnsi="楷体" w:eastAsia="楷体"/>
          <w:sz w:val="28"/>
          <w:szCs w:val="28"/>
          <w:highlight w:val="none"/>
          <w:lang w:val="en-US" w:eastAsia="zh-CN"/>
        </w:rPr>
        <w:t>t—持有期；</w:t>
      </w:r>
    </w:p>
    <w:p>
      <w:pPr>
        <w:keepNext w:val="0"/>
        <w:keepLines w:val="0"/>
        <w:pageBreakBefore w:val="0"/>
        <w:kinsoku/>
        <w:wordWrap/>
        <w:overflowPunct/>
        <w:bidi w:val="0"/>
        <w:adjustRightInd/>
        <w:snapToGrid/>
        <w:spacing w:line="630" w:lineRule="exact"/>
        <w:ind w:firstLine="560" w:firstLineChars="200"/>
        <w:rPr>
          <w:rFonts w:hint="eastAsia" w:ascii="楷体" w:hAnsi="楷体" w:eastAsia="楷体"/>
          <w:sz w:val="28"/>
          <w:szCs w:val="28"/>
          <w:highlight w:val="none"/>
          <w:lang w:val="en-US" w:eastAsia="zh-CN"/>
        </w:rPr>
      </w:pPr>
      <w:r>
        <w:rPr>
          <w:rFonts w:hint="eastAsia" w:ascii="楷体" w:hAnsi="楷体" w:eastAsia="楷体"/>
          <w:sz w:val="28"/>
          <w:szCs w:val="28"/>
          <w:highlight w:val="none"/>
          <w:lang w:val="en-US" w:eastAsia="zh-CN"/>
        </w:rPr>
        <w:t>An—期间收益；</w:t>
      </w:r>
    </w:p>
    <w:p>
      <w:pPr>
        <w:keepNext w:val="0"/>
        <w:keepLines w:val="0"/>
        <w:pageBreakBefore w:val="0"/>
        <w:kinsoku/>
        <w:wordWrap/>
        <w:overflowPunct/>
        <w:bidi w:val="0"/>
        <w:adjustRightInd/>
        <w:snapToGrid/>
        <w:spacing w:line="630" w:lineRule="exact"/>
        <w:ind w:firstLine="560" w:firstLineChars="200"/>
        <w:rPr>
          <w:rFonts w:hint="eastAsia" w:ascii="楷体" w:hAnsi="楷体" w:eastAsia="楷体"/>
          <w:sz w:val="28"/>
          <w:szCs w:val="28"/>
          <w:highlight w:val="none"/>
          <w:lang w:val="en-US" w:eastAsia="zh-CN"/>
        </w:rPr>
      </w:pPr>
      <w:r>
        <w:rPr>
          <w:rFonts w:hint="eastAsia" w:ascii="楷体" w:hAnsi="楷体" w:eastAsia="楷体"/>
          <w:sz w:val="28"/>
          <w:szCs w:val="28"/>
          <w:highlight w:val="none"/>
          <w:lang w:val="en-US" w:eastAsia="zh-CN"/>
        </w:rPr>
        <w:t>Vt—期未转售收益；</w:t>
      </w:r>
    </w:p>
    <w:p>
      <w:pPr>
        <w:keepNext w:val="0"/>
        <w:keepLines w:val="0"/>
        <w:pageBreakBefore w:val="0"/>
        <w:kinsoku/>
        <w:wordWrap/>
        <w:overflowPunct/>
        <w:bidi w:val="0"/>
        <w:adjustRightInd/>
        <w:snapToGrid/>
        <w:spacing w:line="630" w:lineRule="exact"/>
        <w:ind w:firstLine="560" w:firstLineChars="200"/>
        <w:rPr>
          <w:rFonts w:hint="eastAsia" w:ascii="楷体" w:hAnsi="楷体" w:eastAsia="楷体"/>
          <w:sz w:val="28"/>
          <w:szCs w:val="28"/>
          <w:highlight w:val="none"/>
          <w:lang w:val="en-US" w:eastAsia="zh-CN"/>
        </w:rPr>
      </w:pPr>
      <w:r>
        <w:rPr>
          <w:rFonts w:hint="eastAsia" w:ascii="楷体" w:hAnsi="楷体" w:eastAsia="楷体"/>
          <w:sz w:val="28"/>
          <w:szCs w:val="28"/>
          <w:highlight w:val="none"/>
          <w:lang w:val="en-US" w:eastAsia="zh-CN"/>
        </w:rPr>
        <w:t xml:space="preserve">i-持有期报酬率、期未报酬率。              </w:t>
      </w:r>
    </w:p>
    <w:p>
      <w:pPr>
        <w:pStyle w:val="3"/>
        <w:keepNext/>
        <w:keepLines/>
        <w:pageBreakBefore w:val="0"/>
        <w:widowControl w:val="0"/>
        <w:numPr>
          <w:ilvl w:val="0"/>
          <w:numId w:val="0"/>
        </w:numPr>
        <w:kinsoku/>
        <w:wordWrap/>
        <w:overflowPunct/>
        <w:topLinePunct w:val="0"/>
        <w:autoSpaceDE/>
        <w:autoSpaceDN/>
        <w:bidi w:val="0"/>
        <w:adjustRightInd/>
        <w:snapToGrid w:val="0"/>
        <w:spacing w:before="0" w:beforeLines="50" w:after="0" w:afterLines="50" w:line="630" w:lineRule="exact"/>
        <w:ind w:leftChars="0"/>
        <w:textAlignment w:val="auto"/>
        <w:rPr>
          <w:highlight w:val="none"/>
        </w:rPr>
      </w:pPr>
      <w:bookmarkStart w:id="91" w:name="_Toc27098"/>
      <w:r>
        <w:rPr>
          <w:rFonts w:hint="eastAsia"/>
          <w:highlight w:val="none"/>
          <w:lang w:val="en-US" w:eastAsia="zh-CN"/>
        </w:rPr>
        <w:t>十、</w:t>
      </w:r>
      <w:r>
        <w:rPr>
          <w:rFonts w:hint="eastAsia"/>
          <w:highlight w:val="none"/>
        </w:rPr>
        <w:t>估价结果</w:t>
      </w:r>
      <w:bookmarkEnd w:id="87"/>
      <w:bookmarkEnd w:id="89"/>
      <w:bookmarkEnd w:id="90"/>
      <w:bookmarkEnd w:id="91"/>
    </w:p>
    <w:p>
      <w:pPr>
        <w:keepNext w:val="0"/>
        <w:keepLines w:val="0"/>
        <w:pageBreakBefore w:val="0"/>
        <w:widowControl w:val="0"/>
        <w:kinsoku/>
        <w:wordWrap/>
        <w:overflowPunct/>
        <w:topLinePunct w:val="0"/>
        <w:autoSpaceDN/>
        <w:bidi w:val="0"/>
        <w:adjustRightInd/>
        <w:snapToGrid/>
        <w:spacing w:line="570" w:lineRule="exact"/>
        <w:ind w:firstLine="560" w:firstLineChars="200"/>
        <w:rPr>
          <w:rFonts w:ascii="楷体" w:hAnsi="楷体" w:eastAsia="楷体"/>
          <w:bCs/>
          <w:sz w:val="28"/>
          <w:szCs w:val="22"/>
          <w:highlight w:val="none"/>
        </w:rPr>
      </w:pPr>
      <w:bookmarkStart w:id="92" w:name="_Toc11288"/>
      <w:bookmarkStart w:id="93" w:name="_Toc451175957"/>
      <w:bookmarkStart w:id="94" w:name="_Toc28138"/>
      <w:r>
        <w:rPr>
          <w:rFonts w:hint="eastAsia" w:ascii="楷体" w:hAnsi="楷体" w:eastAsia="楷体" w:cs="楷体"/>
          <w:color w:val="000000" w:themeColor="text1"/>
          <w:sz w:val="28"/>
          <w:szCs w:val="28"/>
          <w:highlight w:val="none"/>
        </w:rPr>
        <w:t>注册房地估价师根据估价目的，经过实地查勘和市场调查，按照严谨的估价程序，遵循估价原则，运用了比较法</w:t>
      </w:r>
      <w:r>
        <w:rPr>
          <w:rFonts w:hint="eastAsia" w:ascii="楷体" w:hAnsi="楷体" w:eastAsia="楷体" w:cs="楷体"/>
          <w:color w:val="000000" w:themeColor="text1"/>
          <w:sz w:val="28"/>
          <w:szCs w:val="28"/>
          <w:highlight w:val="none"/>
          <w:lang w:val="en-US" w:eastAsia="zh-CN"/>
        </w:rPr>
        <w:t>和收益法</w:t>
      </w:r>
      <w:r>
        <w:rPr>
          <w:rFonts w:hint="eastAsia" w:ascii="楷体" w:hAnsi="楷体" w:eastAsia="楷体" w:cs="楷体"/>
          <w:color w:val="000000" w:themeColor="text1"/>
          <w:sz w:val="28"/>
          <w:szCs w:val="28"/>
          <w:highlight w:val="none"/>
        </w:rPr>
        <w:t>进行了专业分析、测算和判断，确定估价对象在价值时点</w:t>
      </w:r>
      <w:r>
        <w:rPr>
          <w:rFonts w:hint="eastAsia" w:ascii="楷体" w:hAnsi="楷体" w:eastAsia="楷体" w:cs="楷体"/>
          <w:color w:val="000000" w:themeColor="text1"/>
          <w:sz w:val="28"/>
          <w:szCs w:val="28"/>
          <w:highlight w:val="none"/>
          <w:lang w:eastAsia="zh-CN"/>
        </w:rPr>
        <w:t>二Ο二二年七月二十五日</w:t>
      </w:r>
      <w:r>
        <w:rPr>
          <w:rFonts w:hint="eastAsia" w:ascii="楷体" w:hAnsi="楷体" w:eastAsia="楷体" w:cs="楷体"/>
          <w:color w:val="000000" w:themeColor="text1"/>
          <w:sz w:val="28"/>
          <w:szCs w:val="28"/>
          <w:highlight w:val="none"/>
        </w:rPr>
        <w:t>（实地查勘</w:t>
      </w:r>
      <w:r>
        <w:rPr>
          <w:rFonts w:hint="eastAsia" w:ascii="楷体" w:hAnsi="楷体" w:eastAsia="楷体" w:cs="楷体"/>
          <w:color w:val="000000" w:themeColor="text1"/>
          <w:sz w:val="28"/>
          <w:szCs w:val="28"/>
          <w:highlight w:val="none"/>
          <w:lang w:val="en-US" w:eastAsia="zh-CN"/>
        </w:rPr>
        <w:t>之</w:t>
      </w:r>
      <w:r>
        <w:rPr>
          <w:rFonts w:hint="eastAsia" w:ascii="楷体" w:hAnsi="楷体" w:eastAsia="楷体" w:cs="楷体"/>
          <w:color w:val="000000" w:themeColor="text1"/>
          <w:sz w:val="28"/>
          <w:szCs w:val="28"/>
          <w:highlight w:val="none"/>
        </w:rPr>
        <w:t>日）的市场价值</w:t>
      </w:r>
      <w:r>
        <w:rPr>
          <w:rFonts w:hint="eastAsia" w:ascii="楷体" w:hAnsi="楷体" w:eastAsia="楷体" w:cs="楷体"/>
          <w:color w:val="000000" w:themeColor="text1"/>
          <w:sz w:val="28"/>
          <w:szCs w:val="28"/>
          <w:highlight w:val="none"/>
          <w:lang w:val="en-US" w:eastAsia="zh-CN"/>
        </w:rPr>
        <w:t>取整</w:t>
      </w:r>
      <w:r>
        <w:rPr>
          <w:rFonts w:hint="eastAsia" w:ascii="楷体" w:hAnsi="楷体" w:eastAsia="楷体" w:cs="楷体"/>
          <w:color w:val="000000" w:themeColor="text1"/>
          <w:sz w:val="28"/>
          <w:szCs w:val="28"/>
          <w:highlight w:val="none"/>
        </w:rPr>
        <w:t>为</w:t>
      </w:r>
      <w:r>
        <w:rPr>
          <w:rFonts w:hint="eastAsia" w:ascii="楷体" w:hAnsi="楷体" w:eastAsia="楷体"/>
          <w:b/>
          <w:sz w:val="28"/>
          <w:highlight w:val="none"/>
          <w:lang w:val="en-US" w:eastAsia="zh-CN"/>
        </w:rPr>
        <w:t>人民币293万元整（单价17000元/平方米），大写为人民币贰佰玖拾叁万元整。</w:t>
      </w:r>
    </w:p>
    <w:p>
      <w:pPr>
        <w:pStyle w:val="3"/>
        <w:keepNext/>
        <w:keepLines/>
        <w:pageBreakBefore w:val="0"/>
        <w:widowControl w:val="0"/>
        <w:numPr>
          <w:ilvl w:val="0"/>
          <w:numId w:val="0"/>
        </w:numPr>
        <w:kinsoku/>
        <w:wordWrap/>
        <w:overflowPunct/>
        <w:topLinePunct w:val="0"/>
        <w:autoSpaceDE/>
        <w:autoSpaceDN/>
        <w:bidi w:val="0"/>
        <w:adjustRightInd/>
        <w:snapToGrid w:val="0"/>
        <w:spacing w:before="0" w:beforeLines="50" w:after="0" w:afterLines="50" w:line="630" w:lineRule="exact"/>
        <w:ind w:leftChars="0"/>
        <w:textAlignment w:val="auto"/>
        <w:rPr>
          <w:highlight w:val="none"/>
        </w:rPr>
      </w:pPr>
      <w:bookmarkStart w:id="95" w:name="_Toc7064"/>
      <w:r>
        <w:rPr>
          <w:rFonts w:hint="eastAsia"/>
          <w:highlight w:val="none"/>
          <w:lang w:val="en-US" w:eastAsia="zh-CN"/>
        </w:rPr>
        <w:t>十一、</w:t>
      </w:r>
      <w:r>
        <w:rPr>
          <w:rFonts w:hint="eastAsia"/>
          <w:highlight w:val="none"/>
        </w:rPr>
        <w:t>注册房地产估价师</w:t>
      </w:r>
      <w:bookmarkEnd w:id="92"/>
      <w:bookmarkEnd w:id="93"/>
      <w:bookmarkEnd w:id="94"/>
      <w:bookmarkEnd w:id="95"/>
    </w:p>
    <w:tbl>
      <w:tblPr>
        <w:tblStyle w:val="19"/>
        <w:tblW w:w="8720" w:type="dxa"/>
        <w:jc w:val="center"/>
        <w:tblLayout w:type="fixed"/>
        <w:tblCellMar>
          <w:top w:w="0" w:type="dxa"/>
          <w:left w:w="108" w:type="dxa"/>
          <w:bottom w:w="0" w:type="dxa"/>
          <w:right w:w="108" w:type="dxa"/>
        </w:tblCellMar>
      </w:tblPr>
      <w:tblGrid>
        <w:gridCol w:w="1449"/>
        <w:gridCol w:w="1921"/>
        <w:gridCol w:w="2708"/>
        <w:gridCol w:w="2642"/>
      </w:tblGrid>
      <w:tr>
        <w:tblPrEx>
          <w:tblCellMar>
            <w:top w:w="0" w:type="dxa"/>
            <w:left w:w="108" w:type="dxa"/>
            <w:bottom w:w="0" w:type="dxa"/>
            <w:right w:w="108" w:type="dxa"/>
          </w:tblCellMar>
        </w:tblPrEx>
        <w:trPr>
          <w:trHeight w:val="811" w:hRule="atLeast"/>
          <w:jc w:val="center"/>
        </w:trPr>
        <w:tc>
          <w:tcPr>
            <w:tcW w:w="1449" w:type="dxa"/>
            <w:vAlign w:val="center"/>
          </w:tcPr>
          <w:p>
            <w:pPr>
              <w:widowControl/>
              <w:jc w:val="center"/>
              <w:rPr>
                <w:rFonts w:ascii="楷体" w:hAnsi="楷体" w:eastAsia="楷体" w:cs="宋体"/>
                <w:kern w:val="0"/>
                <w:sz w:val="28"/>
                <w:szCs w:val="28"/>
                <w:highlight w:val="none"/>
              </w:rPr>
            </w:pPr>
            <w:r>
              <w:rPr>
                <w:rFonts w:hint="eastAsia" w:ascii="楷体" w:hAnsi="楷体" w:eastAsia="楷体" w:cs="宋体"/>
                <w:kern w:val="0"/>
                <w:sz w:val="28"/>
                <w:szCs w:val="28"/>
                <w:highlight w:val="none"/>
              </w:rPr>
              <w:t>姓  名</w:t>
            </w:r>
          </w:p>
        </w:tc>
        <w:tc>
          <w:tcPr>
            <w:tcW w:w="1921" w:type="dxa"/>
            <w:vAlign w:val="center"/>
          </w:tcPr>
          <w:p>
            <w:pPr>
              <w:widowControl/>
              <w:jc w:val="center"/>
              <w:rPr>
                <w:rFonts w:ascii="楷体" w:hAnsi="楷体" w:eastAsia="楷体" w:cs="宋体"/>
                <w:kern w:val="0"/>
                <w:sz w:val="28"/>
                <w:szCs w:val="28"/>
                <w:highlight w:val="none"/>
              </w:rPr>
            </w:pPr>
            <w:r>
              <w:rPr>
                <w:rFonts w:hint="eastAsia" w:ascii="楷体" w:hAnsi="楷体" w:eastAsia="楷体" w:cs="宋体"/>
                <w:kern w:val="0"/>
                <w:sz w:val="28"/>
                <w:szCs w:val="28"/>
                <w:highlight w:val="none"/>
              </w:rPr>
              <w:t>注册证书号</w:t>
            </w:r>
          </w:p>
        </w:tc>
        <w:tc>
          <w:tcPr>
            <w:tcW w:w="2708" w:type="dxa"/>
            <w:vAlign w:val="center"/>
          </w:tcPr>
          <w:p>
            <w:pPr>
              <w:widowControl/>
              <w:jc w:val="center"/>
              <w:rPr>
                <w:rFonts w:ascii="楷体" w:hAnsi="楷体" w:eastAsia="楷体" w:cs="宋体"/>
                <w:kern w:val="0"/>
                <w:sz w:val="28"/>
                <w:szCs w:val="28"/>
                <w:highlight w:val="none"/>
              </w:rPr>
            </w:pPr>
            <w:r>
              <w:rPr>
                <w:rFonts w:hint="eastAsia" w:ascii="楷体" w:hAnsi="楷体" w:eastAsia="楷体" w:cs="宋体"/>
                <w:kern w:val="0"/>
                <w:sz w:val="28"/>
                <w:szCs w:val="28"/>
                <w:highlight w:val="none"/>
              </w:rPr>
              <w:t xml:space="preserve"> 签 章</w:t>
            </w:r>
          </w:p>
        </w:tc>
        <w:tc>
          <w:tcPr>
            <w:tcW w:w="2642" w:type="dxa"/>
            <w:vAlign w:val="center"/>
          </w:tcPr>
          <w:p>
            <w:pPr>
              <w:widowControl/>
              <w:jc w:val="center"/>
              <w:rPr>
                <w:rFonts w:ascii="楷体" w:hAnsi="楷体" w:eastAsia="楷体" w:cs="宋体"/>
                <w:kern w:val="0"/>
                <w:sz w:val="28"/>
                <w:szCs w:val="28"/>
                <w:highlight w:val="none"/>
              </w:rPr>
            </w:pPr>
            <w:r>
              <w:rPr>
                <w:rFonts w:hint="eastAsia" w:ascii="楷体" w:hAnsi="楷体" w:eastAsia="楷体" w:cs="宋体"/>
                <w:kern w:val="0"/>
                <w:sz w:val="28"/>
                <w:szCs w:val="28"/>
                <w:highlight w:val="none"/>
              </w:rPr>
              <w:t>日期</w:t>
            </w:r>
          </w:p>
        </w:tc>
      </w:tr>
      <w:tr>
        <w:tblPrEx>
          <w:tblCellMar>
            <w:top w:w="0" w:type="dxa"/>
            <w:left w:w="108" w:type="dxa"/>
            <w:bottom w:w="0" w:type="dxa"/>
            <w:right w:w="108" w:type="dxa"/>
          </w:tblCellMar>
        </w:tblPrEx>
        <w:trPr>
          <w:trHeight w:val="1125" w:hRule="atLeast"/>
          <w:jc w:val="center"/>
        </w:trPr>
        <w:tc>
          <w:tcPr>
            <w:tcW w:w="1449" w:type="dxa"/>
            <w:vAlign w:val="center"/>
          </w:tcPr>
          <w:p>
            <w:pPr>
              <w:widowControl/>
              <w:ind w:firstLine="218" w:firstLineChars="78"/>
              <w:rPr>
                <w:rFonts w:hint="eastAsia" w:ascii="楷体" w:hAnsi="楷体" w:eastAsia="楷体" w:cs="宋体"/>
                <w:kern w:val="0"/>
                <w:sz w:val="28"/>
                <w:szCs w:val="28"/>
                <w:highlight w:val="none"/>
                <w:lang w:eastAsia="zh-CN"/>
              </w:rPr>
            </w:pPr>
            <w:r>
              <w:rPr>
                <w:rFonts w:hint="eastAsia" w:ascii="楷体" w:hAnsi="楷体" w:eastAsia="楷体" w:cs="宋体"/>
                <w:kern w:val="0"/>
                <w:sz w:val="28"/>
                <w:szCs w:val="28"/>
                <w:highlight w:val="none"/>
                <w:lang w:val="en-US" w:eastAsia="zh-CN"/>
              </w:rPr>
              <w:t>郑  玺</w:t>
            </w:r>
          </w:p>
        </w:tc>
        <w:tc>
          <w:tcPr>
            <w:tcW w:w="1921" w:type="dxa"/>
            <w:vAlign w:val="center"/>
          </w:tcPr>
          <w:p>
            <w:pPr>
              <w:widowControl/>
              <w:jc w:val="center"/>
              <w:rPr>
                <w:rFonts w:hint="default" w:ascii="楷体" w:hAnsi="楷体" w:eastAsia="楷体" w:cs="宋体"/>
                <w:kern w:val="0"/>
                <w:sz w:val="28"/>
                <w:szCs w:val="28"/>
                <w:highlight w:val="none"/>
                <w:lang w:val="en-US" w:eastAsia="zh-CN"/>
              </w:rPr>
            </w:pPr>
            <w:r>
              <w:rPr>
                <w:rFonts w:hint="eastAsia" w:ascii="楷体" w:hAnsi="楷体" w:eastAsia="楷体" w:cs="宋体"/>
                <w:kern w:val="0"/>
                <w:sz w:val="28"/>
                <w:szCs w:val="28"/>
                <w:highlight w:val="none"/>
              </w:rPr>
              <w:t>33201</w:t>
            </w:r>
            <w:r>
              <w:rPr>
                <w:rFonts w:hint="eastAsia" w:ascii="楷体" w:hAnsi="楷体" w:eastAsia="楷体" w:cs="宋体"/>
                <w:kern w:val="0"/>
                <w:sz w:val="28"/>
                <w:szCs w:val="28"/>
                <w:highlight w:val="none"/>
                <w:lang w:val="en-US" w:eastAsia="zh-CN"/>
              </w:rPr>
              <w:t>3</w:t>
            </w:r>
            <w:r>
              <w:rPr>
                <w:rFonts w:hint="eastAsia" w:ascii="楷体" w:hAnsi="楷体" w:eastAsia="楷体" w:cs="宋体"/>
                <w:kern w:val="0"/>
                <w:sz w:val="28"/>
                <w:szCs w:val="28"/>
                <w:highlight w:val="none"/>
              </w:rPr>
              <w:t>0</w:t>
            </w:r>
            <w:r>
              <w:rPr>
                <w:rFonts w:hint="eastAsia" w:ascii="楷体" w:hAnsi="楷体" w:eastAsia="楷体" w:cs="宋体"/>
                <w:kern w:val="0"/>
                <w:sz w:val="28"/>
                <w:szCs w:val="28"/>
                <w:highlight w:val="none"/>
                <w:lang w:val="en-US" w:eastAsia="zh-CN"/>
              </w:rPr>
              <w:t>035</w:t>
            </w:r>
          </w:p>
        </w:tc>
        <w:tc>
          <w:tcPr>
            <w:tcW w:w="2708" w:type="dxa"/>
            <w:vAlign w:val="center"/>
          </w:tcPr>
          <w:p>
            <w:pPr>
              <w:widowControl/>
              <w:jc w:val="center"/>
              <w:rPr>
                <w:rFonts w:ascii="楷体" w:hAnsi="楷体" w:eastAsia="楷体" w:cs="宋体"/>
                <w:kern w:val="0"/>
                <w:sz w:val="28"/>
                <w:szCs w:val="28"/>
                <w:highlight w:val="none"/>
              </w:rPr>
            </w:pPr>
          </w:p>
        </w:tc>
        <w:tc>
          <w:tcPr>
            <w:tcW w:w="2642" w:type="dxa"/>
            <w:vAlign w:val="center"/>
          </w:tcPr>
          <w:p>
            <w:pPr>
              <w:widowControl/>
              <w:jc w:val="center"/>
              <w:rPr>
                <w:rFonts w:ascii="楷体" w:hAnsi="楷体" w:eastAsia="楷体" w:cs="宋体"/>
                <w:kern w:val="0"/>
                <w:sz w:val="28"/>
                <w:szCs w:val="28"/>
                <w:highlight w:val="none"/>
              </w:rPr>
            </w:pPr>
            <w:r>
              <w:rPr>
                <w:rFonts w:hint="eastAsia" w:ascii="楷体" w:hAnsi="楷体" w:eastAsia="楷体" w:cs="宋体"/>
                <w:kern w:val="0"/>
                <w:sz w:val="28"/>
                <w:szCs w:val="28"/>
                <w:highlight w:val="none"/>
              </w:rPr>
              <w:t>年  月  日</w:t>
            </w:r>
          </w:p>
        </w:tc>
      </w:tr>
      <w:tr>
        <w:tblPrEx>
          <w:tblCellMar>
            <w:top w:w="0" w:type="dxa"/>
            <w:left w:w="108" w:type="dxa"/>
            <w:bottom w:w="0" w:type="dxa"/>
            <w:right w:w="108" w:type="dxa"/>
          </w:tblCellMar>
        </w:tblPrEx>
        <w:trPr>
          <w:trHeight w:val="1125" w:hRule="atLeast"/>
          <w:jc w:val="center"/>
        </w:trPr>
        <w:tc>
          <w:tcPr>
            <w:tcW w:w="1449" w:type="dxa"/>
            <w:vAlign w:val="center"/>
          </w:tcPr>
          <w:p>
            <w:pPr>
              <w:widowControl/>
              <w:jc w:val="center"/>
              <w:rPr>
                <w:rFonts w:ascii="楷体" w:hAnsi="楷体" w:eastAsia="楷体" w:cs="宋体"/>
                <w:kern w:val="0"/>
                <w:sz w:val="28"/>
                <w:szCs w:val="28"/>
                <w:highlight w:val="none"/>
              </w:rPr>
            </w:pPr>
            <w:r>
              <w:rPr>
                <w:rFonts w:hint="eastAsia" w:eastAsia="楷体"/>
                <w:sz w:val="28"/>
                <w:highlight w:val="none"/>
              </w:rPr>
              <w:t>秦振贤</w:t>
            </w:r>
          </w:p>
        </w:tc>
        <w:tc>
          <w:tcPr>
            <w:tcW w:w="1921" w:type="dxa"/>
            <w:vAlign w:val="center"/>
          </w:tcPr>
          <w:p>
            <w:pPr>
              <w:widowControl/>
              <w:jc w:val="center"/>
              <w:rPr>
                <w:rFonts w:ascii="楷体" w:hAnsi="楷体" w:eastAsia="楷体" w:cs="宋体"/>
                <w:kern w:val="0"/>
                <w:sz w:val="28"/>
                <w:szCs w:val="28"/>
                <w:highlight w:val="none"/>
              </w:rPr>
            </w:pPr>
            <w:r>
              <w:rPr>
                <w:rFonts w:hint="eastAsia" w:ascii="楷体" w:hAnsi="楷体" w:eastAsia="楷体"/>
                <w:sz w:val="28"/>
                <w:highlight w:val="none"/>
              </w:rPr>
              <w:t>3320190188</w:t>
            </w:r>
          </w:p>
        </w:tc>
        <w:tc>
          <w:tcPr>
            <w:tcW w:w="2708" w:type="dxa"/>
            <w:vAlign w:val="center"/>
          </w:tcPr>
          <w:p>
            <w:pPr>
              <w:widowControl/>
              <w:jc w:val="center"/>
              <w:rPr>
                <w:rFonts w:ascii="楷体" w:hAnsi="楷体" w:eastAsia="楷体" w:cs="宋体"/>
                <w:kern w:val="0"/>
                <w:sz w:val="28"/>
                <w:szCs w:val="28"/>
                <w:highlight w:val="none"/>
              </w:rPr>
            </w:pPr>
          </w:p>
        </w:tc>
        <w:tc>
          <w:tcPr>
            <w:tcW w:w="2642" w:type="dxa"/>
            <w:vAlign w:val="center"/>
          </w:tcPr>
          <w:p>
            <w:pPr>
              <w:widowControl/>
              <w:jc w:val="center"/>
              <w:rPr>
                <w:rFonts w:ascii="楷体" w:hAnsi="楷体" w:eastAsia="楷体" w:cs="宋体"/>
                <w:kern w:val="0"/>
                <w:sz w:val="28"/>
                <w:szCs w:val="28"/>
                <w:highlight w:val="none"/>
              </w:rPr>
            </w:pPr>
            <w:r>
              <w:rPr>
                <w:rFonts w:hint="eastAsia" w:ascii="楷体" w:hAnsi="楷体" w:eastAsia="楷体" w:cs="宋体"/>
                <w:kern w:val="0"/>
                <w:sz w:val="28"/>
                <w:szCs w:val="28"/>
                <w:highlight w:val="none"/>
              </w:rPr>
              <w:t>年  月  日</w:t>
            </w:r>
          </w:p>
        </w:tc>
      </w:tr>
    </w:tbl>
    <w:p>
      <w:pPr>
        <w:pStyle w:val="3"/>
        <w:keepNext/>
        <w:keepLines/>
        <w:pageBreakBefore w:val="0"/>
        <w:widowControl w:val="0"/>
        <w:numPr>
          <w:ilvl w:val="0"/>
          <w:numId w:val="0"/>
        </w:numPr>
        <w:kinsoku/>
        <w:wordWrap/>
        <w:overflowPunct/>
        <w:topLinePunct w:val="0"/>
        <w:autoSpaceDE/>
        <w:autoSpaceDN/>
        <w:bidi w:val="0"/>
        <w:adjustRightInd/>
        <w:snapToGrid w:val="0"/>
        <w:spacing w:before="0" w:beforeLines="50" w:after="0" w:afterLines="50" w:line="630" w:lineRule="exact"/>
        <w:ind w:leftChars="0"/>
        <w:textAlignment w:val="auto"/>
        <w:rPr>
          <w:highlight w:val="none"/>
        </w:rPr>
      </w:pPr>
      <w:bookmarkStart w:id="96" w:name="_Toc7944"/>
      <w:bookmarkStart w:id="97" w:name="_Toc451175958"/>
      <w:bookmarkStart w:id="98" w:name="_Toc6047"/>
      <w:bookmarkStart w:id="99" w:name="_Toc15258"/>
      <w:r>
        <w:rPr>
          <w:rFonts w:hint="eastAsia"/>
          <w:highlight w:val="none"/>
          <w:lang w:val="en-US" w:eastAsia="zh-CN"/>
        </w:rPr>
        <w:t>十二、</w:t>
      </w:r>
      <w:r>
        <w:rPr>
          <w:rFonts w:hint="eastAsia"/>
          <w:highlight w:val="none"/>
        </w:rPr>
        <w:t>实地查勘期</w:t>
      </w:r>
      <w:bookmarkEnd w:id="96"/>
      <w:bookmarkEnd w:id="97"/>
      <w:bookmarkEnd w:id="98"/>
      <w:bookmarkEnd w:id="99"/>
    </w:p>
    <w:p>
      <w:pPr>
        <w:spacing w:line="630" w:lineRule="exact"/>
        <w:ind w:firstLine="560"/>
        <w:rPr>
          <w:rFonts w:ascii="楷体" w:hAnsi="楷体" w:eastAsia="楷体" w:cs="楷体"/>
          <w:color w:val="000000" w:themeColor="text1"/>
          <w:sz w:val="28"/>
          <w:highlight w:val="none"/>
        </w:rPr>
      </w:pPr>
      <w:r>
        <w:rPr>
          <w:rFonts w:hint="eastAsia" w:ascii="楷体" w:hAnsi="楷体" w:eastAsia="楷体" w:cs="楷体"/>
          <w:color w:val="000000" w:themeColor="text1"/>
          <w:sz w:val="28"/>
          <w:szCs w:val="28"/>
          <w:highlight w:val="none"/>
          <w:lang w:eastAsia="zh-CN"/>
        </w:rPr>
        <w:t>二Ο二二年七月二十五日</w:t>
      </w:r>
      <w:r>
        <w:rPr>
          <w:rFonts w:hint="eastAsia" w:eastAsia="楷体"/>
          <w:sz w:val="28"/>
          <w:highlight w:val="none"/>
        </w:rPr>
        <w:t>至</w:t>
      </w:r>
      <w:r>
        <w:rPr>
          <w:rFonts w:hint="eastAsia" w:ascii="楷体" w:hAnsi="楷体" w:eastAsia="楷体" w:cs="楷体"/>
          <w:color w:val="000000" w:themeColor="text1"/>
          <w:sz w:val="28"/>
          <w:szCs w:val="28"/>
          <w:highlight w:val="none"/>
          <w:lang w:eastAsia="zh-CN"/>
        </w:rPr>
        <w:t>二Ο二二年七月二十五日</w:t>
      </w:r>
      <w:r>
        <w:rPr>
          <w:rFonts w:hint="eastAsia" w:eastAsia="楷体"/>
          <w:sz w:val="28"/>
          <w:highlight w:val="none"/>
        </w:rPr>
        <w:t>。</w:t>
      </w:r>
    </w:p>
    <w:p>
      <w:pPr>
        <w:pStyle w:val="3"/>
        <w:keepNext/>
        <w:keepLines/>
        <w:pageBreakBefore w:val="0"/>
        <w:widowControl w:val="0"/>
        <w:numPr>
          <w:ilvl w:val="0"/>
          <w:numId w:val="0"/>
        </w:numPr>
        <w:kinsoku/>
        <w:wordWrap/>
        <w:overflowPunct/>
        <w:topLinePunct w:val="0"/>
        <w:autoSpaceDE/>
        <w:autoSpaceDN/>
        <w:bidi w:val="0"/>
        <w:adjustRightInd/>
        <w:snapToGrid w:val="0"/>
        <w:spacing w:before="0" w:beforeLines="50" w:after="0" w:afterLines="50" w:line="630" w:lineRule="exact"/>
        <w:ind w:leftChars="0"/>
        <w:textAlignment w:val="auto"/>
        <w:rPr>
          <w:highlight w:val="none"/>
        </w:rPr>
      </w:pPr>
      <w:bookmarkStart w:id="100" w:name="_Toc19365"/>
      <w:bookmarkStart w:id="101" w:name="_Toc13857"/>
      <w:bookmarkStart w:id="102" w:name="_Toc451175959"/>
      <w:bookmarkStart w:id="103" w:name="_Toc15337"/>
      <w:r>
        <w:rPr>
          <w:rFonts w:hint="eastAsia"/>
          <w:highlight w:val="none"/>
          <w:lang w:val="en-US" w:eastAsia="zh-CN"/>
        </w:rPr>
        <w:t>十三、</w:t>
      </w:r>
      <w:r>
        <w:rPr>
          <w:rFonts w:hint="eastAsia"/>
          <w:highlight w:val="none"/>
        </w:rPr>
        <w:t>估价作业日期</w:t>
      </w:r>
      <w:bookmarkEnd w:id="100"/>
      <w:bookmarkEnd w:id="101"/>
      <w:bookmarkEnd w:id="102"/>
      <w:bookmarkEnd w:id="103"/>
    </w:p>
    <w:p>
      <w:pPr>
        <w:spacing w:line="630" w:lineRule="exact"/>
        <w:ind w:firstLine="560"/>
        <w:rPr>
          <w:rFonts w:ascii="楷体" w:hAnsi="楷体" w:eastAsia="楷体" w:cs="楷体"/>
          <w:color w:val="000000" w:themeColor="text1"/>
          <w:sz w:val="28"/>
          <w:highlight w:val="none"/>
        </w:rPr>
      </w:pPr>
      <w:r>
        <w:rPr>
          <w:rFonts w:hint="eastAsia" w:ascii="楷体" w:hAnsi="楷体" w:eastAsia="楷体" w:cs="楷体"/>
          <w:color w:val="000000" w:themeColor="text1"/>
          <w:sz w:val="28"/>
          <w:szCs w:val="28"/>
          <w:highlight w:val="none"/>
          <w:lang w:eastAsia="zh-CN"/>
        </w:rPr>
        <w:t>二Ο二二年七月二十五日</w:t>
      </w:r>
      <w:r>
        <w:rPr>
          <w:rFonts w:hint="eastAsia" w:eastAsia="楷体"/>
          <w:sz w:val="28"/>
          <w:highlight w:val="none"/>
        </w:rPr>
        <w:t>至</w:t>
      </w:r>
      <w:r>
        <w:rPr>
          <w:rFonts w:hint="eastAsia" w:ascii="楷体" w:hAnsi="楷体" w:eastAsia="楷体" w:cs="楷体"/>
          <w:color w:val="000000"/>
          <w:sz w:val="28"/>
          <w:szCs w:val="28"/>
          <w:highlight w:val="none"/>
        </w:rPr>
        <w:t>二Ο二二年</w:t>
      </w:r>
      <w:r>
        <w:rPr>
          <w:rFonts w:hint="eastAsia" w:ascii="楷体" w:hAnsi="楷体" w:eastAsia="楷体" w:cs="楷体"/>
          <w:color w:val="000000"/>
          <w:sz w:val="28"/>
          <w:szCs w:val="28"/>
          <w:highlight w:val="none"/>
          <w:lang w:val="en-US" w:eastAsia="zh-CN"/>
        </w:rPr>
        <w:t>七</w:t>
      </w:r>
      <w:r>
        <w:rPr>
          <w:rFonts w:hint="eastAsia" w:ascii="楷体" w:hAnsi="楷体" w:eastAsia="楷体" w:cs="楷体"/>
          <w:color w:val="000000"/>
          <w:sz w:val="28"/>
          <w:szCs w:val="28"/>
          <w:highlight w:val="none"/>
        </w:rPr>
        <w:t>月</w:t>
      </w:r>
      <w:r>
        <w:rPr>
          <w:rFonts w:hint="eastAsia" w:ascii="楷体" w:hAnsi="楷体" w:eastAsia="楷体" w:cs="楷体"/>
          <w:color w:val="000000"/>
          <w:sz w:val="28"/>
          <w:szCs w:val="28"/>
          <w:highlight w:val="none"/>
          <w:lang w:val="en-US" w:eastAsia="zh-CN"/>
        </w:rPr>
        <w:t>二十九</w:t>
      </w:r>
      <w:r>
        <w:rPr>
          <w:rFonts w:hint="eastAsia" w:ascii="楷体" w:hAnsi="楷体" w:eastAsia="楷体" w:cs="楷体"/>
          <w:color w:val="000000"/>
          <w:sz w:val="28"/>
          <w:szCs w:val="28"/>
          <w:highlight w:val="none"/>
        </w:rPr>
        <w:t>日</w:t>
      </w:r>
      <w:r>
        <w:rPr>
          <w:rFonts w:hint="eastAsia" w:ascii="楷体" w:hAnsi="楷体" w:eastAsia="楷体" w:cs="楷体"/>
          <w:color w:val="000000" w:themeColor="text1"/>
          <w:sz w:val="28"/>
          <w:highlight w:val="none"/>
        </w:rPr>
        <w:t>。</w:t>
      </w:r>
    </w:p>
    <w:p>
      <w:pPr>
        <w:pStyle w:val="3"/>
        <w:keepNext/>
        <w:keepLines/>
        <w:pageBreakBefore w:val="0"/>
        <w:widowControl w:val="0"/>
        <w:numPr>
          <w:ilvl w:val="0"/>
          <w:numId w:val="0"/>
        </w:numPr>
        <w:kinsoku/>
        <w:wordWrap/>
        <w:overflowPunct/>
        <w:topLinePunct w:val="0"/>
        <w:autoSpaceDE/>
        <w:autoSpaceDN/>
        <w:bidi w:val="0"/>
        <w:adjustRightInd/>
        <w:snapToGrid w:val="0"/>
        <w:spacing w:before="0" w:beforeLines="50" w:after="0" w:afterLines="50" w:line="630" w:lineRule="exact"/>
        <w:ind w:leftChars="0"/>
        <w:textAlignment w:val="auto"/>
        <w:rPr>
          <w:rFonts w:hint="default" w:eastAsia="楷体"/>
          <w:highlight w:val="none"/>
          <w:lang w:val="en-US" w:eastAsia="zh-CN"/>
        </w:rPr>
      </w:pPr>
      <w:bookmarkStart w:id="104" w:name="_Toc10668"/>
      <w:bookmarkStart w:id="105" w:name="_Toc451175960"/>
      <w:bookmarkStart w:id="106" w:name="_Toc23590"/>
      <w:bookmarkStart w:id="107" w:name="_Toc3517"/>
      <w:r>
        <w:rPr>
          <w:rFonts w:hint="eastAsia"/>
          <w:highlight w:val="none"/>
          <w:lang w:val="en-US" w:eastAsia="zh-CN"/>
        </w:rPr>
        <w:t>十四、</w:t>
      </w:r>
      <w:r>
        <w:rPr>
          <w:rFonts w:hint="eastAsia"/>
          <w:highlight w:val="none"/>
        </w:rPr>
        <w:t>估价报告的</w:t>
      </w:r>
      <w:bookmarkEnd w:id="104"/>
      <w:bookmarkEnd w:id="105"/>
      <w:bookmarkEnd w:id="106"/>
      <w:bookmarkEnd w:id="107"/>
      <w:r>
        <w:rPr>
          <w:rFonts w:hint="eastAsia"/>
          <w:highlight w:val="none"/>
          <w:lang w:val="en-US" w:eastAsia="zh-CN"/>
        </w:rPr>
        <w:t>使用期限</w:t>
      </w:r>
    </w:p>
    <w:p>
      <w:pPr>
        <w:spacing w:line="630" w:lineRule="exact"/>
        <w:ind w:firstLine="565" w:firstLineChars="202"/>
        <w:rPr>
          <w:rFonts w:ascii="楷体" w:hAnsi="楷体" w:eastAsia="楷体" w:cs="楷体"/>
          <w:color w:val="000000" w:themeColor="text1"/>
          <w:sz w:val="28"/>
          <w:highlight w:val="none"/>
        </w:rPr>
      </w:pPr>
      <w:r>
        <w:rPr>
          <w:rFonts w:hint="eastAsia" w:eastAsia="楷体"/>
          <w:bCs/>
          <w:sz w:val="28"/>
          <w:highlight w:val="none"/>
        </w:rPr>
        <w:t>本估价报告的</w:t>
      </w:r>
      <w:r>
        <w:rPr>
          <w:rFonts w:hint="eastAsia" w:eastAsia="楷体"/>
          <w:bCs/>
          <w:sz w:val="28"/>
          <w:highlight w:val="none"/>
          <w:lang w:val="en-US" w:eastAsia="zh-CN"/>
        </w:rPr>
        <w:t>使用期限</w:t>
      </w:r>
      <w:r>
        <w:rPr>
          <w:rFonts w:hint="eastAsia" w:eastAsia="楷体"/>
          <w:bCs/>
          <w:sz w:val="28"/>
          <w:highlight w:val="none"/>
        </w:rPr>
        <w:t>为</w:t>
      </w:r>
      <w:r>
        <w:rPr>
          <w:rFonts w:hint="eastAsia" w:eastAsia="楷体"/>
          <w:sz w:val="28"/>
          <w:highlight w:val="none"/>
        </w:rPr>
        <w:t>壹年（</w:t>
      </w:r>
      <w:r>
        <w:rPr>
          <w:rFonts w:hint="eastAsia" w:ascii="楷体" w:hAnsi="楷体" w:eastAsia="楷体" w:cs="楷体"/>
          <w:color w:val="000000"/>
          <w:sz w:val="28"/>
          <w:szCs w:val="28"/>
          <w:highlight w:val="none"/>
        </w:rPr>
        <w:t>自二Ο二二年</w:t>
      </w:r>
      <w:r>
        <w:rPr>
          <w:rFonts w:hint="eastAsia" w:ascii="楷体" w:hAnsi="楷体" w:eastAsia="楷体" w:cs="楷体"/>
          <w:color w:val="000000"/>
          <w:sz w:val="28"/>
          <w:szCs w:val="28"/>
          <w:highlight w:val="none"/>
          <w:lang w:val="en-US" w:eastAsia="zh-CN"/>
        </w:rPr>
        <w:t>七</w:t>
      </w:r>
      <w:r>
        <w:rPr>
          <w:rFonts w:hint="eastAsia" w:ascii="楷体" w:hAnsi="楷体" w:eastAsia="楷体" w:cs="楷体"/>
          <w:color w:val="000000"/>
          <w:sz w:val="28"/>
          <w:szCs w:val="28"/>
          <w:highlight w:val="none"/>
        </w:rPr>
        <w:t>月</w:t>
      </w:r>
      <w:r>
        <w:rPr>
          <w:rFonts w:hint="eastAsia" w:ascii="楷体" w:hAnsi="楷体" w:eastAsia="楷体" w:cs="楷体"/>
          <w:color w:val="000000"/>
          <w:sz w:val="28"/>
          <w:szCs w:val="28"/>
          <w:highlight w:val="none"/>
          <w:lang w:val="en-US" w:eastAsia="zh-CN"/>
        </w:rPr>
        <w:t>二十九</w:t>
      </w:r>
      <w:r>
        <w:rPr>
          <w:rFonts w:hint="eastAsia" w:ascii="楷体" w:hAnsi="楷体" w:eastAsia="楷体" w:cs="楷体"/>
          <w:color w:val="000000"/>
          <w:sz w:val="28"/>
          <w:szCs w:val="28"/>
          <w:highlight w:val="none"/>
        </w:rPr>
        <w:t>日至二Ο二三年</w:t>
      </w:r>
      <w:r>
        <w:rPr>
          <w:rFonts w:hint="eastAsia" w:ascii="楷体" w:hAnsi="楷体" w:eastAsia="楷体" w:cs="楷体"/>
          <w:color w:val="000000"/>
          <w:sz w:val="28"/>
          <w:szCs w:val="28"/>
          <w:highlight w:val="none"/>
          <w:lang w:val="en-US" w:eastAsia="zh-CN"/>
        </w:rPr>
        <w:t>七</w:t>
      </w:r>
      <w:r>
        <w:rPr>
          <w:rFonts w:hint="eastAsia" w:ascii="楷体" w:hAnsi="楷体" w:eastAsia="楷体" w:cs="楷体"/>
          <w:color w:val="000000"/>
          <w:sz w:val="28"/>
          <w:szCs w:val="28"/>
          <w:highlight w:val="none"/>
        </w:rPr>
        <w:t>月</w:t>
      </w:r>
      <w:r>
        <w:rPr>
          <w:rFonts w:hint="eastAsia" w:ascii="楷体" w:hAnsi="楷体" w:eastAsia="楷体" w:cs="楷体"/>
          <w:color w:val="000000"/>
          <w:sz w:val="28"/>
          <w:szCs w:val="28"/>
          <w:highlight w:val="none"/>
          <w:lang w:val="en-US" w:eastAsia="zh-CN"/>
        </w:rPr>
        <w:t>二十八</w:t>
      </w:r>
      <w:r>
        <w:rPr>
          <w:rFonts w:hint="eastAsia" w:ascii="楷体" w:hAnsi="楷体" w:eastAsia="楷体" w:cs="楷体"/>
          <w:color w:val="000000"/>
          <w:sz w:val="28"/>
          <w:szCs w:val="28"/>
          <w:highlight w:val="none"/>
        </w:rPr>
        <w:t>日止</w:t>
      </w:r>
      <w:r>
        <w:rPr>
          <w:rFonts w:hint="eastAsia" w:eastAsia="楷体"/>
          <w:sz w:val="28"/>
          <w:highlight w:val="none"/>
        </w:rPr>
        <w:t>）。</w:t>
      </w:r>
    </w:p>
    <w:bookmarkEnd w:id="42"/>
    <w:bookmarkEnd w:id="43"/>
    <w:p>
      <w:pPr>
        <w:numPr>
          <w:ilvl w:val="0"/>
          <w:numId w:val="8"/>
        </w:numPr>
        <w:spacing w:line="630" w:lineRule="exact"/>
        <w:jc w:val="left"/>
        <w:rPr>
          <w:rFonts w:ascii="楷体" w:hAnsi="楷体" w:eastAsia="楷体" w:cs="楷体"/>
          <w:color w:val="000000" w:themeColor="text1"/>
          <w:highlight w:val="none"/>
        </w:rPr>
      </w:pPr>
      <w:r>
        <w:rPr>
          <w:rFonts w:hint="eastAsia" w:ascii="楷体" w:hAnsi="楷体" w:eastAsia="楷体" w:cs="楷体"/>
          <w:color w:val="000000" w:themeColor="text1"/>
          <w:highlight w:val="none"/>
        </w:rPr>
        <w:br w:type="page"/>
      </w:r>
      <w:bookmarkEnd w:id="4"/>
      <w:bookmarkEnd w:id="5"/>
      <w:bookmarkEnd w:id="6"/>
      <w:bookmarkEnd w:id="7"/>
      <w:bookmarkEnd w:id="8"/>
    </w:p>
    <w:bookmarkEnd w:id="3"/>
    <w:bookmarkEnd w:id="9"/>
    <w:bookmarkEnd w:id="10"/>
    <w:p>
      <w:pPr>
        <w:pStyle w:val="2"/>
        <w:keepNext/>
        <w:keepLines/>
        <w:pageBreakBefore w:val="0"/>
        <w:widowControl w:val="0"/>
        <w:kinsoku/>
        <w:wordWrap/>
        <w:overflowPunct/>
        <w:topLinePunct w:val="0"/>
        <w:autoSpaceDE/>
        <w:autoSpaceDN/>
        <w:bidi w:val="0"/>
        <w:adjustRightInd/>
        <w:snapToGrid/>
        <w:spacing w:before="0" w:beforeLines="100" w:after="0" w:afterLines="50" w:line="630" w:lineRule="exact"/>
        <w:textAlignment w:val="auto"/>
        <w:rPr>
          <w:rFonts w:ascii="方正黑体简体" w:hAnsi="方正黑体简体" w:eastAsia="方正黑体简体" w:cs="方正黑体简体"/>
          <w:highlight w:val="none"/>
        </w:rPr>
      </w:pPr>
      <w:bookmarkStart w:id="108" w:name="_Toc4481"/>
      <w:bookmarkStart w:id="109" w:name="_Toc12592"/>
      <w:bookmarkStart w:id="110" w:name="_Toc30530"/>
      <w:bookmarkStart w:id="111" w:name="_Toc10184"/>
      <w:r>
        <w:rPr>
          <w:rFonts w:hint="eastAsia" w:ascii="方正黑体简体" w:hAnsi="方正黑体简体" w:eastAsia="方正黑体简体" w:cs="方正黑体简体"/>
          <w:highlight w:val="none"/>
        </w:rPr>
        <w:t>附  件</w:t>
      </w:r>
      <w:bookmarkEnd w:id="108"/>
      <w:bookmarkEnd w:id="109"/>
      <w:bookmarkEnd w:id="110"/>
    </w:p>
    <w:bookmarkEnd w:id="111"/>
    <w:p>
      <w:pPr>
        <w:numPr>
          <w:ilvl w:val="0"/>
          <w:numId w:val="9"/>
        </w:numPr>
        <w:spacing w:line="630" w:lineRule="exact"/>
        <w:ind w:left="0" w:leftChars="0" w:firstLine="420" w:firstLineChars="0"/>
        <w:rPr>
          <w:rFonts w:hint="eastAsia" w:ascii="楷体" w:hAnsi="楷体" w:eastAsia="楷体"/>
          <w:sz w:val="28"/>
          <w:szCs w:val="28"/>
          <w:highlight w:val="none"/>
        </w:rPr>
      </w:pPr>
      <w:r>
        <w:rPr>
          <w:rFonts w:hint="eastAsia" w:ascii="楷体" w:hAnsi="楷体" w:eastAsia="楷体"/>
          <w:sz w:val="28"/>
          <w:szCs w:val="28"/>
          <w:highlight w:val="none"/>
          <w:lang w:eastAsia="zh-CN"/>
        </w:rPr>
        <w:t>《资产评估委托书》</w:t>
      </w:r>
      <w:r>
        <w:rPr>
          <w:rFonts w:hint="eastAsia" w:ascii="楷体" w:hAnsi="楷体" w:eastAsia="楷体"/>
          <w:sz w:val="28"/>
          <w:szCs w:val="28"/>
          <w:highlight w:val="none"/>
        </w:rPr>
        <w:t>复印件</w:t>
      </w:r>
    </w:p>
    <w:p>
      <w:pPr>
        <w:numPr>
          <w:ilvl w:val="0"/>
          <w:numId w:val="9"/>
        </w:numPr>
        <w:spacing w:line="630" w:lineRule="exact"/>
        <w:ind w:left="0" w:leftChars="0" w:firstLine="420" w:firstLineChars="0"/>
        <w:rPr>
          <w:rFonts w:hint="eastAsia" w:ascii="楷体" w:hAnsi="楷体" w:eastAsia="楷体"/>
          <w:sz w:val="28"/>
          <w:szCs w:val="28"/>
          <w:highlight w:val="none"/>
        </w:rPr>
      </w:pPr>
      <w:r>
        <w:rPr>
          <w:rFonts w:hint="eastAsia" w:ascii="楷体" w:hAnsi="楷体" w:eastAsia="楷体"/>
          <w:sz w:val="28"/>
          <w:szCs w:val="28"/>
          <w:highlight w:val="none"/>
        </w:rPr>
        <w:t>估价对象位置图</w:t>
      </w:r>
    </w:p>
    <w:p>
      <w:pPr>
        <w:numPr>
          <w:ilvl w:val="0"/>
          <w:numId w:val="9"/>
        </w:numPr>
        <w:spacing w:line="630" w:lineRule="exact"/>
        <w:ind w:left="0" w:leftChars="0" w:firstLine="420" w:firstLineChars="0"/>
        <w:rPr>
          <w:rFonts w:hint="eastAsia" w:ascii="楷体" w:hAnsi="楷体" w:eastAsia="楷体"/>
          <w:sz w:val="28"/>
          <w:szCs w:val="28"/>
          <w:highlight w:val="none"/>
        </w:rPr>
      </w:pPr>
      <w:r>
        <w:rPr>
          <w:rFonts w:hint="eastAsia" w:ascii="楷体" w:hAnsi="楷体" w:eastAsia="楷体"/>
          <w:sz w:val="28"/>
          <w:szCs w:val="28"/>
          <w:highlight w:val="none"/>
        </w:rPr>
        <w:t>估价对象实景照片</w:t>
      </w:r>
    </w:p>
    <w:p>
      <w:pPr>
        <w:numPr>
          <w:ilvl w:val="0"/>
          <w:numId w:val="9"/>
        </w:numPr>
        <w:spacing w:line="630" w:lineRule="exact"/>
        <w:ind w:left="0" w:leftChars="0" w:firstLine="420" w:firstLineChars="0"/>
        <w:rPr>
          <w:rFonts w:hint="eastAsia" w:ascii="楷体" w:hAnsi="楷体" w:eastAsia="楷体"/>
          <w:sz w:val="28"/>
          <w:szCs w:val="28"/>
          <w:highlight w:val="none"/>
        </w:rPr>
      </w:pPr>
      <w:r>
        <w:rPr>
          <w:rFonts w:hint="eastAsia" w:ascii="楷体" w:hAnsi="楷体" w:eastAsia="楷体"/>
          <w:sz w:val="28"/>
          <w:highlight w:val="none"/>
        </w:rPr>
        <w:t>《</w:t>
      </w:r>
      <w:r>
        <w:rPr>
          <w:rFonts w:hint="eastAsia" w:ascii="楷体" w:hAnsi="楷体" w:eastAsia="楷体"/>
          <w:sz w:val="28"/>
          <w:szCs w:val="28"/>
          <w:highlight w:val="none"/>
        </w:rPr>
        <w:t>杭州市不动产</w:t>
      </w:r>
      <w:r>
        <w:rPr>
          <w:rFonts w:hint="eastAsia" w:ascii="楷体" w:hAnsi="楷体" w:eastAsia="楷体"/>
          <w:sz w:val="28"/>
          <w:szCs w:val="28"/>
          <w:highlight w:val="none"/>
          <w:lang w:val="en-US" w:eastAsia="zh-CN"/>
        </w:rPr>
        <w:t>登记</w:t>
      </w:r>
      <w:r>
        <w:rPr>
          <w:rFonts w:hint="eastAsia" w:ascii="楷体" w:hAnsi="楷体" w:eastAsia="楷体"/>
          <w:sz w:val="28"/>
          <w:szCs w:val="28"/>
          <w:highlight w:val="none"/>
        </w:rPr>
        <w:t>信息查询记录</w:t>
      </w:r>
      <w:r>
        <w:rPr>
          <w:rFonts w:hint="eastAsia" w:ascii="楷体" w:hAnsi="楷体" w:eastAsia="楷体"/>
          <w:sz w:val="28"/>
          <w:highlight w:val="none"/>
        </w:rPr>
        <w:t>》</w:t>
      </w:r>
      <w:r>
        <w:rPr>
          <w:rFonts w:hint="eastAsia" w:ascii="楷体" w:hAnsi="楷体" w:eastAsia="楷体"/>
          <w:sz w:val="28"/>
          <w:szCs w:val="28"/>
          <w:highlight w:val="none"/>
        </w:rPr>
        <w:t>复印件</w:t>
      </w:r>
    </w:p>
    <w:p>
      <w:pPr>
        <w:keepNext w:val="0"/>
        <w:keepLines w:val="0"/>
        <w:pageBreakBefore w:val="0"/>
        <w:widowControl w:val="0"/>
        <w:numPr>
          <w:ilvl w:val="0"/>
          <w:numId w:val="9"/>
        </w:numPr>
        <w:kinsoku/>
        <w:wordWrap/>
        <w:overflowPunct/>
        <w:topLinePunct w:val="0"/>
        <w:autoSpaceDE/>
        <w:autoSpaceDN/>
        <w:bidi w:val="0"/>
        <w:adjustRightInd/>
        <w:snapToGrid/>
        <w:spacing w:line="630" w:lineRule="exact"/>
        <w:ind w:left="0" w:leftChars="0" w:firstLine="420" w:firstLineChars="0"/>
        <w:textAlignment w:val="auto"/>
        <w:rPr>
          <w:rFonts w:hint="eastAsia" w:ascii="楷体" w:hAnsi="楷体" w:eastAsia="楷体"/>
          <w:sz w:val="28"/>
          <w:szCs w:val="28"/>
          <w:highlight w:val="none"/>
        </w:rPr>
      </w:pPr>
      <w:r>
        <w:rPr>
          <w:rFonts w:hint="eastAsia" w:ascii="楷体" w:hAnsi="楷体" w:eastAsia="楷体"/>
          <w:sz w:val="28"/>
          <w:szCs w:val="28"/>
          <w:highlight w:val="none"/>
        </w:rPr>
        <w:t>估价机构营业执照</w:t>
      </w:r>
      <w:r>
        <w:rPr>
          <w:rFonts w:hint="eastAsia" w:ascii="楷体" w:hAnsi="楷体" w:eastAsia="楷体"/>
          <w:sz w:val="28"/>
          <w:szCs w:val="28"/>
          <w:highlight w:val="none"/>
          <w:lang w:val="en-US" w:eastAsia="zh-CN"/>
        </w:rPr>
        <w:t>影</w:t>
      </w:r>
      <w:r>
        <w:rPr>
          <w:rFonts w:hint="eastAsia" w:ascii="楷体" w:hAnsi="楷体" w:eastAsia="楷体"/>
          <w:sz w:val="28"/>
          <w:szCs w:val="28"/>
          <w:highlight w:val="none"/>
        </w:rPr>
        <w:t>印件</w:t>
      </w:r>
    </w:p>
    <w:p>
      <w:pPr>
        <w:numPr>
          <w:ilvl w:val="0"/>
          <w:numId w:val="9"/>
        </w:numPr>
        <w:spacing w:line="630" w:lineRule="exact"/>
        <w:ind w:left="0" w:leftChars="0" w:firstLine="420" w:firstLineChars="0"/>
        <w:rPr>
          <w:rFonts w:hint="eastAsia" w:ascii="楷体" w:hAnsi="楷体" w:eastAsia="楷体"/>
          <w:sz w:val="28"/>
          <w:szCs w:val="28"/>
          <w:highlight w:val="none"/>
        </w:rPr>
      </w:pPr>
      <w:r>
        <w:rPr>
          <w:rFonts w:hint="eastAsia" w:ascii="楷体" w:hAnsi="楷体" w:eastAsia="楷体"/>
          <w:sz w:val="28"/>
          <w:szCs w:val="28"/>
          <w:highlight w:val="none"/>
        </w:rPr>
        <w:t>估价机构备案证书</w:t>
      </w:r>
      <w:r>
        <w:rPr>
          <w:rFonts w:hint="eastAsia" w:ascii="楷体" w:hAnsi="楷体" w:eastAsia="楷体"/>
          <w:sz w:val="28"/>
          <w:szCs w:val="28"/>
          <w:highlight w:val="none"/>
          <w:lang w:val="en-US" w:eastAsia="zh-CN"/>
        </w:rPr>
        <w:t>影</w:t>
      </w:r>
      <w:r>
        <w:rPr>
          <w:rFonts w:hint="eastAsia" w:ascii="楷体" w:hAnsi="楷体" w:eastAsia="楷体"/>
          <w:sz w:val="28"/>
          <w:szCs w:val="28"/>
          <w:highlight w:val="none"/>
        </w:rPr>
        <w:t>印件</w:t>
      </w:r>
    </w:p>
    <w:p>
      <w:pPr>
        <w:numPr>
          <w:ilvl w:val="0"/>
          <w:numId w:val="9"/>
        </w:numPr>
        <w:spacing w:line="630" w:lineRule="exact"/>
        <w:ind w:left="0" w:leftChars="0" w:firstLine="420" w:firstLineChars="0"/>
        <w:rPr>
          <w:rFonts w:hint="eastAsia" w:ascii="楷体" w:hAnsi="楷体" w:eastAsia="楷体"/>
          <w:sz w:val="28"/>
          <w:szCs w:val="28"/>
          <w:highlight w:val="none"/>
        </w:rPr>
      </w:pPr>
      <w:r>
        <w:rPr>
          <w:rFonts w:hint="eastAsia" w:ascii="楷体" w:hAnsi="楷体" w:eastAsia="楷体"/>
          <w:sz w:val="28"/>
          <w:szCs w:val="28"/>
          <w:highlight w:val="none"/>
        </w:rPr>
        <w:t>房地产估价师注册证书</w:t>
      </w:r>
      <w:r>
        <w:rPr>
          <w:rFonts w:hint="eastAsia" w:ascii="楷体" w:hAnsi="楷体" w:eastAsia="楷体"/>
          <w:sz w:val="28"/>
          <w:szCs w:val="28"/>
          <w:highlight w:val="none"/>
          <w:lang w:val="en-US" w:eastAsia="zh-CN"/>
        </w:rPr>
        <w:t>影</w:t>
      </w:r>
      <w:r>
        <w:rPr>
          <w:rFonts w:hint="eastAsia" w:ascii="楷体" w:hAnsi="楷体" w:eastAsia="楷体"/>
          <w:sz w:val="28"/>
          <w:szCs w:val="28"/>
          <w:highlight w:val="none"/>
        </w:rPr>
        <w:t>印件</w:t>
      </w:r>
    </w:p>
    <w:p>
      <w:pPr>
        <w:spacing w:line="630" w:lineRule="exact"/>
        <w:ind w:left="420"/>
        <w:rPr>
          <w:highlight w:val="none"/>
        </w:rPr>
      </w:pPr>
    </w:p>
    <w:p>
      <w:pPr>
        <w:pStyle w:val="8"/>
        <w:tabs>
          <w:tab w:val="right" w:leader="dot" w:pos="8504"/>
        </w:tabs>
        <w:spacing w:line="630" w:lineRule="exact"/>
        <w:ind w:left="420" w:leftChars="0"/>
        <w:outlineLvl w:val="0"/>
        <w:rPr>
          <w:rFonts w:ascii="楷体" w:hAnsi="楷体" w:cs="楷体"/>
          <w:color w:val="000000" w:themeColor="text1"/>
          <w:spacing w:val="20"/>
          <w:sz w:val="28"/>
          <w:szCs w:val="28"/>
          <w:highlight w:val="none"/>
        </w:rPr>
      </w:pPr>
    </w:p>
    <w:sectPr>
      <w:headerReference r:id="rId7" w:type="default"/>
      <w:footerReference r:id="rId8" w:type="default"/>
      <w:pgSz w:w="11906" w:h="16838"/>
      <w:pgMar w:top="1276" w:right="1701" w:bottom="1276" w:left="1797" w:header="907" w:footer="1134"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方正黑体简体">
    <w:altName w:val="Arial Unicode MS"/>
    <w:panose1 w:val="03000509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t xml:space="preserve">- </w:t>
    </w:r>
    <w:r>
      <w:fldChar w:fldCharType="begin"/>
    </w:r>
    <w:r>
      <w:instrText xml:space="preserve"> PAGE </w:instrText>
    </w:r>
    <w:r>
      <w:fldChar w:fldCharType="separate"/>
    </w:r>
    <w:r>
      <w:t>1</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t xml:space="preserve">- </w:t>
    </w:r>
    <w:r>
      <w:fldChar w:fldCharType="begin"/>
    </w:r>
    <w:r>
      <w:instrText xml:space="preserve"> PAGE </w:instrText>
    </w:r>
    <w:r>
      <w:fldChar w:fldCharType="separate"/>
    </w:r>
    <w:r>
      <w:t>6</w:t>
    </w:r>
    <w:r>
      <w:fldChar w:fldCharType="end"/>
    </w:r>
    <w: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distribute"/>
      <w:rPr>
        <w:rFonts w:ascii="楷体" w:hAnsi="楷体" w:eastAsia="楷体" w:cs="楷体"/>
        <w:szCs w:val="18"/>
      </w:rPr>
    </w:pPr>
    <w:r>
      <w:rPr>
        <w:rFonts w:hint="eastAsia" w:ascii="楷体" w:hAnsi="楷体" w:eastAsia="楷体" w:cs="楷体"/>
        <w:szCs w:val="18"/>
      </w:rPr>
      <w:t>杭州天平房地产评估有限公司                                                     房地产估价报告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distribute"/>
      <w:rPr>
        <w:rFonts w:ascii="楷体" w:hAnsi="楷体" w:eastAsia="楷体" w:cs="楷体"/>
        <w:szCs w:val="18"/>
      </w:rPr>
    </w:pPr>
    <w:r>
      <w:rPr>
        <w:rFonts w:hint="eastAsia" w:ascii="楷体" w:hAnsi="楷体" w:eastAsia="楷体" w:cs="楷体"/>
        <w:szCs w:val="18"/>
      </w:rPr>
      <w:t>杭州天平房地产评估有限公司                                                  房地产估价报告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0C6605"/>
    <w:multiLevelType w:val="singleLevel"/>
    <w:tmpl w:val="AE0C6605"/>
    <w:lvl w:ilvl="0" w:tentative="0">
      <w:start w:val="4"/>
      <w:numFmt w:val="chineseCounting"/>
      <w:suff w:val="nothing"/>
      <w:lvlText w:val="（%1）"/>
      <w:lvlJc w:val="left"/>
      <w:rPr>
        <w:rFonts w:hint="eastAsia"/>
      </w:rPr>
    </w:lvl>
  </w:abstractNum>
  <w:abstractNum w:abstractNumId="1">
    <w:nsid w:val="B820B62C"/>
    <w:multiLevelType w:val="singleLevel"/>
    <w:tmpl w:val="B820B62C"/>
    <w:lvl w:ilvl="0" w:tentative="0">
      <w:start w:val="1"/>
      <w:numFmt w:val="chineseCounting"/>
      <w:suff w:val="nothing"/>
      <w:lvlText w:val="%1、"/>
      <w:lvlJc w:val="left"/>
      <w:pPr>
        <w:ind w:left="0" w:firstLine="420"/>
      </w:pPr>
      <w:rPr>
        <w:rFonts w:hint="eastAsia"/>
      </w:rPr>
    </w:lvl>
  </w:abstractNum>
  <w:abstractNum w:abstractNumId="2">
    <w:nsid w:val="D2A4A9E6"/>
    <w:multiLevelType w:val="singleLevel"/>
    <w:tmpl w:val="D2A4A9E6"/>
    <w:lvl w:ilvl="0" w:tentative="0">
      <w:start w:val="1"/>
      <w:numFmt w:val="chineseCounting"/>
      <w:suff w:val="nothing"/>
      <w:lvlText w:val="%1、"/>
      <w:lvlJc w:val="left"/>
      <w:pPr>
        <w:ind w:left="0" w:firstLine="420"/>
      </w:pPr>
      <w:rPr>
        <w:rFonts w:hint="eastAsia"/>
      </w:rPr>
    </w:lvl>
  </w:abstractNum>
  <w:abstractNum w:abstractNumId="3">
    <w:nsid w:val="E5C82F5D"/>
    <w:multiLevelType w:val="singleLevel"/>
    <w:tmpl w:val="E5C82F5D"/>
    <w:lvl w:ilvl="0" w:tentative="0">
      <w:start w:val="1"/>
      <w:numFmt w:val="chineseCounting"/>
      <w:suff w:val="nothing"/>
      <w:lvlText w:val="（%1）"/>
      <w:lvlJc w:val="left"/>
      <w:pPr>
        <w:ind w:left="0" w:firstLine="420"/>
      </w:pPr>
      <w:rPr>
        <w:rFonts w:hint="eastAsia"/>
        <w:sz w:val="28"/>
        <w:szCs w:val="28"/>
      </w:rPr>
    </w:lvl>
  </w:abstractNum>
  <w:abstractNum w:abstractNumId="4">
    <w:nsid w:val="0000000E"/>
    <w:multiLevelType w:val="multilevel"/>
    <w:tmpl w:val="0000000E"/>
    <w:lvl w:ilvl="0" w:tentative="0">
      <w:start w:val="1"/>
      <w:numFmt w:val="japaneseCounting"/>
      <w:lvlText w:val="%1、"/>
      <w:lvlJc w:val="left"/>
      <w:pPr>
        <w:ind w:left="1146"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0BD8361"/>
    <w:multiLevelType w:val="singleLevel"/>
    <w:tmpl w:val="70BD8361"/>
    <w:lvl w:ilvl="0" w:tentative="0">
      <w:start w:val="1"/>
      <w:numFmt w:val="chineseCounting"/>
      <w:suff w:val="nothing"/>
      <w:lvlText w:val="（%1）"/>
      <w:lvlJc w:val="left"/>
      <w:pPr>
        <w:ind w:left="0" w:firstLine="420"/>
      </w:pPr>
      <w:rPr>
        <w:rFonts w:hint="eastAsia"/>
      </w:rPr>
    </w:lvl>
  </w:abstractNum>
  <w:abstractNum w:abstractNumId="6">
    <w:nsid w:val="72221524"/>
    <w:multiLevelType w:val="singleLevel"/>
    <w:tmpl w:val="72221524"/>
    <w:lvl w:ilvl="0" w:tentative="0">
      <w:start w:val="1"/>
      <w:numFmt w:val="chineseCounting"/>
      <w:suff w:val="nothing"/>
      <w:lvlText w:val="（%1）"/>
      <w:lvlJc w:val="left"/>
      <w:pPr>
        <w:ind w:left="0" w:firstLine="420"/>
      </w:pPr>
      <w:rPr>
        <w:rFonts w:hint="eastAsia"/>
      </w:rPr>
    </w:lvl>
  </w:abstractNum>
  <w:abstractNum w:abstractNumId="7">
    <w:nsid w:val="79595DDC"/>
    <w:multiLevelType w:val="singleLevel"/>
    <w:tmpl w:val="79595DDC"/>
    <w:lvl w:ilvl="0" w:tentative="0">
      <w:start w:val="1"/>
      <w:numFmt w:val="chineseCounting"/>
      <w:suff w:val="nothing"/>
      <w:lvlText w:val="（%1）"/>
      <w:lvlJc w:val="left"/>
      <w:pPr>
        <w:ind w:left="0" w:firstLine="420"/>
      </w:pPr>
      <w:rPr>
        <w:rFonts w:hint="eastAsia"/>
      </w:rPr>
    </w:lvl>
  </w:abstractNum>
  <w:abstractNum w:abstractNumId="8">
    <w:nsid w:val="7DC26D32"/>
    <w:multiLevelType w:val="singleLevel"/>
    <w:tmpl w:val="7DC26D32"/>
    <w:lvl w:ilvl="0" w:tentative="0">
      <w:start w:val="1"/>
      <w:numFmt w:val="chineseCounting"/>
      <w:suff w:val="nothing"/>
      <w:lvlText w:val="%1、"/>
      <w:lvlJc w:val="left"/>
      <w:pPr>
        <w:ind w:left="0" w:firstLine="420"/>
      </w:pPr>
      <w:rPr>
        <w:rFonts w:hint="eastAsia"/>
      </w:rPr>
    </w:lvl>
  </w:abstractNum>
  <w:num w:numId="1">
    <w:abstractNumId w:val="2"/>
  </w:num>
  <w:num w:numId="2">
    <w:abstractNumId w:val="8"/>
  </w:num>
  <w:num w:numId="3">
    <w:abstractNumId w:val="7"/>
  </w:num>
  <w:num w:numId="4">
    <w:abstractNumId w:val="5"/>
  </w:num>
  <w:num w:numId="5">
    <w:abstractNumId w:val="4"/>
  </w:num>
  <w:num w:numId="6">
    <w:abstractNumId w:val="0"/>
  </w:num>
  <w:num w:numId="7">
    <w:abstractNumId w:val="6"/>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YWM0YTUzNTlkNTNjY2JkZjAyMjE3N2FhNWY1ZmQ0YWIifQ=="/>
  </w:docVars>
  <w:rsids>
    <w:rsidRoot w:val="00172A27"/>
    <w:rsid w:val="00032689"/>
    <w:rsid w:val="00032891"/>
    <w:rsid w:val="00036622"/>
    <w:rsid w:val="0004724B"/>
    <w:rsid w:val="00074044"/>
    <w:rsid w:val="00077899"/>
    <w:rsid w:val="000974FF"/>
    <w:rsid w:val="000A431A"/>
    <w:rsid w:val="000A547A"/>
    <w:rsid w:val="000A7D6A"/>
    <w:rsid w:val="000B7587"/>
    <w:rsid w:val="000C5000"/>
    <w:rsid w:val="000C61EF"/>
    <w:rsid w:val="000D63A2"/>
    <w:rsid w:val="000F60FD"/>
    <w:rsid w:val="000F6C03"/>
    <w:rsid w:val="0011776A"/>
    <w:rsid w:val="00141373"/>
    <w:rsid w:val="00146B4B"/>
    <w:rsid w:val="00155D1A"/>
    <w:rsid w:val="00167200"/>
    <w:rsid w:val="00172A27"/>
    <w:rsid w:val="00191F4C"/>
    <w:rsid w:val="001957B0"/>
    <w:rsid w:val="00196D29"/>
    <w:rsid w:val="001A0170"/>
    <w:rsid w:val="001A0228"/>
    <w:rsid w:val="001A7A45"/>
    <w:rsid w:val="001B02D6"/>
    <w:rsid w:val="001B4EF3"/>
    <w:rsid w:val="001C1D31"/>
    <w:rsid w:val="001C40D0"/>
    <w:rsid w:val="001E1ED6"/>
    <w:rsid w:val="001E406C"/>
    <w:rsid w:val="001F1CFF"/>
    <w:rsid w:val="00225195"/>
    <w:rsid w:val="00225A4B"/>
    <w:rsid w:val="00237B07"/>
    <w:rsid w:val="00243A20"/>
    <w:rsid w:val="00245C0D"/>
    <w:rsid w:val="00252461"/>
    <w:rsid w:val="002531DB"/>
    <w:rsid w:val="002558ED"/>
    <w:rsid w:val="0026319A"/>
    <w:rsid w:val="002772F0"/>
    <w:rsid w:val="00277C7F"/>
    <w:rsid w:val="002806D6"/>
    <w:rsid w:val="00283622"/>
    <w:rsid w:val="00286FA1"/>
    <w:rsid w:val="00287AAD"/>
    <w:rsid w:val="002B3074"/>
    <w:rsid w:val="002C1E9B"/>
    <w:rsid w:val="002C3290"/>
    <w:rsid w:val="002E025A"/>
    <w:rsid w:val="002E048A"/>
    <w:rsid w:val="002E2DFD"/>
    <w:rsid w:val="002F6BE1"/>
    <w:rsid w:val="00301E33"/>
    <w:rsid w:val="0030794D"/>
    <w:rsid w:val="00315FDC"/>
    <w:rsid w:val="00326F16"/>
    <w:rsid w:val="00332BB1"/>
    <w:rsid w:val="00332EBD"/>
    <w:rsid w:val="00341783"/>
    <w:rsid w:val="00347190"/>
    <w:rsid w:val="00351C99"/>
    <w:rsid w:val="00363606"/>
    <w:rsid w:val="0036695A"/>
    <w:rsid w:val="003837E5"/>
    <w:rsid w:val="00391F5C"/>
    <w:rsid w:val="00395049"/>
    <w:rsid w:val="003962A4"/>
    <w:rsid w:val="003A28D5"/>
    <w:rsid w:val="003A6E79"/>
    <w:rsid w:val="003C0793"/>
    <w:rsid w:val="003D2CEC"/>
    <w:rsid w:val="003D732D"/>
    <w:rsid w:val="003E06BF"/>
    <w:rsid w:val="003E3476"/>
    <w:rsid w:val="003F1115"/>
    <w:rsid w:val="00425640"/>
    <w:rsid w:val="004258AC"/>
    <w:rsid w:val="00430423"/>
    <w:rsid w:val="004407A2"/>
    <w:rsid w:val="00440FF0"/>
    <w:rsid w:val="0044382C"/>
    <w:rsid w:val="004456E3"/>
    <w:rsid w:val="00452147"/>
    <w:rsid w:val="004607F5"/>
    <w:rsid w:val="00461F57"/>
    <w:rsid w:val="004654DD"/>
    <w:rsid w:val="00472909"/>
    <w:rsid w:val="00485D0E"/>
    <w:rsid w:val="00486617"/>
    <w:rsid w:val="00487756"/>
    <w:rsid w:val="0049217D"/>
    <w:rsid w:val="00495178"/>
    <w:rsid w:val="004A46AC"/>
    <w:rsid w:val="004A65A5"/>
    <w:rsid w:val="004B5332"/>
    <w:rsid w:val="004C7D4E"/>
    <w:rsid w:val="004D038C"/>
    <w:rsid w:val="004D1FAD"/>
    <w:rsid w:val="004D42BE"/>
    <w:rsid w:val="00503539"/>
    <w:rsid w:val="00516974"/>
    <w:rsid w:val="00517AC0"/>
    <w:rsid w:val="00517AD2"/>
    <w:rsid w:val="00542750"/>
    <w:rsid w:val="005427F0"/>
    <w:rsid w:val="0054719D"/>
    <w:rsid w:val="00561476"/>
    <w:rsid w:val="00561990"/>
    <w:rsid w:val="00562089"/>
    <w:rsid w:val="00563CA1"/>
    <w:rsid w:val="00570521"/>
    <w:rsid w:val="00574B1A"/>
    <w:rsid w:val="00580A59"/>
    <w:rsid w:val="0058166A"/>
    <w:rsid w:val="005A4227"/>
    <w:rsid w:val="005A722E"/>
    <w:rsid w:val="005B5BC4"/>
    <w:rsid w:val="005D6CAC"/>
    <w:rsid w:val="005E3CB3"/>
    <w:rsid w:val="005E47DD"/>
    <w:rsid w:val="005F18E1"/>
    <w:rsid w:val="005F1B9D"/>
    <w:rsid w:val="005F34FA"/>
    <w:rsid w:val="005F6F2B"/>
    <w:rsid w:val="00603A97"/>
    <w:rsid w:val="0062278C"/>
    <w:rsid w:val="00640532"/>
    <w:rsid w:val="00641ABC"/>
    <w:rsid w:val="006431A1"/>
    <w:rsid w:val="00644F9B"/>
    <w:rsid w:val="00652B56"/>
    <w:rsid w:val="006548A9"/>
    <w:rsid w:val="006665FE"/>
    <w:rsid w:val="00673CA5"/>
    <w:rsid w:val="00677F52"/>
    <w:rsid w:val="006962C3"/>
    <w:rsid w:val="00696ADF"/>
    <w:rsid w:val="006A657E"/>
    <w:rsid w:val="006B003D"/>
    <w:rsid w:val="006B0B2C"/>
    <w:rsid w:val="006B4532"/>
    <w:rsid w:val="006B6287"/>
    <w:rsid w:val="00700476"/>
    <w:rsid w:val="00711681"/>
    <w:rsid w:val="00712350"/>
    <w:rsid w:val="007258D9"/>
    <w:rsid w:val="00731AEF"/>
    <w:rsid w:val="00734393"/>
    <w:rsid w:val="0073661F"/>
    <w:rsid w:val="007452D7"/>
    <w:rsid w:val="00746E68"/>
    <w:rsid w:val="007511C0"/>
    <w:rsid w:val="007547F5"/>
    <w:rsid w:val="00774C92"/>
    <w:rsid w:val="007779AB"/>
    <w:rsid w:val="007839E9"/>
    <w:rsid w:val="00785333"/>
    <w:rsid w:val="007879BC"/>
    <w:rsid w:val="00795204"/>
    <w:rsid w:val="007A67B3"/>
    <w:rsid w:val="007B3577"/>
    <w:rsid w:val="007C0197"/>
    <w:rsid w:val="007D69DD"/>
    <w:rsid w:val="007E2964"/>
    <w:rsid w:val="007E78C2"/>
    <w:rsid w:val="008059E4"/>
    <w:rsid w:val="008258E6"/>
    <w:rsid w:val="00863A4B"/>
    <w:rsid w:val="008705E3"/>
    <w:rsid w:val="008726E9"/>
    <w:rsid w:val="0088470D"/>
    <w:rsid w:val="00890EA3"/>
    <w:rsid w:val="008937B7"/>
    <w:rsid w:val="008F7747"/>
    <w:rsid w:val="0091458D"/>
    <w:rsid w:val="0091770F"/>
    <w:rsid w:val="00920402"/>
    <w:rsid w:val="00922BCD"/>
    <w:rsid w:val="00925096"/>
    <w:rsid w:val="00937023"/>
    <w:rsid w:val="009405E2"/>
    <w:rsid w:val="009448C7"/>
    <w:rsid w:val="00951C61"/>
    <w:rsid w:val="00952CA0"/>
    <w:rsid w:val="00976276"/>
    <w:rsid w:val="0098093C"/>
    <w:rsid w:val="009A1F1C"/>
    <w:rsid w:val="009B2E32"/>
    <w:rsid w:val="009C33F5"/>
    <w:rsid w:val="009C41DD"/>
    <w:rsid w:val="009C7C97"/>
    <w:rsid w:val="009D5D28"/>
    <w:rsid w:val="009E6285"/>
    <w:rsid w:val="009F7FCC"/>
    <w:rsid w:val="00A27E69"/>
    <w:rsid w:val="00A47FC2"/>
    <w:rsid w:val="00A53392"/>
    <w:rsid w:val="00A54A49"/>
    <w:rsid w:val="00A62353"/>
    <w:rsid w:val="00A67BB9"/>
    <w:rsid w:val="00A7425F"/>
    <w:rsid w:val="00A85CBD"/>
    <w:rsid w:val="00A93F04"/>
    <w:rsid w:val="00A9525A"/>
    <w:rsid w:val="00A977D0"/>
    <w:rsid w:val="00AA2F54"/>
    <w:rsid w:val="00AA78B6"/>
    <w:rsid w:val="00AB3B02"/>
    <w:rsid w:val="00AC373E"/>
    <w:rsid w:val="00AD1391"/>
    <w:rsid w:val="00AD71A4"/>
    <w:rsid w:val="00AD78E6"/>
    <w:rsid w:val="00AF50D3"/>
    <w:rsid w:val="00B03BE7"/>
    <w:rsid w:val="00B10D7C"/>
    <w:rsid w:val="00B12374"/>
    <w:rsid w:val="00B21BAC"/>
    <w:rsid w:val="00B30ACB"/>
    <w:rsid w:val="00B31C61"/>
    <w:rsid w:val="00B3497B"/>
    <w:rsid w:val="00B4044E"/>
    <w:rsid w:val="00B5005C"/>
    <w:rsid w:val="00B6174D"/>
    <w:rsid w:val="00B67438"/>
    <w:rsid w:val="00B83AD4"/>
    <w:rsid w:val="00B845B1"/>
    <w:rsid w:val="00B92B45"/>
    <w:rsid w:val="00B935E9"/>
    <w:rsid w:val="00B9717F"/>
    <w:rsid w:val="00BB206B"/>
    <w:rsid w:val="00BB213C"/>
    <w:rsid w:val="00BB2D38"/>
    <w:rsid w:val="00BB3F55"/>
    <w:rsid w:val="00BC09B8"/>
    <w:rsid w:val="00BD25D4"/>
    <w:rsid w:val="00BD3907"/>
    <w:rsid w:val="00BE0848"/>
    <w:rsid w:val="00BE55A0"/>
    <w:rsid w:val="00BE76A7"/>
    <w:rsid w:val="00BF01B9"/>
    <w:rsid w:val="00C01B42"/>
    <w:rsid w:val="00C2061A"/>
    <w:rsid w:val="00C26808"/>
    <w:rsid w:val="00C26BD0"/>
    <w:rsid w:val="00C30720"/>
    <w:rsid w:val="00C3154A"/>
    <w:rsid w:val="00C37BDE"/>
    <w:rsid w:val="00C56528"/>
    <w:rsid w:val="00C6662F"/>
    <w:rsid w:val="00C671D9"/>
    <w:rsid w:val="00C70638"/>
    <w:rsid w:val="00C83CD2"/>
    <w:rsid w:val="00C91E80"/>
    <w:rsid w:val="00C9504E"/>
    <w:rsid w:val="00C955B7"/>
    <w:rsid w:val="00CA043A"/>
    <w:rsid w:val="00CA5488"/>
    <w:rsid w:val="00CA5D49"/>
    <w:rsid w:val="00CA7A35"/>
    <w:rsid w:val="00CB1E82"/>
    <w:rsid w:val="00CD3FA8"/>
    <w:rsid w:val="00CE0E1A"/>
    <w:rsid w:val="00CE133F"/>
    <w:rsid w:val="00CE546A"/>
    <w:rsid w:val="00CF49B4"/>
    <w:rsid w:val="00D02A5E"/>
    <w:rsid w:val="00D121DF"/>
    <w:rsid w:val="00D1455A"/>
    <w:rsid w:val="00D154FC"/>
    <w:rsid w:val="00D17548"/>
    <w:rsid w:val="00D216B9"/>
    <w:rsid w:val="00D2178D"/>
    <w:rsid w:val="00D3672B"/>
    <w:rsid w:val="00D40F31"/>
    <w:rsid w:val="00D44310"/>
    <w:rsid w:val="00D5061E"/>
    <w:rsid w:val="00D92899"/>
    <w:rsid w:val="00D953BD"/>
    <w:rsid w:val="00DA1431"/>
    <w:rsid w:val="00DB24CD"/>
    <w:rsid w:val="00DB28EF"/>
    <w:rsid w:val="00DD449D"/>
    <w:rsid w:val="00DF1EFD"/>
    <w:rsid w:val="00DF7AB7"/>
    <w:rsid w:val="00E154E9"/>
    <w:rsid w:val="00E26626"/>
    <w:rsid w:val="00E352BE"/>
    <w:rsid w:val="00E40679"/>
    <w:rsid w:val="00E51144"/>
    <w:rsid w:val="00E55C78"/>
    <w:rsid w:val="00E57152"/>
    <w:rsid w:val="00E627C0"/>
    <w:rsid w:val="00E71CD8"/>
    <w:rsid w:val="00E82CD3"/>
    <w:rsid w:val="00E83DF0"/>
    <w:rsid w:val="00EB11D7"/>
    <w:rsid w:val="00EB16B7"/>
    <w:rsid w:val="00EB5A22"/>
    <w:rsid w:val="00EC5404"/>
    <w:rsid w:val="00EC75D2"/>
    <w:rsid w:val="00ED46CA"/>
    <w:rsid w:val="00EE21B1"/>
    <w:rsid w:val="00EE52DB"/>
    <w:rsid w:val="00EE5C52"/>
    <w:rsid w:val="00EE6F57"/>
    <w:rsid w:val="00EF0A23"/>
    <w:rsid w:val="00EF0D3B"/>
    <w:rsid w:val="00EF758C"/>
    <w:rsid w:val="00F03D2A"/>
    <w:rsid w:val="00F349D6"/>
    <w:rsid w:val="00F44564"/>
    <w:rsid w:val="00F553CE"/>
    <w:rsid w:val="00F55612"/>
    <w:rsid w:val="00F611DD"/>
    <w:rsid w:val="00F64116"/>
    <w:rsid w:val="00F67A24"/>
    <w:rsid w:val="00F7063F"/>
    <w:rsid w:val="00F719D7"/>
    <w:rsid w:val="00F81598"/>
    <w:rsid w:val="00F84593"/>
    <w:rsid w:val="00F9223A"/>
    <w:rsid w:val="00FA04B3"/>
    <w:rsid w:val="00FB2829"/>
    <w:rsid w:val="00FB7457"/>
    <w:rsid w:val="00FC3235"/>
    <w:rsid w:val="00FC73DB"/>
    <w:rsid w:val="00FD3363"/>
    <w:rsid w:val="00FE0C71"/>
    <w:rsid w:val="00FE4064"/>
    <w:rsid w:val="00FE4417"/>
    <w:rsid w:val="00FF3BD5"/>
    <w:rsid w:val="01014CB7"/>
    <w:rsid w:val="01131A32"/>
    <w:rsid w:val="011A0835"/>
    <w:rsid w:val="011B1E20"/>
    <w:rsid w:val="01323B09"/>
    <w:rsid w:val="013E1580"/>
    <w:rsid w:val="015138CE"/>
    <w:rsid w:val="01586B7D"/>
    <w:rsid w:val="015B2E64"/>
    <w:rsid w:val="016A2761"/>
    <w:rsid w:val="016E6950"/>
    <w:rsid w:val="0171336B"/>
    <w:rsid w:val="01796792"/>
    <w:rsid w:val="017D284D"/>
    <w:rsid w:val="01827C5D"/>
    <w:rsid w:val="01986206"/>
    <w:rsid w:val="01A875DD"/>
    <w:rsid w:val="01CC5E26"/>
    <w:rsid w:val="01CD6344"/>
    <w:rsid w:val="01DA3F15"/>
    <w:rsid w:val="01E6767F"/>
    <w:rsid w:val="01F03469"/>
    <w:rsid w:val="01FB273B"/>
    <w:rsid w:val="02000787"/>
    <w:rsid w:val="02092BC2"/>
    <w:rsid w:val="02151773"/>
    <w:rsid w:val="021F2D2B"/>
    <w:rsid w:val="023E0EA5"/>
    <w:rsid w:val="023E6032"/>
    <w:rsid w:val="024C1960"/>
    <w:rsid w:val="0261791C"/>
    <w:rsid w:val="02741FDC"/>
    <w:rsid w:val="027470FC"/>
    <w:rsid w:val="02973006"/>
    <w:rsid w:val="029D3935"/>
    <w:rsid w:val="02AC64E3"/>
    <w:rsid w:val="02B775C6"/>
    <w:rsid w:val="02BD4086"/>
    <w:rsid w:val="02C71646"/>
    <w:rsid w:val="02CB2AAF"/>
    <w:rsid w:val="02D3267B"/>
    <w:rsid w:val="02DA0756"/>
    <w:rsid w:val="02DA66D9"/>
    <w:rsid w:val="02EA30E4"/>
    <w:rsid w:val="02EB6CE4"/>
    <w:rsid w:val="02FE6D1A"/>
    <w:rsid w:val="030574F1"/>
    <w:rsid w:val="030821FD"/>
    <w:rsid w:val="03091E03"/>
    <w:rsid w:val="03185CC8"/>
    <w:rsid w:val="032453D3"/>
    <w:rsid w:val="032A3240"/>
    <w:rsid w:val="03301D99"/>
    <w:rsid w:val="033C30A2"/>
    <w:rsid w:val="034616F4"/>
    <w:rsid w:val="03516745"/>
    <w:rsid w:val="0357726E"/>
    <w:rsid w:val="0365456D"/>
    <w:rsid w:val="036B2B35"/>
    <w:rsid w:val="03707FB3"/>
    <w:rsid w:val="03743EE2"/>
    <w:rsid w:val="037C4B2A"/>
    <w:rsid w:val="037D4AC6"/>
    <w:rsid w:val="03AB3A21"/>
    <w:rsid w:val="03B61BE9"/>
    <w:rsid w:val="03BD7D9D"/>
    <w:rsid w:val="03C3740D"/>
    <w:rsid w:val="03CA5D0F"/>
    <w:rsid w:val="03D751FE"/>
    <w:rsid w:val="03E40D89"/>
    <w:rsid w:val="03E7366A"/>
    <w:rsid w:val="03FC65D9"/>
    <w:rsid w:val="03FD065F"/>
    <w:rsid w:val="0402181A"/>
    <w:rsid w:val="040915A2"/>
    <w:rsid w:val="04137FBF"/>
    <w:rsid w:val="0428312E"/>
    <w:rsid w:val="0440610F"/>
    <w:rsid w:val="045628DA"/>
    <w:rsid w:val="046244DB"/>
    <w:rsid w:val="047D240A"/>
    <w:rsid w:val="04987F71"/>
    <w:rsid w:val="049F78F0"/>
    <w:rsid w:val="04AF0445"/>
    <w:rsid w:val="04BA6D95"/>
    <w:rsid w:val="04E11812"/>
    <w:rsid w:val="04E706B7"/>
    <w:rsid w:val="04EE3CA1"/>
    <w:rsid w:val="04F04DFC"/>
    <w:rsid w:val="05034C1D"/>
    <w:rsid w:val="05103A0F"/>
    <w:rsid w:val="0519465C"/>
    <w:rsid w:val="05287D8F"/>
    <w:rsid w:val="052A17B5"/>
    <w:rsid w:val="052A1FC3"/>
    <w:rsid w:val="052F0286"/>
    <w:rsid w:val="0534588F"/>
    <w:rsid w:val="053825B2"/>
    <w:rsid w:val="054D15B2"/>
    <w:rsid w:val="054F684A"/>
    <w:rsid w:val="05525D18"/>
    <w:rsid w:val="05723C7C"/>
    <w:rsid w:val="05834EC2"/>
    <w:rsid w:val="05856CF0"/>
    <w:rsid w:val="059310C4"/>
    <w:rsid w:val="05BE190C"/>
    <w:rsid w:val="05BE7E99"/>
    <w:rsid w:val="05C24107"/>
    <w:rsid w:val="05C41C64"/>
    <w:rsid w:val="05CD30E0"/>
    <w:rsid w:val="05D07C16"/>
    <w:rsid w:val="05D92F35"/>
    <w:rsid w:val="05ED208F"/>
    <w:rsid w:val="05F34BA3"/>
    <w:rsid w:val="05F85E55"/>
    <w:rsid w:val="05FD1E26"/>
    <w:rsid w:val="05FF1146"/>
    <w:rsid w:val="06114212"/>
    <w:rsid w:val="06125D57"/>
    <w:rsid w:val="06127C3D"/>
    <w:rsid w:val="062F26A8"/>
    <w:rsid w:val="06334840"/>
    <w:rsid w:val="06594DA3"/>
    <w:rsid w:val="065A53FC"/>
    <w:rsid w:val="065E2393"/>
    <w:rsid w:val="065F10D4"/>
    <w:rsid w:val="066626FE"/>
    <w:rsid w:val="0676175A"/>
    <w:rsid w:val="06776577"/>
    <w:rsid w:val="067B40DF"/>
    <w:rsid w:val="06876005"/>
    <w:rsid w:val="06A353E0"/>
    <w:rsid w:val="06AA3AB5"/>
    <w:rsid w:val="06B87D95"/>
    <w:rsid w:val="06BB2606"/>
    <w:rsid w:val="06C06D04"/>
    <w:rsid w:val="06CA5301"/>
    <w:rsid w:val="06DA24AC"/>
    <w:rsid w:val="06F03A87"/>
    <w:rsid w:val="07277241"/>
    <w:rsid w:val="07325D7A"/>
    <w:rsid w:val="073F5CE6"/>
    <w:rsid w:val="074314BE"/>
    <w:rsid w:val="07477221"/>
    <w:rsid w:val="074A13E0"/>
    <w:rsid w:val="075638FD"/>
    <w:rsid w:val="07572194"/>
    <w:rsid w:val="075A6E36"/>
    <w:rsid w:val="0769262D"/>
    <w:rsid w:val="07871351"/>
    <w:rsid w:val="07876DA3"/>
    <w:rsid w:val="0788435E"/>
    <w:rsid w:val="078F795C"/>
    <w:rsid w:val="07A37B12"/>
    <w:rsid w:val="07C76C14"/>
    <w:rsid w:val="07CE4A3B"/>
    <w:rsid w:val="07DC28A3"/>
    <w:rsid w:val="07ED3609"/>
    <w:rsid w:val="07F9615A"/>
    <w:rsid w:val="08024301"/>
    <w:rsid w:val="081608A9"/>
    <w:rsid w:val="08202DBC"/>
    <w:rsid w:val="08366821"/>
    <w:rsid w:val="083D65F0"/>
    <w:rsid w:val="08550ABF"/>
    <w:rsid w:val="0858484E"/>
    <w:rsid w:val="086041FB"/>
    <w:rsid w:val="08673234"/>
    <w:rsid w:val="086E5D05"/>
    <w:rsid w:val="08805332"/>
    <w:rsid w:val="088A35DE"/>
    <w:rsid w:val="088F539A"/>
    <w:rsid w:val="08955281"/>
    <w:rsid w:val="089A73E5"/>
    <w:rsid w:val="089D7C92"/>
    <w:rsid w:val="08A8125F"/>
    <w:rsid w:val="08AE41FE"/>
    <w:rsid w:val="08BA0844"/>
    <w:rsid w:val="08C83301"/>
    <w:rsid w:val="08D441B9"/>
    <w:rsid w:val="08D73321"/>
    <w:rsid w:val="08DD78CB"/>
    <w:rsid w:val="08DF3617"/>
    <w:rsid w:val="08EC10BC"/>
    <w:rsid w:val="08F051D6"/>
    <w:rsid w:val="08FE0277"/>
    <w:rsid w:val="09172A0D"/>
    <w:rsid w:val="092159E2"/>
    <w:rsid w:val="092B5722"/>
    <w:rsid w:val="092D66BF"/>
    <w:rsid w:val="09380071"/>
    <w:rsid w:val="0953627B"/>
    <w:rsid w:val="0957037C"/>
    <w:rsid w:val="0967273B"/>
    <w:rsid w:val="097431D5"/>
    <w:rsid w:val="09851417"/>
    <w:rsid w:val="09877634"/>
    <w:rsid w:val="09883595"/>
    <w:rsid w:val="0989518D"/>
    <w:rsid w:val="09955A35"/>
    <w:rsid w:val="09956C8E"/>
    <w:rsid w:val="09A86E49"/>
    <w:rsid w:val="09B20A08"/>
    <w:rsid w:val="09B21137"/>
    <w:rsid w:val="09CD0497"/>
    <w:rsid w:val="09E32519"/>
    <w:rsid w:val="09E45BDF"/>
    <w:rsid w:val="0A195DC3"/>
    <w:rsid w:val="0A211A52"/>
    <w:rsid w:val="0A231FA1"/>
    <w:rsid w:val="0A2C1662"/>
    <w:rsid w:val="0A500431"/>
    <w:rsid w:val="0A550CA1"/>
    <w:rsid w:val="0A6939AD"/>
    <w:rsid w:val="0A7077BF"/>
    <w:rsid w:val="0A76027A"/>
    <w:rsid w:val="0A764B67"/>
    <w:rsid w:val="0A8161CC"/>
    <w:rsid w:val="0A8828B9"/>
    <w:rsid w:val="0A900771"/>
    <w:rsid w:val="0A960758"/>
    <w:rsid w:val="0AA90BF2"/>
    <w:rsid w:val="0AB275CF"/>
    <w:rsid w:val="0ABC73BE"/>
    <w:rsid w:val="0AC16AED"/>
    <w:rsid w:val="0AC54FD2"/>
    <w:rsid w:val="0ACA00B8"/>
    <w:rsid w:val="0ACF709A"/>
    <w:rsid w:val="0AD15725"/>
    <w:rsid w:val="0AE16B37"/>
    <w:rsid w:val="0AF002A3"/>
    <w:rsid w:val="0B1D2F63"/>
    <w:rsid w:val="0B253338"/>
    <w:rsid w:val="0B347AF6"/>
    <w:rsid w:val="0B416A16"/>
    <w:rsid w:val="0B4B19E9"/>
    <w:rsid w:val="0B4E5290"/>
    <w:rsid w:val="0B5F0EB8"/>
    <w:rsid w:val="0B6C7020"/>
    <w:rsid w:val="0B702A15"/>
    <w:rsid w:val="0B771030"/>
    <w:rsid w:val="0B80779A"/>
    <w:rsid w:val="0BA6070F"/>
    <w:rsid w:val="0BA7604B"/>
    <w:rsid w:val="0BAA670C"/>
    <w:rsid w:val="0BAC78D5"/>
    <w:rsid w:val="0BB570C5"/>
    <w:rsid w:val="0BBC48D3"/>
    <w:rsid w:val="0BC72462"/>
    <w:rsid w:val="0BD975EB"/>
    <w:rsid w:val="0BED6619"/>
    <w:rsid w:val="0BF35BA6"/>
    <w:rsid w:val="0BFD5AB5"/>
    <w:rsid w:val="0C04503A"/>
    <w:rsid w:val="0C0F4280"/>
    <w:rsid w:val="0C0F64D5"/>
    <w:rsid w:val="0C251A9C"/>
    <w:rsid w:val="0C343E5A"/>
    <w:rsid w:val="0C444C60"/>
    <w:rsid w:val="0C4515BE"/>
    <w:rsid w:val="0C5067FE"/>
    <w:rsid w:val="0C55468D"/>
    <w:rsid w:val="0C5D4C36"/>
    <w:rsid w:val="0C615A92"/>
    <w:rsid w:val="0C805EFF"/>
    <w:rsid w:val="0C827C85"/>
    <w:rsid w:val="0C850EEA"/>
    <w:rsid w:val="0C851EA4"/>
    <w:rsid w:val="0C977B80"/>
    <w:rsid w:val="0C9D4611"/>
    <w:rsid w:val="0CA26468"/>
    <w:rsid w:val="0CA41A11"/>
    <w:rsid w:val="0CAE6033"/>
    <w:rsid w:val="0CCE1990"/>
    <w:rsid w:val="0CDD5B88"/>
    <w:rsid w:val="0CDE7FF1"/>
    <w:rsid w:val="0CEA5E4B"/>
    <w:rsid w:val="0D077B9B"/>
    <w:rsid w:val="0D0C5DFA"/>
    <w:rsid w:val="0D1A0A03"/>
    <w:rsid w:val="0D1A2290"/>
    <w:rsid w:val="0D231F32"/>
    <w:rsid w:val="0D24150A"/>
    <w:rsid w:val="0D292FA3"/>
    <w:rsid w:val="0D2E1312"/>
    <w:rsid w:val="0D335B19"/>
    <w:rsid w:val="0D514B9B"/>
    <w:rsid w:val="0D5D4B5F"/>
    <w:rsid w:val="0D6F2E1D"/>
    <w:rsid w:val="0D7000B9"/>
    <w:rsid w:val="0D77410B"/>
    <w:rsid w:val="0D780DBC"/>
    <w:rsid w:val="0D9B6D57"/>
    <w:rsid w:val="0DA44D31"/>
    <w:rsid w:val="0DC86AF8"/>
    <w:rsid w:val="0DDF1BE8"/>
    <w:rsid w:val="0E010B65"/>
    <w:rsid w:val="0E112FF6"/>
    <w:rsid w:val="0E141872"/>
    <w:rsid w:val="0E1C05B2"/>
    <w:rsid w:val="0E2774A7"/>
    <w:rsid w:val="0E2C0370"/>
    <w:rsid w:val="0E2D4544"/>
    <w:rsid w:val="0E3254A9"/>
    <w:rsid w:val="0E335BA6"/>
    <w:rsid w:val="0E45220C"/>
    <w:rsid w:val="0E4B0886"/>
    <w:rsid w:val="0E5F5066"/>
    <w:rsid w:val="0E653F8C"/>
    <w:rsid w:val="0E6548C0"/>
    <w:rsid w:val="0E8D73D5"/>
    <w:rsid w:val="0E8E2099"/>
    <w:rsid w:val="0E9225C9"/>
    <w:rsid w:val="0E965E43"/>
    <w:rsid w:val="0E9735AA"/>
    <w:rsid w:val="0E9B3B85"/>
    <w:rsid w:val="0EBE186B"/>
    <w:rsid w:val="0ED00C0F"/>
    <w:rsid w:val="0ED5370C"/>
    <w:rsid w:val="0EE33613"/>
    <w:rsid w:val="0EEC0BBF"/>
    <w:rsid w:val="0EF249A8"/>
    <w:rsid w:val="0EF33696"/>
    <w:rsid w:val="0EF43256"/>
    <w:rsid w:val="0F0339B3"/>
    <w:rsid w:val="0F0A18D6"/>
    <w:rsid w:val="0F0A3B56"/>
    <w:rsid w:val="0F0F39CD"/>
    <w:rsid w:val="0F1470DF"/>
    <w:rsid w:val="0F244062"/>
    <w:rsid w:val="0F2C5412"/>
    <w:rsid w:val="0F423C90"/>
    <w:rsid w:val="0F4F3C7B"/>
    <w:rsid w:val="0F654466"/>
    <w:rsid w:val="0F7778AF"/>
    <w:rsid w:val="0F925C4D"/>
    <w:rsid w:val="0FA94400"/>
    <w:rsid w:val="0FB02211"/>
    <w:rsid w:val="0FB37482"/>
    <w:rsid w:val="0FBF1CE2"/>
    <w:rsid w:val="0FD53E86"/>
    <w:rsid w:val="0FE013D7"/>
    <w:rsid w:val="0FE05FFF"/>
    <w:rsid w:val="0FE32E12"/>
    <w:rsid w:val="0FEE0542"/>
    <w:rsid w:val="0FFB716C"/>
    <w:rsid w:val="10031799"/>
    <w:rsid w:val="100928A7"/>
    <w:rsid w:val="100D0566"/>
    <w:rsid w:val="10136650"/>
    <w:rsid w:val="101766EF"/>
    <w:rsid w:val="101C1F4D"/>
    <w:rsid w:val="101E3A06"/>
    <w:rsid w:val="10202AD6"/>
    <w:rsid w:val="10272DE1"/>
    <w:rsid w:val="102B0279"/>
    <w:rsid w:val="102D753F"/>
    <w:rsid w:val="103617AF"/>
    <w:rsid w:val="107423E2"/>
    <w:rsid w:val="108814FD"/>
    <w:rsid w:val="108B1368"/>
    <w:rsid w:val="10A21FC5"/>
    <w:rsid w:val="10A54FD3"/>
    <w:rsid w:val="10A650A0"/>
    <w:rsid w:val="10B24403"/>
    <w:rsid w:val="10BD7019"/>
    <w:rsid w:val="10C42B3E"/>
    <w:rsid w:val="10CE375D"/>
    <w:rsid w:val="10F32869"/>
    <w:rsid w:val="11044FC7"/>
    <w:rsid w:val="110527E5"/>
    <w:rsid w:val="112E44A5"/>
    <w:rsid w:val="11444655"/>
    <w:rsid w:val="11492DE0"/>
    <w:rsid w:val="114A6CDB"/>
    <w:rsid w:val="114E4B23"/>
    <w:rsid w:val="115E4FD3"/>
    <w:rsid w:val="11657718"/>
    <w:rsid w:val="116C0AA4"/>
    <w:rsid w:val="118227DF"/>
    <w:rsid w:val="118E227B"/>
    <w:rsid w:val="11921EA0"/>
    <w:rsid w:val="119F419B"/>
    <w:rsid w:val="11AA3CF7"/>
    <w:rsid w:val="11AB3B00"/>
    <w:rsid w:val="11B20ED2"/>
    <w:rsid w:val="11B7720B"/>
    <w:rsid w:val="11C05070"/>
    <w:rsid w:val="11CA3C61"/>
    <w:rsid w:val="11D237A6"/>
    <w:rsid w:val="11D51EDB"/>
    <w:rsid w:val="11D57124"/>
    <w:rsid w:val="11DF6239"/>
    <w:rsid w:val="11F12EFC"/>
    <w:rsid w:val="12050AF2"/>
    <w:rsid w:val="1208585F"/>
    <w:rsid w:val="120D1BAF"/>
    <w:rsid w:val="121713E6"/>
    <w:rsid w:val="121E5148"/>
    <w:rsid w:val="121F7E41"/>
    <w:rsid w:val="12227BB1"/>
    <w:rsid w:val="12235046"/>
    <w:rsid w:val="122E5C82"/>
    <w:rsid w:val="12361A43"/>
    <w:rsid w:val="12617F82"/>
    <w:rsid w:val="126C6986"/>
    <w:rsid w:val="127D3116"/>
    <w:rsid w:val="12873776"/>
    <w:rsid w:val="12994089"/>
    <w:rsid w:val="129B5E9B"/>
    <w:rsid w:val="12AA72E3"/>
    <w:rsid w:val="12AC24D6"/>
    <w:rsid w:val="12B6732D"/>
    <w:rsid w:val="12B678AF"/>
    <w:rsid w:val="12B75858"/>
    <w:rsid w:val="12BA6EBC"/>
    <w:rsid w:val="12BE2595"/>
    <w:rsid w:val="12D563F1"/>
    <w:rsid w:val="12D954AA"/>
    <w:rsid w:val="12E54297"/>
    <w:rsid w:val="130C3D33"/>
    <w:rsid w:val="130F0201"/>
    <w:rsid w:val="13110E99"/>
    <w:rsid w:val="1315338A"/>
    <w:rsid w:val="13167A74"/>
    <w:rsid w:val="1355468A"/>
    <w:rsid w:val="135D51B9"/>
    <w:rsid w:val="13795601"/>
    <w:rsid w:val="137D7B01"/>
    <w:rsid w:val="137F1C0E"/>
    <w:rsid w:val="139173E1"/>
    <w:rsid w:val="13973053"/>
    <w:rsid w:val="13C17083"/>
    <w:rsid w:val="13C938D7"/>
    <w:rsid w:val="13CE64C8"/>
    <w:rsid w:val="13E420D1"/>
    <w:rsid w:val="1402733B"/>
    <w:rsid w:val="141126D1"/>
    <w:rsid w:val="142975DB"/>
    <w:rsid w:val="142D1A1B"/>
    <w:rsid w:val="1430370A"/>
    <w:rsid w:val="14335A79"/>
    <w:rsid w:val="14397A6A"/>
    <w:rsid w:val="144776E7"/>
    <w:rsid w:val="14490944"/>
    <w:rsid w:val="144C6FC7"/>
    <w:rsid w:val="14535AF7"/>
    <w:rsid w:val="14920D8C"/>
    <w:rsid w:val="1499259A"/>
    <w:rsid w:val="149D2E3A"/>
    <w:rsid w:val="14B13CE5"/>
    <w:rsid w:val="14C2630C"/>
    <w:rsid w:val="14CE4728"/>
    <w:rsid w:val="14D06719"/>
    <w:rsid w:val="14D073D9"/>
    <w:rsid w:val="14D43A70"/>
    <w:rsid w:val="14D7226C"/>
    <w:rsid w:val="14D87CC6"/>
    <w:rsid w:val="14EE45A0"/>
    <w:rsid w:val="14F21926"/>
    <w:rsid w:val="14FB4173"/>
    <w:rsid w:val="15281730"/>
    <w:rsid w:val="152C487D"/>
    <w:rsid w:val="153348C4"/>
    <w:rsid w:val="15367BBB"/>
    <w:rsid w:val="15476F29"/>
    <w:rsid w:val="15514E5A"/>
    <w:rsid w:val="155A29DF"/>
    <w:rsid w:val="156B7B78"/>
    <w:rsid w:val="1573554C"/>
    <w:rsid w:val="157B47EE"/>
    <w:rsid w:val="157B607D"/>
    <w:rsid w:val="158908E2"/>
    <w:rsid w:val="15AB661B"/>
    <w:rsid w:val="15B5629D"/>
    <w:rsid w:val="15B57927"/>
    <w:rsid w:val="15C56DEE"/>
    <w:rsid w:val="15E72B7C"/>
    <w:rsid w:val="16033142"/>
    <w:rsid w:val="16277771"/>
    <w:rsid w:val="163C57D0"/>
    <w:rsid w:val="163E7524"/>
    <w:rsid w:val="164C3390"/>
    <w:rsid w:val="165C1A47"/>
    <w:rsid w:val="166172A0"/>
    <w:rsid w:val="16913B34"/>
    <w:rsid w:val="16983DAC"/>
    <w:rsid w:val="16C543C5"/>
    <w:rsid w:val="16D26A63"/>
    <w:rsid w:val="16D66719"/>
    <w:rsid w:val="16EC6C3B"/>
    <w:rsid w:val="16F86CF6"/>
    <w:rsid w:val="17155AED"/>
    <w:rsid w:val="17174E15"/>
    <w:rsid w:val="17187CDF"/>
    <w:rsid w:val="171D6791"/>
    <w:rsid w:val="17204247"/>
    <w:rsid w:val="1737153C"/>
    <w:rsid w:val="17385718"/>
    <w:rsid w:val="173B6502"/>
    <w:rsid w:val="17401F45"/>
    <w:rsid w:val="174B4F71"/>
    <w:rsid w:val="17537A06"/>
    <w:rsid w:val="17705037"/>
    <w:rsid w:val="177176AD"/>
    <w:rsid w:val="177E4F0D"/>
    <w:rsid w:val="17805515"/>
    <w:rsid w:val="178B57D4"/>
    <w:rsid w:val="179B4C68"/>
    <w:rsid w:val="17AD7EE0"/>
    <w:rsid w:val="17B13FF9"/>
    <w:rsid w:val="17B26290"/>
    <w:rsid w:val="17BC0000"/>
    <w:rsid w:val="17BD7529"/>
    <w:rsid w:val="17D773F7"/>
    <w:rsid w:val="17DC54BB"/>
    <w:rsid w:val="17E104EE"/>
    <w:rsid w:val="17E72C09"/>
    <w:rsid w:val="17ED5094"/>
    <w:rsid w:val="17EF10D7"/>
    <w:rsid w:val="17FC0ACC"/>
    <w:rsid w:val="180625B1"/>
    <w:rsid w:val="1807129E"/>
    <w:rsid w:val="18251D49"/>
    <w:rsid w:val="18282DD3"/>
    <w:rsid w:val="182D69AD"/>
    <w:rsid w:val="18386669"/>
    <w:rsid w:val="1845427A"/>
    <w:rsid w:val="1860166E"/>
    <w:rsid w:val="186B60FA"/>
    <w:rsid w:val="187A7987"/>
    <w:rsid w:val="188470C9"/>
    <w:rsid w:val="188A331D"/>
    <w:rsid w:val="188F3B64"/>
    <w:rsid w:val="18A47843"/>
    <w:rsid w:val="18B072B4"/>
    <w:rsid w:val="18BC6DCF"/>
    <w:rsid w:val="18CD55E7"/>
    <w:rsid w:val="18D30E6E"/>
    <w:rsid w:val="18D568BE"/>
    <w:rsid w:val="18E117C4"/>
    <w:rsid w:val="19132DBC"/>
    <w:rsid w:val="19231F84"/>
    <w:rsid w:val="193B416C"/>
    <w:rsid w:val="19462CB4"/>
    <w:rsid w:val="196E22DF"/>
    <w:rsid w:val="196F34AA"/>
    <w:rsid w:val="196F4E94"/>
    <w:rsid w:val="198E1DE3"/>
    <w:rsid w:val="19906F63"/>
    <w:rsid w:val="199C11B2"/>
    <w:rsid w:val="19A02AD7"/>
    <w:rsid w:val="19A6768F"/>
    <w:rsid w:val="19A95372"/>
    <w:rsid w:val="19C57860"/>
    <w:rsid w:val="19C71E29"/>
    <w:rsid w:val="19C75FCD"/>
    <w:rsid w:val="19C833DC"/>
    <w:rsid w:val="19D0657E"/>
    <w:rsid w:val="19DA36E0"/>
    <w:rsid w:val="19DD315C"/>
    <w:rsid w:val="19DE2288"/>
    <w:rsid w:val="19E26F6A"/>
    <w:rsid w:val="19E31D9D"/>
    <w:rsid w:val="19E804D0"/>
    <w:rsid w:val="19EC69D4"/>
    <w:rsid w:val="19F14504"/>
    <w:rsid w:val="19F25C88"/>
    <w:rsid w:val="19FD0DC9"/>
    <w:rsid w:val="1A081318"/>
    <w:rsid w:val="1A0B34E2"/>
    <w:rsid w:val="1A127499"/>
    <w:rsid w:val="1A1B310D"/>
    <w:rsid w:val="1A1E07D1"/>
    <w:rsid w:val="1A1E677A"/>
    <w:rsid w:val="1A2B7F77"/>
    <w:rsid w:val="1A473A0A"/>
    <w:rsid w:val="1A5272C8"/>
    <w:rsid w:val="1A5C6CAC"/>
    <w:rsid w:val="1A756AA6"/>
    <w:rsid w:val="1A7900E8"/>
    <w:rsid w:val="1A7A5B4E"/>
    <w:rsid w:val="1A804120"/>
    <w:rsid w:val="1A8176F6"/>
    <w:rsid w:val="1A9C0403"/>
    <w:rsid w:val="1AAC2CBB"/>
    <w:rsid w:val="1AAE05B6"/>
    <w:rsid w:val="1AB82D84"/>
    <w:rsid w:val="1ABC0D01"/>
    <w:rsid w:val="1ABE5DBB"/>
    <w:rsid w:val="1AD95915"/>
    <w:rsid w:val="1AE63612"/>
    <w:rsid w:val="1AF94CC0"/>
    <w:rsid w:val="1B0433E1"/>
    <w:rsid w:val="1B0E4F84"/>
    <w:rsid w:val="1B141447"/>
    <w:rsid w:val="1B217324"/>
    <w:rsid w:val="1B267A54"/>
    <w:rsid w:val="1B4D47CC"/>
    <w:rsid w:val="1B5D7B73"/>
    <w:rsid w:val="1B5F6296"/>
    <w:rsid w:val="1B601E5F"/>
    <w:rsid w:val="1B6F35D2"/>
    <w:rsid w:val="1B7316B6"/>
    <w:rsid w:val="1B79518D"/>
    <w:rsid w:val="1B7951CF"/>
    <w:rsid w:val="1B9F77CF"/>
    <w:rsid w:val="1BA03FAD"/>
    <w:rsid w:val="1BAD0EC9"/>
    <w:rsid w:val="1BC3580A"/>
    <w:rsid w:val="1BC73C92"/>
    <w:rsid w:val="1BC84091"/>
    <w:rsid w:val="1BD81AE5"/>
    <w:rsid w:val="1BF510BE"/>
    <w:rsid w:val="1BF5197B"/>
    <w:rsid w:val="1C0A2394"/>
    <w:rsid w:val="1C161CA6"/>
    <w:rsid w:val="1C172B3C"/>
    <w:rsid w:val="1C370501"/>
    <w:rsid w:val="1C502905"/>
    <w:rsid w:val="1C514422"/>
    <w:rsid w:val="1C7551F6"/>
    <w:rsid w:val="1C811901"/>
    <w:rsid w:val="1C9545B0"/>
    <w:rsid w:val="1CA82357"/>
    <w:rsid w:val="1CAB6F69"/>
    <w:rsid w:val="1CAE5ECD"/>
    <w:rsid w:val="1CB850A1"/>
    <w:rsid w:val="1CC3484D"/>
    <w:rsid w:val="1CC35955"/>
    <w:rsid w:val="1CD767C0"/>
    <w:rsid w:val="1CD86535"/>
    <w:rsid w:val="1CDE1AC7"/>
    <w:rsid w:val="1CE20E98"/>
    <w:rsid w:val="1CE356DD"/>
    <w:rsid w:val="1CF01EEC"/>
    <w:rsid w:val="1CFF632B"/>
    <w:rsid w:val="1D047D6B"/>
    <w:rsid w:val="1D245DC7"/>
    <w:rsid w:val="1D2B5C05"/>
    <w:rsid w:val="1D39508E"/>
    <w:rsid w:val="1D4B3D03"/>
    <w:rsid w:val="1D4D5A93"/>
    <w:rsid w:val="1D4E5D5F"/>
    <w:rsid w:val="1D754932"/>
    <w:rsid w:val="1D792AFB"/>
    <w:rsid w:val="1D8D7281"/>
    <w:rsid w:val="1D980F2A"/>
    <w:rsid w:val="1DAB755C"/>
    <w:rsid w:val="1DB70EB9"/>
    <w:rsid w:val="1DCA41AE"/>
    <w:rsid w:val="1DCB52F0"/>
    <w:rsid w:val="1DD5026B"/>
    <w:rsid w:val="1DD63321"/>
    <w:rsid w:val="1DEA34E1"/>
    <w:rsid w:val="1DED1FEA"/>
    <w:rsid w:val="1DF44011"/>
    <w:rsid w:val="1DF81D7F"/>
    <w:rsid w:val="1E0561EB"/>
    <w:rsid w:val="1E06195E"/>
    <w:rsid w:val="1E1A4A4A"/>
    <w:rsid w:val="1E1E2588"/>
    <w:rsid w:val="1E1E44BB"/>
    <w:rsid w:val="1E2B31E1"/>
    <w:rsid w:val="1E31338C"/>
    <w:rsid w:val="1E3455D9"/>
    <w:rsid w:val="1E3608F1"/>
    <w:rsid w:val="1E3A7241"/>
    <w:rsid w:val="1E4503E2"/>
    <w:rsid w:val="1E464AB1"/>
    <w:rsid w:val="1E487D98"/>
    <w:rsid w:val="1E4B1042"/>
    <w:rsid w:val="1E5966FD"/>
    <w:rsid w:val="1E5C5A8A"/>
    <w:rsid w:val="1E635735"/>
    <w:rsid w:val="1E674934"/>
    <w:rsid w:val="1E6A6DE0"/>
    <w:rsid w:val="1E6C0347"/>
    <w:rsid w:val="1E806DE2"/>
    <w:rsid w:val="1E8C4488"/>
    <w:rsid w:val="1E9342BA"/>
    <w:rsid w:val="1E9B3EFB"/>
    <w:rsid w:val="1E9E668F"/>
    <w:rsid w:val="1EC02A3C"/>
    <w:rsid w:val="1EC46171"/>
    <w:rsid w:val="1ECE533F"/>
    <w:rsid w:val="1EDB6B41"/>
    <w:rsid w:val="1EF64365"/>
    <w:rsid w:val="1EF71194"/>
    <w:rsid w:val="1EF925B4"/>
    <w:rsid w:val="1F082CE5"/>
    <w:rsid w:val="1F204EA9"/>
    <w:rsid w:val="1F354C71"/>
    <w:rsid w:val="1F3C6A6F"/>
    <w:rsid w:val="1F3F2BD4"/>
    <w:rsid w:val="1F476D3D"/>
    <w:rsid w:val="1F4E656C"/>
    <w:rsid w:val="1F5F7113"/>
    <w:rsid w:val="1F7A2683"/>
    <w:rsid w:val="1F8C6A0D"/>
    <w:rsid w:val="1F9A0C53"/>
    <w:rsid w:val="1FB90E64"/>
    <w:rsid w:val="1FBD6041"/>
    <w:rsid w:val="1FC16199"/>
    <w:rsid w:val="1FE05C80"/>
    <w:rsid w:val="1FEC732D"/>
    <w:rsid w:val="20033F7F"/>
    <w:rsid w:val="20044E12"/>
    <w:rsid w:val="2007713A"/>
    <w:rsid w:val="201E5C4D"/>
    <w:rsid w:val="202672B7"/>
    <w:rsid w:val="202F348A"/>
    <w:rsid w:val="203533B3"/>
    <w:rsid w:val="203D7B4E"/>
    <w:rsid w:val="203F395C"/>
    <w:rsid w:val="204235E3"/>
    <w:rsid w:val="2046367C"/>
    <w:rsid w:val="204A0167"/>
    <w:rsid w:val="204E054D"/>
    <w:rsid w:val="205B6824"/>
    <w:rsid w:val="205E222D"/>
    <w:rsid w:val="206041D8"/>
    <w:rsid w:val="20667676"/>
    <w:rsid w:val="206C32B9"/>
    <w:rsid w:val="20941DE2"/>
    <w:rsid w:val="20DB1F23"/>
    <w:rsid w:val="20E22222"/>
    <w:rsid w:val="20EB5FA4"/>
    <w:rsid w:val="21135D57"/>
    <w:rsid w:val="2113617E"/>
    <w:rsid w:val="21192430"/>
    <w:rsid w:val="21325907"/>
    <w:rsid w:val="21361BE1"/>
    <w:rsid w:val="214037C6"/>
    <w:rsid w:val="214A61D0"/>
    <w:rsid w:val="214E2256"/>
    <w:rsid w:val="216D4EBB"/>
    <w:rsid w:val="216E61B7"/>
    <w:rsid w:val="216F58F9"/>
    <w:rsid w:val="218D02BC"/>
    <w:rsid w:val="21955A8E"/>
    <w:rsid w:val="21A33CC7"/>
    <w:rsid w:val="21B34242"/>
    <w:rsid w:val="21D270F2"/>
    <w:rsid w:val="21D42297"/>
    <w:rsid w:val="21E656DA"/>
    <w:rsid w:val="21EA5EBF"/>
    <w:rsid w:val="21EF1F36"/>
    <w:rsid w:val="22106188"/>
    <w:rsid w:val="221C6196"/>
    <w:rsid w:val="22257A7E"/>
    <w:rsid w:val="22441326"/>
    <w:rsid w:val="22630AFE"/>
    <w:rsid w:val="226C6A41"/>
    <w:rsid w:val="22872552"/>
    <w:rsid w:val="228E09B7"/>
    <w:rsid w:val="22A92A14"/>
    <w:rsid w:val="22A93ACD"/>
    <w:rsid w:val="22B92A81"/>
    <w:rsid w:val="22BB3DB0"/>
    <w:rsid w:val="22C0252C"/>
    <w:rsid w:val="22E51FCF"/>
    <w:rsid w:val="22F27CEF"/>
    <w:rsid w:val="22F47007"/>
    <w:rsid w:val="22F605C2"/>
    <w:rsid w:val="230A0591"/>
    <w:rsid w:val="232A365C"/>
    <w:rsid w:val="23371709"/>
    <w:rsid w:val="233B1D5C"/>
    <w:rsid w:val="233F582B"/>
    <w:rsid w:val="234D67AA"/>
    <w:rsid w:val="23514956"/>
    <w:rsid w:val="235266BE"/>
    <w:rsid w:val="235419B3"/>
    <w:rsid w:val="235F7E04"/>
    <w:rsid w:val="236B7609"/>
    <w:rsid w:val="23701FEC"/>
    <w:rsid w:val="238C4CE2"/>
    <w:rsid w:val="23A93A90"/>
    <w:rsid w:val="23B452A1"/>
    <w:rsid w:val="23BF3BC5"/>
    <w:rsid w:val="23BF6944"/>
    <w:rsid w:val="23C130E3"/>
    <w:rsid w:val="23D6232B"/>
    <w:rsid w:val="23D6451A"/>
    <w:rsid w:val="23D93C86"/>
    <w:rsid w:val="23E6478B"/>
    <w:rsid w:val="24065080"/>
    <w:rsid w:val="240C3097"/>
    <w:rsid w:val="240D76D8"/>
    <w:rsid w:val="240E5957"/>
    <w:rsid w:val="24305AB5"/>
    <w:rsid w:val="24356CB2"/>
    <w:rsid w:val="243B1909"/>
    <w:rsid w:val="243C6142"/>
    <w:rsid w:val="24617540"/>
    <w:rsid w:val="246760DF"/>
    <w:rsid w:val="246F34D3"/>
    <w:rsid w:val="247455AC"/>
    <w:rsid w:val="247918A8"/>
    <w:rsid w:val="24AD09E6"/>
    <w:rsid w:val="24B016C9"/>
    <w:rsid w:val="24B804C8"/>
    <w:rsid w:val="24BE7009"/>
    <w:rsid w:val="24C50845"/>
    <w:rsid w:val="24D05CB7"/>
    <w:rsid w:val="24D35C48"/>
    <w:rsid w:val="24E17E30"/>
    <w:rsid w:val="24E6364B"/>
    <w:rsid w:val="24EA2CA5"/>
    <w:rsid w:val="24EA6467"/>
    <w:rsid w:val="24F13D32"/>
    <w:rsid w:val="24FD5703"/>
    <w:rsid w:val="25004A9A"/>
    <w:rsid w:val="250A1DDA"/>
    <w:rsid w:val="250A5FE8"/>
    <w:rsid w:val="251731AF"/>
    <w:rsid w:val="251A3587"/>
    <w:rsid w:val="251D0771"/>
    <w:rsid w:val="252647A9"/>
    <w:rsid w:val="25292703"/>
    <w:rsid w:val="252C1978"/>
    <w:rsid w:val="25326053"/>
    <w:rsid w:val="25331CB9"/>
    <w:rsid w:val="253554FF"/>
    <w:rsid w:val="253604AE"/>
    <w:rsid w:val="25467268"/>
    <w:rsid w:val="2552044A"/>
    <w:rsid w:val="25591B78"/>
    <w:rsid w:val="255C2793"/>
    <w:rsid w:val="25690CB9"/>
    <w:rsid w:val="258B6D6F"/>
    <w:rsid w:val="258D16A1"/>
    <w:rsid w:val="25A262B6"/>
    <w:rsid w:val="25A47CD0"/>
    <w:rsid w:val="25A54BB6"/>
    <w:rsid w:val="25BB17B6"/>
    <w:rsid w:val="25C90DA6"/>
    <w:rsid w:val="25DA1CE8"/>
    <w:rsid w:val="25F53321"/>
    <w:rsid w:val="25F9101A"/>
    <w:rsid w:val="25FF6E63"/>
    <w:rsid w:val="26207A88"/>
    <w:rsid w:val="26353F04"/>
    <w:rsid w:val="26432452"/>
    <w:rsid w:val="265F75D8"/>
    <w:rsid w:val="26647C45"/>
    <w:rsid w:val="26715039"/>
    <w:rsid w:val="26890700"/>
    <w:rsid w:val="26910426"/>
    <w:rsid w:val="26920F16"/>
    <w:rsid w:val="269B4CA6"/>
    <w:rsid w:val="26AF0400"/>
    <w:rsid w:val="26BB0FB5"/>
    <w:rsid w:val="26BC45E7"/>
    <w:rsid w:val="26C61C98"/>
    <w:rsid w:val="26CC3869"/>
    <w:rsid w:val="26D62EF0"/>
    <w:rsid w:val="26EA17E5"/>
    <w:rsid w:val="26EA65A5"/>
    <w:rsid w:val="272012FE"/>
    <w:rsid w:val="272327ED"/>
    <w:rsid w:val="272467C0"/>
    <w:rsid w:val="27250A22"/>
    <w:rsid w:val="273A7D75"/>
    <w:rsid w:val="275346EB"/>
    <w:rsid w:val="27534701"/>
    <w:rsid w:val="27544493"/>
    <w:rsid w:val="27582595"/>
    <w:rsid w:val="27655331"/>
    <w:rsid w:val="27896154"/>
    <w:rsid w:val="27BB5CF6"/>
    <w:rsid w:val="27CC3A3C"/>
    <w:rsid w:val="27CE52EC"/>
    <w:rsid w:val="27DB21EA"/>
    <w:rsid w:val="27DD178B"/>
    <w:rsid w:val="27E21865"/>
    <w:rsid w:val="27E868C0"/>
    <w:rsid w:val="27F131E8"/>
    <w:rsid w:val="281A560D"/>
    <w:rsid w:val="28490CC5"/>
    <w:rsid w:val="28573958"/>
    <w:rsid w:val="28645A64"/>
    <w:rsid w:val="286F7347"/>
    <w:rsid w:val="287F659F"/>
    <w:rsid w:val="289D3BDA"/>
    <w:rsid w:val="289E7ABE"/>
    <w:rsid w:val="28A075FF"/>
    <w:rsid w:val="28B068FD"/>
    <w:rsid w:val="28BE54F1"/>
    <w:rsid w:val="28D370DE"/>
    <w:rsid w:val="28ED1885"/>
    <w:rsid w:val="28EE49B4"/>
    <w:rsid w:val="28F16672"/>
    <w:rsid w:val="28FB30F3"/>
    <w:rsid w:val="29043DD3"/>
    <w:rsid w:val="290576ED"/>
    <w:rsid w:val="29082F2F"/>
    <w:rsid w:val="291C6D5D"/>
    <w:rsid w:val="292F30AE"/>
    <w:rsid w:val="293173F2"/>
    <w:rsid w:val="29337FF9"/>
    <w:rsid w:val="2938694B"/>
    <w:rsid w:val="293A38E9"/>
    <w:rsid w:val="294C0340"/>
    <w:rsid w:val="295264B1"/>
    <w:rsid w:val="296B7439"/>
    <w:rsid w:val="296C2E69"/>
    <w:rsid w:val="297840D8"/>
    <w:rsid w:val="297E3EB6"/>
    <w:rsid w:val="29825FDF"/>
    <w:rsid w:val="29960882"/>
    <w:rsid w:val="2999193A"/>
    <w:rsid w:val="299A6CEC"/>
    <w:rsid w:val="29A50FFD"/>
    <w:rsid w:val="29A66B20"/>
    <w:rsid w:val="29BE18F5"/>
    <w:rsid w:val="29BF2E0B"/>
    <w:rsid w:val="29D13391"/>
    <w:rsid w:val="29E75019"/>
    <w:rsid w:val="29EC6648"/>
    <w:rsid w:val="29FB6949"/>
    <w:rsid w:val="29FD4FED"/>
    <w:rsid w:val="2A012E3B"/>
    <w:rsid w:val="2A0D2C2B"/>
    <w:rsid w:val="2A2F54C5"/>
    <w:rsid w:val="2A38053E"/>
    <w:rsid w:val="2A3B1AFB"/>
    <w:rsid w:val="2A3F4BF5"/>
    <w:rsid w:val="2A526D76"/>
    <w:rsid w:val="2A5D1316"/>
    <w:rsid w:val="2A623794"/>
    <w:rsid w:val="2A712F55"/>
    <w:rsid w:val="2A727FB3"/>
    <w:rsid w:val="2A76060F"/>
    <w:rsid w:val="2A770777"/>
    <w:rsid w:val="2A9632EB"/>
    <w:rsid w:val="2A974ECF"/>
    <w:rsid w:val="2A9E4FF8"/>
    <w:rsid w:val="2ABB4965"/>
    <w:rsid w:val="2AC867BD"/>
    <w:rsid w:val="2ACB3597"/>
    <w:rsid w:val="2AF1525E"/>
    <w:rsid w:val="2AF22B98"/>
    <w:rsid w:val="2B0739A7"/>
    <w:rsid w:val="2B0E3049"/>
    <w:rsid w:val="2B356445"/>
    <w:rsid w:val="2B444FDC"/>
    <w:rsid w:val="2B6C319F"/>
    <w:rsid w:val="2B7A30F5"/>
    <w:rsid w:val="2B7C3418"/>
    <w:rsid w:val="2B833A94"/>
    <w:rsid w:val="2B8E3094"/>
    <w:rsid w:val="2B921F24"/>
    <w:rsid w:val="2B970DE0"/>
    <w:rsid w:val="2B9E382A"/>
    <w:rsid w:val="2B9F0EF5"/>
    <w:rsid w:val="2BA62F9F"/>
    <w:rsid w:val="2BA8556C"/>
    <w:rsid w:val="2BAB72C3"/>
    <w:rsid w:val="2BAE50A7"/>
    <w:rsid w:val="2BB61BD0"/>
    <w:rsid w:val="2BBC643D"/>
    <w:rsid w:val="2BC75161"/>
    <w:rsid w:val="2BDE5160"/>
    <w:rsid w:val="2BEF05B2"/>
    <w:rsid w:val="2BF942AA"/>
    <w:rsid w:val="2C2A0B96"/>
    <w:rsid w:val="2C3464EA"/>
    <w:rsid w:val="2C372417"/>
    <w:rsid w:val="2C553E10"/>
    <w:rsid w:val="2C58247C"/>
    <w:rsid w:val="2C63006B"/>
    <w:rsid w:val="2C844B41"/>
    <w:rsid w:val="2C8F0C17"/>
    <w:rsid w:val="2C9B7D55"/>
    <w:rsid w:val="2C9F34F2"/>
    <w:rsid w:val="2CA40F2B"/>
    <w:rsid w:val="2CB5010E"/>
    <w:rsid w:val="2CCA6FAF"/>
    <w:rsid w:val="2CCD0B9B"/>
    <w:rsid w:val="2CCF5514"/>
    <w:rsid w:val="2CD90005"/>
    <w:rsid w:val="2CFF3923"/>
    <w:rsid w:val="2D1A0A24"/>
    <w:rsid w:val="2D252A00"/>
    <w:rsid w:val="2D271208"/>
    <w:rsid w:val="2D5B0571"/>
    <w:rsid w:val="2D5C1104"/>
    <w:rsid w:val="2D691AD9"/>
    <w:rsid w:val="2D7B3CD6"/>
    <w:rsid w:val="2D7C79D6"/>
    <w:rsid w:val="2D8309E4"/>
    <w:rsid w:val="2D846B02"/>
    <w:rsid w:val="2D897C8D"/>
    <w:rsid w:val="2D8E0D80"/>
    <w:rsid w:val="2D913DED"/>
    <w:rsid w:val="2D940CF3"/>
    <w:rsid w:val="2D950B93"/>
    <w:rsid w:val="2D9A3D17"/>
    <w:rsid w:val="2D9E24B8"/>
    <w:rsid w:val="2DA24672"/>
    <w:rsid w:val="2DA853C9"/>
    <w:rsid w:val="2DAF53B9"/>
    <w:rsid w:val="2DB2776C"/>
    <w:rsid w:val="2DB322EF"/>
    <w:rsid w:val="2DBF6779"/>
    <w:rsid w:val="2DC255E4"/>
    <w:rsid w:val="2DDA521F"/>
    <w:rsid w:val="2DDE6C74"/>
    <w:rsid w:val="2DFA4621"/>
    <w:rsid w:val="2E06706D"/>
    <w:rsid w:val="2E1135A2"/>
    <w:rsid w:val="2E1319CF"/>
    <w:rsid w:val="2E1A0080"/>
    <w:rsid w:val="2E1C3FC2"/>
    <w:rsid w:val="2E251A2B"/>
    <w:rsid w:val="2E3B39E0"/>
    <w:rsid w:val="2E3F5D9E"/>
    <w:rsid w:val="2E4D7F55"/>
    <w:rsid w:val="2E956FF8"/>
    <w:rsid w:val="2E977130"/>
    <w:rsid w:val="2EA465DC"/>
    <w:rsid w:val="2EBD2130"/>
    <w:rsid w:val="2ED215E3"/>
    <w:rsid w:val="2ED34C33"/>
    <w:rsid w:val="2ED76F45"/>
    <w:rsid w:val="2EDE35B0"/>
    <w:rsid w:val="2EE62234"/>
    <w:rsid w:val="2EEA10A6"/>
    <w:rsid w:val="2EFD4EC1"/>
    <w:rsid w:val="2F1706C1"/>
    <w:rsid w:val="2F1B7921"/>
    <w:rsid w:val="2F393F98"/>
    <w:rsid w:val="2F3A232A"/>
    <w:rsid w:val="2F3B667F"/>
    <w:rsid w:val="2F466A48"/>
    <w:rsid w:val="2F4E1C30"/>
    <w:rsid w:val="2F4F212E"/>
    <w:rsid w:val="2F546447"/>
    <w:rsid w:val="2F5D6D83"/>
    <w:rsid w:val="2F6739CC"/>
    <w:rsid w:val="2F6B12B2"/>
    <w:rsid w:val="2F830AEE"/>
    <w:rsid w:val="2F8C1696"/>
    <w:rsid w:val="2F9173B4"/>
    <w:rsid w:val="2F9E6EAD"/>
    <w:rsid w:val="2FA93803"/>
    <w:rsid w:val="2FAD77C4"/>
    <w:rsid w:val="2FB433BB"/>
    <w:rsid w:val="2FB71108"/>
    <w:rsid w:val="2FC13AEA"/>
    <w:rsid w:val="2FCF2BED"/>
    <w:rsid w:val="2FDD1767"/>
    <w:rsid w:val="302E350E"/>
    <w:rsid w:val="303348B4"/>
    <w:rsid w:val="30631B49"/>
    <w:rsid w:val="307100A3"/>
    <w:rsid w:val="307860AD"/>
    <w:rsid w:val="307E6CCC"/>
    <w:rsid w:val="30931113"/>
    <w:rsid w:val="309832E2"/>
    <w:rsid w:val="309D6868"/>
    <w:rsid w:val="30A605F5"/>
    <w:rsid w:val="30A83EF5"/>
    <w:rsid w:val="30AE27DA"/>
    <w:rsid w:val="30BE628B"/>
    <w:rsid w:val="30DA5027"/>
    <w:rsid w:val="30E272BA"/>
    <w:rsid w:val="30E86FE1"/>
    <w:rsid w:val="30EC43E1"/>
    <w:rsid w:val="31025737"/>
    <w:rsid w:val="31104375"/>
    <w:rsid w:val="31141F11"/>
    <w:rsid w:val="311B6B87"/>
    <w:rsid w:val="3127372E"/>
    <w:rsid w:val="31335D5C"/>
    <w:rsid w:val="31412BCC"/>
    <w:rsid w:val="3153501A"/>
    <w:rsid w:val="315E75B6"/>
    <w:rsid w:val="316C5B47"/>
    <w:rsid w:val="316D7761"/>
    <w:rsid w:val="31A139BC"/>
    <w:rsid w:val="31B378B4"/>
    <w:rsid w:val="31C538A8"/>
    <w:rsid w:val="31D90F51"/>
    <w:rsid w:val="31DD64C8"/>
    <w:rsid w:val="31DE710A"/>
    <w:rsid w:val="31E038D6"/>
    <w:rsid w:val="31E47BCF"/>
    <w:rsid w:val="31E61329"/>
    <w:rsid w:val="31E944BB"/>
    <w:rsid w:val="31EC6A1C"/>
    <w:rsid w:val="31EE06B6"/>
    <w:rsid w:val="31F1550F"/>
    <w:rsid w:val="31F82558"/>
    <w:rsid w:val="32025AFB"/>
    <w:rsid w:val="32032D95"/>
    <w:rsid w:val="32050A2D"/>
    <w:rsid w:val="32066E34"/>
    <w:rsid w:val="321A0D7A"/>
    <w:rsid w:val="322040CC"/>
    <w:rsid w:val="322A6170"/>
    <w:rsid w:val="32422609"/>
    <w:rsid w:val="32485FBE"/>
    <w:rsid w:val="32585E12"/>
    <w:rsid w:val="325C381C"/>
    <w:rsid w:val="325D57AE"/>
    <w:rsid w:val="327007E8"/>
    <w:rsid w:val="32851872"/>
    <w:rsid w:val="32890D78"/>
    <w:rsid w:val="328F162C"/>
    <w:rsid w:val="32957AA8"/>
    <w:rsid w:val="329A3BF6"/>
    <w:rsid w:val="32A01C3C"/>
    <w:rsid w:val="32A16555"/>
    <w:rsid w:val="32A52BE2"/>
    <w:rsid w:val="32A619BE"/>
    <w:rsid w:val="32B26E10"/>
    <w:rsid w:val="32BF69AB"/>
    <w:rsid w:val="32C31F0A"/>
    <w:rsid w:val="32C430E7"/>
    <w:rsid w:val="32CB54C5"/>
    <w:rsid w:val="32D6557C"/>
    <w:rsid w:val="32D90D4F"/>
    <w:rsid w:val="32DA195F"/>
    <w:rsid w:val="32DD2D7E"/>
    <w:rsid w:val="32E4281F"/>
    <w:rsid w:val="32E72A14"/>
    <w:rsid w:val="32EA289B"/>
    <w:rsid w:val="32EB0993"/>
    <w:rsid w:val="32ED3B2B"/>
    <w:rsid w:val="32EF7E1C"/>
    <w:rsid w:val="32F053C8"/>
    <w:rsid w:val="32F81814"/>
    <w:rsid w:val="32F81988"/>
    <w:rsid w:val="32FA05E8"/>
    <w:rsid w:val="33011F9F"/>
    <w:rsid w:val="330148CA"/>
    <w:rsid w:val="33032C6C"/>
    <w:rsid w:val="33040F8B"/>
    <w:rsid w:val="331729C2"/>
    <w:rsid w:val="33182F84"/>
    <w:rsid w:val="331D4A88"/>
    <w:rsid w:val="332F523C"/>
    <w:rsid w:val="333900D3"/>
    <w:rsid w:val="333B5094"/>
    <w:rsid w:val="333C0EF1"/>
    <w:rsid w:val="33421C25"/>
    <w:rsid w:val="334D114A"/>
    <w:rsid w:val="335C04D1"/>
    <w:rsid w:val="33615BDC"/>
    <w:rsid w:val="3376143E"/>
    <w:rsid w:val="33A72C4E"/>
    <w:rsid w:val="33B015C6"/>
    <w:rsid w:val="33B27BDD"/>
    <w:rsid w:val="33B92BAD"/>
    <w:rsid w:val="33D5031D"/>
    <w:rsid w:val="33E05E48"/>
    <w:rsid w:val="33E6043F"/>
    <w:rsid w:val="33EB51C2"/>
    <w:rsid w:val="33EF2F24"/>
    <w:rsid w:val="33F076BF"/>
    <w:rsid w:val="33F512E2"/>
    <w:rsid w:val="33FA4C57"/>
    <w:rsid w:val="33FD7727"/>
    <w:rsid w:val="33FF2390"/>
    <w:rsid w:val="34185A64"/>
    <w:rsid w:val="341F672C"/>
    <w:rsid w:val="342A40E0"/>
    <w:rsid w:val="34312FEC"/>
    <w:rsid w:val="34350B30"/>
    <w:rsid w:val="34573D30"/>
    <w:rsid w:val="345E3491"/>
    <w:rsid w:val="34603692"/>
    <w:rsid w:val="347C5DAE"/>
    <w:rsid w:val="3481524F"/>
    <w:rsid w:val="3498075E"/>
    <w:rsid w:val="349B3FE0"/>
    <w:rsid w:val="349F3B13"/>
    <w:rsid w:val="34B01294"/>
    <w:rsid w:val="34B162E0"/>
    <w:rsid w:val="34BA1467"/>
    <w:rsid w:val="34D571E2"/>
    <w:rsid w:val="34D903F5"/>
    <w:rsid w:val="34F24F46"/>
    <w:rsid w:val="34F33A7D"/>
    <w:rsid w:val="34F428FD"/>
    <w:rsid w:val="35004125"/>
    <w:rsid w:val="351C4115"/>
    <w:rsid w:val="35295ECF"/>
    <w:rsid w:val="35334600"/>
    <w:rsid w:val="35470F7B"/>
    <w:rsid w:val="35626C87"/>
    <w:rsid w:val="35650454"/>
    <w:rsid w:val="3569377D"/>
    <w:rsid w:val="35707D1F"/>
    <w:rsid w:val="35883257"/>
    <w:rsid w:val="3594492B"/>
    <w:rsid w:val="35981879"/>
    <w:rsid w:val="359B4A17"/>
    <w:rsid w:val="35A20C52"/>
    <w:rsid w:val="35A95DEE"/>
    <w:rsid w:val="35AD5AEB"/>
    <w:rsid w:val="35AE3538"/>
    <w:rsid w:val="35B3758E"/>
    <w:rsid w:val="35BD65A6"/>
    <w:rsid w:val="35C458A5"/>
    <w:rsid w:val="35DD1E4F"/>
    <w:rsid w:val="35E225D0"/>
    <w:rsid w:val="360908C5"/>
    <w:rsid w:val="360B63A0"/>
    <w:rsid w:val="361004C9"/>
    <w:rsid w:val="3618394C"/>
    <w:rsid w:val="362C76BB"/>
    <w:rsid w:val="36477D59"/>
    <w:rsid w:val="365332C5"/>
    <w:rsid w:val="36690512"/>
    <w:rsid w:val="366E4D55"/>
    <w:rsid w:val="36807448"/>
    <w:rsid w:val="36990146"/>
    <w:rsid w:val="36994708"/>
    <w:rsid w:val="36B410AB"/>
    <w:rsid w:val="36B9317E"/>
    <w:rsid w:val="36BA00E3"/>
    <w:rsid w:val="36BA0582"/>
    <w:rsid w:val="36DF4707"/>
    <w:rsid w:val="36E622BF"/>
    <w:rsid w:val="36F817EA"/>
    <w:rsid w:val="370700E6"/>
    <w:rsid w:val="37082843"/>
    <w:rsid w:val="370E620C"/>
    <w:rsid w:val="37204160"/>
    <w:rsid w:val="37220771"/>
    <w:rsid w:val="372B5309"/>
    <w:rsid w:val="3741516F"/>
    <w:rsid w:val="374F05B0"/>
    <w:rsid w:val="375D13C6"/>
    <w:rsid w:val="375D3D2E"/>
    <w:rsid w:val="376019D3"/>
    <w:rsid w:val="37635EAB"/>
    <w:rsid w:val="37854C46"/>
    <w:rsid w:val="37883E07"/>
    <w:rsid w:val="37895EEC"/>
    <w:rsid w:val="378F306A"/>
    <w:rsid w:val="378F4B98"/>
    <w:rsid w:val="37943EA2"/>
    <w:rsid w:val="37A5188E"/>
    <w:rsid w:val="37A96603"/>
    <w:rsid w:val="37AD12B8"/>
    <w:rsid w:val="37B11A0A"/>
    <w:rsid w:val="37B92F56"/>
    <w:rsid w:val="37BB2B88"/>
    <w:rsid w:val="37E0504F"/>
    <w:rsid w:val="37EB016A"/>
    <w:rsid w:val="37EB7B2F"/>
    <w:rsid w:val="3801126E"/>
    <w:rsid w:val="380F2C1E"/>
    <w:rsid w:val="381640C7"/>
    <w:rsid w:val="38264B61"/>
    <w:rsid w:val="38266AD2"/>
    <w:rsid w:val="382B0EE3"/>
    <w:rsid w:val="382F6149"/>
    <w:rsid w:val="384169B8"/>
    <w:rsid w:val="3855771C"/>
    <w:rsid w:val="38684D60"/>
    <w:rsid w:val="38A67B67"/>
    <w:rsid w:val="38A717F3"/>
    <w:rsid w:val="38A95B2F"/>
    <w:rsid w:val="38BF3269"/>
    <w:rsid w:val="38E708A3"/>
    <w:rsid w:val="38E8320B"/>
    <w:rsid w:val="38EB7E96"/>
    <w:rsid w:val="392003AA"/>
    <w:rsid w:val="392E230B"/>
    <w:rsid w:val="394319DD"/>
    <w:rsid w:val="394B6AC2"/>
    <w:rsid w:val="395202D0"/>
    <w:rsid w:val="395B4E7C"/>
    <w:rsid w:val="3960605C"/>
    <w:rsid w:val="39625A82"/>
    <w:rsid w:val="396A6F0D"/>
    <w:rsid w:val="399F4CE5"/>
    <w:rsid w:val="39AB25F5"/>
    <w:rsid w:val="39B4599B"/>
    <w:rsid w:val="39B83559"/>
    <w:rsid w:val="39D63BA2"/>
    <w:rsid w:val="39D92970"/>
    <w:rsid w:val="39DD7B40"/>
    <w:rsid w:val="39E91581"/>
    <w:rsid w:val="39EE2C4B"/>
    <w:rsid w:val="3A0E7EDB"/>
    <w:rsid w:val="3A154FB9"/>
    <w:rsid w:val="3A1A6D55"/>
    <w:rsid w:val="3A1C1C45"/>
    <w:rsid w:val="3A277E5F"/>
    <w:rsid w:val="3A362693"/>
    <w:rsid w:val="3A3E5578"/>
    <w:rsid w:val="3A4B779C"/>
    <w:rsid w:val="3A582122"/>
    <w:rsid w:val="3A6E781D"/>
    <w:rsid w:val="3A737138"/>
    <w:rsid w:val="3A880F57"/>
    <w:rsid w:val="3A8B6CF7"/>
    <w:rsid w:val="3A9043EA"/>
    <w:rsid w:val="3A967793"/>
    <w:rsid w:val="3A9721AC"/>
    <w:rsid w:val="3AA706E2"/>
    <w:rsid w:val="3AAC782D"/>
    <w:rsid w:val="3AAF226F"/>
    <w:rsid w:val="3AB3071C"/>
    <w:rsid w:val="3AB7508C"/>
    <w:rsid w:val="3AC03AFF"/>
    <w:rsid w:val="3AD352A3"/>
    <w:rsid w:val="3ADB2E2C"/>
    <w:rsid w:val="3AE80E56"/>
    <w:rsid w:val="3AF47CD8"/>
    <w:rsid w:val="3AFB75CB"/>
    <w:rsid w:val="3B000B78"/>
    <w:rsid w:val="3B0B0079"/>
    <w:rsid w:val="3B1333D8"/>
    <w:rsid w:val="3B2E099E"/>
    <w:rsid w:val="3B387E49"/>
    <w:rsid w:val="3B4E0552"/>
    <w:rsid w:val="3B537BBF"/>
    <w:rsid w:val="3B5D5D03"/>
    <w:rsid w:val="3B6F74D8"/>
    <w:rsid w:val="3B831F4C"/>
    <w:rsid w:val="3B8476E2"/>
    <w:rsid w:val="3B933BB1"/>
    <w:rsid w:val="3BA77552"/>
    <w:rsid w:val="3BB533A9"/>
    <w:rsid w:val="3BBD2DAB"/>
    <w:rsid w:val="3BBD7979"/>
    <w:rsid w:val="3BC40DB4"/>
    <w:rsid w:val="3BC4119F"/>
    <w:rsid w:val="3BD64539"/>
    <w:rsid w:val="3BD7741E"/>
    <w:rsid w:val="3BE73FD0"/>
    <w:rsid w:val="3C032FAA"/>
    <w:rsid w:val="3C073099"/>
    <w:rsid w:val="3C0975D7"/>
    <w:rsid w:val="3C0A0E48"/>
    <w:rsid w:val="3C28373B"/>
    <w:rsid w:val="3C2C63AD"/>
    <w:rsid w:val="3C2E2F99"/>
    <w:rsid w:val="3C39400C"/>
    <w:rsid w:val="3C3B0AE0"/>
    <w:rsid w:val="3C401B17"/>
    <w:rsid w:val="3C4F45B9"/>
    <w:rsid w:val="3C551D8D"/>
    <w:rsid w:val="3C692E7C"/>
    <w:rsid w:val="3C7721BF"/>
    <w:rsid w:val="3C7D49BA"/>
    <w:rsid w:val="3C7F268E"/>
    <w:rsid w:val="3C9079CC"/>
    <w:rsid w:val="3C9B4135"/>
    <w:rsid w:val="3C9D3306"/>
    <w:rsid w:val="3CB12314"/>
    <w:rsid w:val="3CB71A58"/>
    <w:rsid w:val="3D023B3C"/>
    <w:rsid w:val="3D0732DC"/>
    <w:rsid w:val="3D185252"/>
    <w:rsid w:val="3D24777C"/>
    <w:rsid w:val="3D271B04"/>
    <w:rsid w:val="3D283BC5"/>
    <w:rsid w:val="3D314A9E"/>
    <w:rsid w:val="3D324393"/>
    <w:rsid w:val="3D347C66"/>
    <w:rsid w:val="3D3C24D0"/>
    <w:rsid w:val="3D4245F4"/>
    <w:rsid w:val="3D433842"/>
    <w:rsid w:val="3D720F07"/>
    <w:rsid w:val="3D823B1E"/>
    <w:rsid w:val="3D96697D"/>
    <w:rsid w:val="3D973BEB"/>
    <w:rsid w:val="3D9D0A9C"/>
    <w:rsid w:val="3DC57103"/>
    <w:rsid w:val="3DC62FD5"/>
    <w:rsid w:val="3DD46EF7"/>
    <w:rsid w:val="3DE63595"/>
    <w:rsid w:val="3DEB1AF2"/>
    <w:rsid w:val="3DF3557F"/>
    <w:rsid w:val="3DFB4C6F"/>
    <w:rsid w:val="3E171CB9"/>
    <w:rsid w:val="3E1E22BC"/>
    <w:rsid w:val="3E266C8B"/>
    <w:rsid w:val="3E2760D3"/>
    <w:rsid w:val="3E385A78"/>
    <w:rsid w:val="3E385C0D"/>
    <w:rsid w:val="3E463BB8"/>
    <w:rsid w:val="3E510229"/>
    <w:rsid w:val="3E51125F"/>
    <w:rsid w:val="3E5B2F1D"/>
    <w:rsid w:val="3E6857C4"/>
    <w:rsid w:val="3E69698F"/>
    <w:rsid w:val="3E765260"/>
    <w:rsid w:val="3E8B00EF"/>
    <w:rsid w:val="3E9961CA"/>
    <w:rsid w:val="3E9A1458"/>
    <w:rsid w:val="3E9E26AF"/>
    <w:rsid w:val="3EA25CFF"/>
    <w:rsid w:val="3EB72C67"/>
    <w:rsid w:val="3EBA1B25"/>
    <w:rsid w:val="3EBB12DE"/>
    <w:rsid w:val="3ECB10CF"/>
    <w:rsid w:val="3ECB7799"/>
    <w:rsid w:val="3ECC795F"/>
    <w:rsid w:val="3ED22EBA"/>
    <w:rsid w:val="3EE1021C"/>
    <w:rsid w:val="3EE63AE9"/>
    <w:rsid w:val="3EE65CBF"/>
    <w:rsid w:val="3F15090F"/>
    <w:rsid w:val="3F532150"/>
    <w:rsid w:val="3F543ABA"/>
    <w:rsid w:val="3F5711F2"/>
    <w:rsid w:val="3F635B6B"/>
    <w:rsid w:val="3F6C1982"/>
    <w:rsid w:val="3F95686E"/>
    <w:rsid w:val="3F9828FD"/>
    <w:rsid w:val="3FBC7210"/>
    <w:rsid w:val="3FBF3AA2"/>
    <w:rsid w:val="3FC23C92"/>
    <w:rsid w:val="3FDD116B"/>
    <w:rsid w:val="3FF13922"/>
    <w:rsid w:val="3FFC5BC4"/>
    <w:rsid w:val="400E3515"/>
    <w:rsid w:val="400E7532"/>
    <w:rsid w:val="401C73E9"/>
    <w:rsid w:val="40267D8E"/>
    <w:rsid w:val="402C3DD7"/>
    <w:rsid w:val="40382BCC"/>
    <w:rsid w:val="403B0B1D"/>
    <w:rsid w:val="40474EE4"/>
    <w:rsid w:val="4067744E"/>
    <w:rsid w:val="406B08AA"/>
    <w:rsid w:val="4079565C"/>
    <w:rsid w:val="407A0614"/>
    <w:rsid w:val="407D70E7"/>
    <w:rsid w:val="40841DB0"/>
    <w:rsid w:val="40945E2B"/>
    <w:rsid w:val="409B1752"/>
    <w:rsid w:val="40A47BC2"/>
    <w:rsid w:val="40A74787"/>
    <w:rsid w:val="40B64E3E"/>
    <w:rsid w:val="40CD32BC"/>
    <w:rsid w:val="40D10751"/>
    <w:rsid w:val="40D35BD4"/>
    <w:rsid w:val="40E631BD"/>
    <w:rsid w:val="40F11CD0"/>
    <w:rsid w:val="40F969FC"/>
    <w:rsid w:val="41027943"/>
    <w:rsid w:val="41084A3F"/>
    <w:rsid w:val="411C44CB"/>
    <w:rsid w:val="4121353A"/>
    <w:rsid w:val="412D4F08"/>
    <w:rsid w:val="41341585"/>
    <w:rsid w:val="414337A0"/>
    <w:rsid w:val="414A346E"/>
    <w:rsid w:val="416B4744"/>
    <w:rsid w:val="416B585C"/>
    <w:rsid w:val="417219C0"/>
    <w:rsid w:val="417F220B"/>
    <w:rsid w:val="4198236F"/>
    <w:rsid w:val="41A2536B"/>
    <w:rsid w:val="41A427A3"/>
    <w:rsid w:val="41AA5FC0"/>
    <w:rsid w:val="41B621CF"/>
    <w:rsid w:val="41B77634"/>
    <w:rsid w:val="41D733E5"/>
    <w:rsid w:val="41DA6B97"/>
    <w:rsid w:val="41E01632"/>
    <w:rsid w:val="41E35B57"/>
    <w:rsid w:val="41EE5246"/>
    <w:rsid w:val="420C6FB2"/>
    <w:rsid w:val="42132DC6"/>
    <w:rsid w:val="4216331A"/>
    <w:rsid w:val="423D2C52"/>
    <w:rsid w:val="424D5404"/>
    <w:rsid w:val="424E6925"/>
    <w:rsid w:val="425075AF"/>
    <w:rsid w:val="42577226"/>
    <w:rsid w:val="425B469E"/>
    <w:rsid w:val="4267386E"/>
    <w:rsid w:val="42716F5E"/>
    <w:rsid w:val="42757283"/>
    <w:rsid w:val="42806BEC"/>
    <w:rsid w:val="4282085A"/>
    <w:rsid w:val="428216CB"/>
    <w:rsid w:val="429D49DE"/>
    <w:rsid w:val="42BE4F76"/>
    <w:rsid w:val="42C11252"/>
    <w:rsid w:val="42CB4C5F"/>
    <w:rsid w:val="42D519AC"/>
    <w:rsid w:val="42DC78A2"/>
    <w:rsid w:val="42E845AD"/>
    <w:rsid w:val="42F449F9"/>
    <w:rsid w:val="4303205F"/>
    <w:rsid w:val="43115DD3"/>
    <w:rsid w:val="434066A2"/>
    <w:rsid w:val="434250DE"/>
    <w:rsid w:val="43625E59"/>
    <w:rsid w:val="43653C98"/>
    <w:rsid w:val="43760D1E"/>
    <w:rsid w:val="438C0A54"/>
    <w:rsid w:val="43A375CE"/>
    <w:rsid w:val="43A530FE"/>
    <w:rsid w:val="43B01757"/>
    <w:rsid w:val="43B836AA"/>
    <w:rsid w:val="43CB164D"/>
    <w:rsid w:val="43CF7427"/>
    <w:rsid w:val="43D46D36"/>
    <w:rsid w:val="43DD0912"/>
    <w:rsid w:val="43DD2DB9"/>
    <w:rsid w:val="43E91F20"/>
    <w:rsid w:val="43F25407"/>
    <w:rsid w:val="43FA34D8"/>
    <w:rsid w:val="440617F2"/>
    <w:rsid w:val="441F2CE6"/>
    <w:rsid w:val="4420334A"/>
    <w:rsid w:val="444303A9"/>
    <w:rsid w:val="446B5263"/>
    <w:rsid w:val="446D03BF"/>
    <w:rsid w:val="448805B9"/>
    <w:rsid w:val="448F475A"/>
    <w:rsid w:val="44950494"/>
    <w:rsid w:val="449546F2"/>
    <w:rsid w:val="44AC25F1"/>
    <w:rsid w:val="44B861B7"/>
    <w:rsid w:val="44BA370D"/>
    <w:rsid w:val="44BD2AEA"/>
    <w:rsid w:val="44BE3408"/>
    <w:rsid w:val="44C9118C"/>
    <w:rsid w:val="44CA1984"/>
    <w:rsid w:val="44D11071"/>
    <w:rsid w:val="44D6598F"/>
    <w:rsid w:val="44E11D77"/>
    <w:rsid w:val="44F7490B"/>
    <w:rsid w:val="44FC5765"/>
    <w:rsid w:val="450A18EB"/>
    <w:rsid w:val="450D750F"/>
    <w:rsid w:val="451D201E"/>
    <w:rsid w:val="45252F61"/>
    <w:rsid w:val="45260D46"/>
    <w:rsid w:val="45403199"/>
    <w:rsid w:val="45434942"/>
    <w:rsid w:val="455A6C52"/>
    <w:rsid w:val="45645A62"/>
    <w:rsid w:val="45684BA8"/>
    <w:rsid w:val="458D6027"/>
    <w:rsid w:val="45917F4C"/>
    <w:rsid w:val="45935AEF"/>
    <w:rsid w:val="45A9189F"/>
    <w:rsid w:val="45AB0F84"/>
    <w:rsid w:val="45AC0B73"/>
    <w:rsid w:val="45C55A0E"/>
    <w:rsid w:val="45D73973"/>
    <w:rsid w:val="45E97EC0"/>
    <w:rsid w:val="45EA48A0"/>
    <w:rsid w:val="45F2245D"/>
    <w:rsid w:val="45F2569D"/>
    <w:rsid w:val="45F262DF"/>
    <w:rsid w:val="45FC54AE"/>
    <w:rsid w:val="4631666F"/>
    <w:rsid w:val="46390881"/>
    <w:rsid w:val="46435311"/>
    <w:rsid w:val="46540AFF"/>
    <w:rsid w:val="465950BA"/>
    <w:rsid w:val="467B0053"/>
    <w:rsid w:val="468A6331"/>
    <w:rsid w:val="469D1267"/>
    <w:rsid w:val="46AE3B1E"/>
    <w:rsid w:val="46B12CDB"/>
    <w:rsid w:val="46B91F26"/>
    <w:rsid w:val="46BF773B"/>
    <w:rsid w:val="46F03EF8"/>
    <w:rsid w:val="46F21CD1"/>
    <w:rsid w:val="470000E2"/>
    <w:rsid w:val="47016A25"/>
    <w:rsid w:val="47076C06"/>
    <w:rsid w:val="47137788"/>
    <w:rsid w:val="4715276D"/>
    <w:rsid w:val="471A2B65"/>
    <w:rsid w:val="47256125"/>
    <w:rsid w:val="472D1847"/>
    <w:rsid w:val="474E29C8"/>
    <w:rsid w:val="475F2963"/>
    <w:rsid w:val="475F4743"/>
    <w:rsid w:val="476513C5"/>
    <w:rsid w:val="478D5986"/>
    <w:rsid w:val="4791705C"/>
    <w:rsid w:val="47935219"/>
    <w:rsid w:val="479B2F25"/>
    <w:rsid w:val="47C9673C"/>
    <w:rsid w:val="47CC1D1C"/>
    <w:rsid w:val="47DA19E2"/>
    <w:rsid w:val="47EF13CA"/>
    <w:rsid w:val="48014065"/>
    <w:rsid w:val="48087DA8"/>
    <w:rsid w:val="480A1F47"/>
    <w:rsid w:val="4826468A"/>
    <w:rsid w:val="48632B3C"/>
    <w:rsid w:val="486E2F78"/>
    <w:rsid w:val="4875501E"/>
    <w:rsid w:val="487E35D4"/>
    <w:rsid w:val="489302A3"/>
    <w:rsid w:val="48931799"/>
    <w:rsid w:val="4896447E"/>
    <w:rsid w:val="48A04A19"/>
    <w:rsid w:val="48AC1F5E"/>
    <w:rsid w:val="48AC61D8"/>
    <w:rsid w:val="48B16848"/>
    <w:rsid w:val="48BC2B40"/>
    <w:rsid w:val="48C1701C"/>
    <w:rsid w:val="48C9510E"/>
    <w:rsid w:val="48E74B46"/>
    <w:rsid w:val="48EE2F0A"/>
    <w:rsid w:val="48F34DFF"/>
    <w:rsid w:val="48F81653"/>
    <w:rsid w:val="49091D14"/>
    <w:rsid w:val="491221FA"/>
    <w:rsid w:val="491633B3"/>
    <w:rsid w:val="49332B9D"/>
    <w:rsid w:val="49415EF4"/>
    <w:rsid w:val="494628C4"/>
    <w:rsid w:val="494D6B70"/>
    <w:rsid w:val="49570150"/>
    <w:rsid w:val="495930FA"/>
    <w:rsid w:val="49626727"/>
    <w:rsid w:val="498A2D93"/>
    <w:rsid w:val="498A448F"/>
    <w:rsid w:val="49950EDE"/>
    <w:rsid w:val="499819EF"/>
    <w:rsid w:val="49986FEF"/>
    <w:rsid w:val="49AC1B59"/>
    <w:rsid w:val="49AC750C"/>
    <w:rsid w:val="49B503C3"/>
    <w:rsid w:val="49C50D39"/>
    <w:rsid w:val="49FE0C57"/>
    <w:rsid w:val="4A0714CC"/>
    <w:rsid w:val="4A0C47F4"/>
    <w:rsid w:val="4A334FAF"/>
    <w:rsid w:val="4A4315DF"/>
    <w:rsid w:val="4A7776F8"/>
    <w:rsid w:val="4A992887"/>
    <w:rsid w:val="4AA82E5E"/>
    <w:rsid w:val="4ABA5543"/>
    <w:rsid w:val="4AC54C7C"/>
    <w:rsid w:val="4AD53FD3"/>
    <w:rsid w:val="4AF0448B"/>
    <w:rsid w:val="4AFD68DA"/>
    <w:rsid w:val="4B056E95"/>
    <w:rsid w:val="4B0C3A0B"/>
    <w:rsid w:val="4B117A90"/>
    <w:rsid w:val="4B213D10"/>
    <w:rsid w:val="4B2C42C5"/>
    <w:rsid w:val="4B3A6678"/>
    <w:rsid w:val="4B3F30FC"/>
    <w:rsid w:val="4B4822FD"/>
    <w:rsid w:val="4B4A51F9"/>
    <w:rsid w:val="4B5848EA"/>
    <w:rsid w:val="4B5E25E2"/>
    <w:rsid w:val="4B6A5D6F"/>
    <w:rsid w:val="4B9628E3"/>
    <w:rsid w:val="4BB041E9"/>
    <w:rsid w:val="4BB9526D"/>
    <w:rsid w:val="4BBC3E95"/>
    <w:rsid w:val="4BC720A4"/>
    <w:rsid w:val="4BE14337"/>
    <w:rsid w:val="4BF449EC"/>
    <w:rsid w:val="4BF75249"/>
    <w:rsid w:val="4BF76C86"/>
    <w:rsid w:val="4C090704"/>
    <w:rsid w:val="4C0A0863"/>
    <w:rsid w:val="4C0E0AB4"/>
    <w:rsid w:val="4C1638B2"/>
    <w:rsid w:val="4C1F1B57"/>
    <w:rsid w:val="4C226146"/>
    <w:rsid w:val="4C367327"/>
    <w:rsid w:val="4C516BFB"/>
    <w:rsid w:val="4C542DFD"/>
    <w:rsid w:val="4C5436A5"/>
    <w:rsid w:val="4C5619FF"/>
    <w:rsid w:val="4C67797F"/>
    <w:rsid w:val="4C764662"/>
    <w:rsid w:val="4C76670D"/>
    <w:rsid w:val="4C7E005A"/>
    <w:rsid w:val="4C853456"/>
    <w:rsid w:val="4C912D49"/>
    <w:rsid w:val="4C95161A"/>
    <w:rsid w:val="4C9F0E0B"/>
    <w:rsid w:val="4CAB57AF"/>
    <w:rsid w:val="4CAF5F29"/>
    <w:rsid w:val="4CB27E71"/>
    <w:rsid w:val="4CB40AE3"/>
    <w:rsid w:val="4CB86D2D"/>
    <w:rsid w:val="4CBA21C2"/>
    <w:rsid w:val="4CC44A76"/>
    <w:rsid w:val="4CCA47D5"/>
    <w:rsid w:val="4CCE01CA"/>
    <w:rsid w:val="4CCE2F02"/>
    <w:rsid w:val="4CD82952"/>
    <w:rsid w:val="4CDB3FD7"/>
    <w:rsid w:val="4CDD1C5C"/>
    <w:rsid w:val="4CE44A86"/>
    <w:rsid w:val="4D107BF0"/>
    <w:rsid w:val="4D126EC4"/>
    <w:rsid w:val="4D4960F4"/>
    <w:rsid w:val="4D4F05D7"/>
    <w:rsid w:val="4D546FF4"/>
    <w:rsid w:val="4D595308"/>
    <w:rsid w:val="4D955825"/>
    <w:rsid w:val="4D9B0A85"/>
    <w:rsid w:val="4D9D2EFA"/>
    <w:rsid w:val="4DAF0678"/>
    <w:rsid w:val="4DC46B33"/>
    <w:rsid w:val="4DD102A7"/>
    <w:rsid w:val="4DD667A6"/>
    <w:rsid w:val="4DDC0BD4"/>
    <w:rsid w:val="4DE569EA"/>
    <w:rsid w:val="4DEC3178"/>
    <w:rsid w:val="4DF4339B"/>
    <w:rsid w:val="4DF74CD8"/>
    <w:rsid w:val="4E004E38"/>
    <w:rsid w:val="4E1A3C03"/>
    <w:rsid w:val="4E595C86"/>
    <w:rsid w:val="4E5B5607"/>
    <w:rsid w:val="4E7E5239"/>
    <w:rsid w:val="4E881B78"/>
    <w:rsid w:val="4EC479DE"/>
    <w:rsid w:val="4ECA642D"/>
    <w:rsid w:val="4ECE0172"/>
    <w:rsid w:val="4ECE619C"/>
    <w:rsid w:val="4EF03AAD"/>
    <w:rsid w:val="4EFE18D7"/>
    <w:rsid w:val="4F0530A4"/>
    <w:rsid w:val="4F06429E"/>
    <w:rsid w:val="4F0F7AE3"/>
    <w:rsid w:val="4F2A1B27"/>
    <w:rsid w:val="4F400944"/>
    <w:rsid w:val="4F79555A"/>
    <w:rsid w:val="4F945D57"/>
    <w:rsid w:val="4FA726D6"/>
    <w:rsid w:val="4FB1074F"/>
    <w:rsid w:val="4FB77C42"/>
    <w:rsid w:val="4FC3400F"/>
    <w:rsid w:val="4FD04826"/>
    <w:rsid w:val="4FD34568"/>
    <w:rsid w:val="4FD9398C"/>
    <w:rsid w:val="4FDF1B12"/>
    <w:rsid w:val="4FE145CA"/>
    <w:rsid w:val="4FF21C3E"/>
    <w:rsid w:val="4FFB1F0F"/>
    <w:rsid w:val="50081DCD"/>
    <w:rsid w:val="50147E37"/>
    <w:rsid w:val="50170ED2"/>
    <w:rsid w:val="50283985"/>
    <w:rsid w:val="502E389E"/>
    <w:rsid w:val="50327F4C"/>
    <w:rsid w:val="503475A8"/>
    <w:rsid w:val="504222B0"/>
    <w:rsid w:val="50486CBC"/>
    <w:rsid w:val="508D202F"/>
    <w:rsid w:val="50926F63"/>
    <w:rsid w:val="50997655"/>
    <w:rsid w:val="509D6C84"/>
    <w:rsid w:val="50AC20FC"/>
    <w:rsid w:val="50AF48E4"/>
    <w:rsid w:val="50C86BB3"/>
    <w:rsid w:val="50CC72DC"/>
    <w:rsid w:val="50CD4DA0"/>
    <w:rsid w:val="50CF7FD4"/>
    <w:rsid w:val="50E042B2"/>
    <w:rsid w:val="50E83EC0"/>
    <w:rsid w:val="50EF0BD8"/>
    <w:rsid w:val="51074095"/>
    <w:rsid w:val="51275051"/>
    <w:rsid w:val="51301AA0"/>
    <w:rsid w:val="51330ED4"/>
    <w:rsid w:val="513F2F29"/>
    <w:rsid w:val="51401B45"/>
    <w:rsid w:val="5147342C"/>
    <w:rsid w:val="5148408F"/>
    <w:rsid w:val="514D36C2"/>
    <w:rsid w:val="514E2D70"/>
    <w:rsid w:val="516079C7"/>
    <w:rsid w:val="51666995"/>
    <w:rsid w:val="51953B7F"/>
    <w:rsid w:val="51A24AB0"/>
    <w:rsid w:val="51AC1F48"/>
    <w:rsid w:val="51B06F09"/>
    <w:rsid w:val="51B379E7"/>
    <w:rsid w:val="51B729CF"/>
    <w:rsid w:val="51B9499D"/>
    <w:rsid w:val="51D813C6"/>
    <w:rsid w:val="51DF12B5"/>
    <w:rsid w:val="51DF2E74"/>
    <w:rsid w:val="51F34082"/>
    <w:rsid w:val="51FB7581"/>
    <w:rsid w:val="51FC4E00"/>
    <w:rsid w:val="51FF49CE"/>
    <w:rsid w:val="5205351E"/>
    <w:rsid w:val="522D6AD6"/>
    <w:rsid w:val="523A5957"/>
    <w:rsid w:val="525C6A9F"/>
    <w:rsid w:val="52645DAA"/>
    <w:rsid w:val="527903F5"/>
    <w:rsid w:val="528A1A0D"/>
    <w:rsid w:val="529A15E0"/>
    <w:rsid w:val="529A7116"/>
    <w:rsid w:val="529E60AD"/>
    <w:rsid w:val="52A4077C"/>
    <w:rsid w:val="52AC662D"/>
    <w:rsid w:val="52B50779"/>
    <w:rsid w:val="52B52CD8"/>
    <w:rsid w:val="52D95337"/>
    <w:rsid w:val="52DE24C5"/>
    <w:rsid w:val="52E11901"/>
    <w:rsid w:val="52E6098B"/>
    <w:rsid w:val="52E86A8A"/>
    <w:rsid w:val="52EA51A3"/>
    <w:rsid w:val="52F262C0"/>
    <w:rsid w:val="52F479D5"/>
    <w:rsid w:val="52F66CEB"/>
    <w:rsid w:val="52FB0724"/>
    <w:rsid w:val="52FB1AC6"/>
    <w:rsid w:val="52FD77D9"/>
    <w:rsid w:val="530A479A"/>
    <w:rsid w:val="530E3C15"/>
    <w:rsid w:val="531664D8"/>
    <w:rsid w:val="531E7977"/>
    <w:rsid w:val="53473DF9"/>
    <w:rsid w:val="534D4F99"/>
    <w:rsid w:val="535673AF"/>
    <w:rsid w:val="536058A5"/>
    <w:rsid w:val="5370427D"/>
    <w:rsid w:val="537C5558"/>
    <w:rsid w:val="53881649"/>
    <w:rsid w:val="538D5288"/>
    <w:rsid w:val="53942C51"/>
    <w:rsid w:val="539774F6"/>
    <w:rsid w:val="539C2B80"/>
    <w:rsid w:val="53BD156D"/>
    <w:rsid w:val="53D65ED8"/>
    <w:rsid w:val="53D8262B"/>
    <w:rsid w:val="53EA1820"/>
    <w:rsid w:val="53EC4BF7"/>
    <w:rsid w:val="53F526C5"/>
    <w:rsid w:val="53FA4FDF"/>
    <w:rsid w:val="53FF6164"/>
    <w:rsid w:val="540B7B86"/>
    <w:rsid w:val="541175C6"/>
    <w:rsid w:val="542841C7"/>
    <w:rsid w:val="54291570"/>
    <w:rsid w:val="542A6069"/>
    <w:rsid w:val="542B3836"/>
    <w:rsid w:val="542B5FE8"/>
    <w:rsid w:val="542F19AB"/>
    <w:rsid w:val="543729F0"/>
    <w:rsid w:val="54385976"/>
    <w:rsid w:val="5446381C"/>
    <w:rsid w:val="54464093"/>
    <w:rsid w:val="544D38E7"/>
    <w:rsid w:val="545719A0"/>
    <w:rsid w:val="546C468E"/>
    <w:rsid w:val="546F1DF9"/>
    <w:rsid w:val="54713687"/>
    <w:rsid w:val="54903FE8"/>
    <w:rsid w:val="54950281"/>
    <w:rsid w:val="549A39C0"/>
    <w:rsid w:val="54AE6D86"/>
    <w:rsid w:val="54B46162"/>
    <w:rsid w:val="54CB396C"/>
    <w:rsid w:val="54E811E0"/>
    <w:rsid w:val="54FB2D2D"/>
    <w:rsid w:val="54FE1D62"/>
    <w:rsid w:val="55000368"/>
    <w:rsid w:val="550A641A"/>
    <w:rsid w:val="550A73AA"/>
    <w:rsid w:val="550C3845"/>
    <w:rsid w:val="550E679E"/>
    <w:rsid w:val="550F558A"/>
    <w:rsid w:val="55102589"/>
    <w:rsid w:val="55134DDA"/>
    <w:rsid w:val="55141AD3"/>
    <w:rsid w:val="551B3FFA"/>
    <w:rsid w:val="55210310"/>
    <w:rsid w:val="55226F86"/>
    <w:rsid w:val="552448E0"/>
    <w:rsid w:val="55620F19"/>
    <w:rsid w:val="557F0DD7"/>
    <w:rsid w:val="55956798"/>
    <w:rsid w:val="55957627"/>
    <w:rsid w:val="55A446C3"/>
    <w:rsid w:val="55B01FC3"/>
    <w:rsid w:val="55C008C7"/>
    <w:rsid w:val="55C3517F"/>
    <w:rsid w:val="55CA03CC"/>
    <w:rsid w:val="55D37A3B"/>
    <w:rsid w:val="55D80F38"/>
    <w:rsid w:val="55E320D6"/>
    <w:rsid w:val="55EB5E0E"/>
    <w:rsid w:val="55EC3634"/>
    <w:rsid w:val="55F35DEB"/>
    <w:rsid w:val="55F422A4"/>
    <w:rsid w:val="55FE2599"/>
    <w:rsid w:val="56040233"/>
    <w:rsid w:val="5607555D"/>
    <w:rsid w:val="56245862"/>
    <w:rsid w:val="5629579B"/>
    <w:rsid w:val="562D652D"/>
    <w:rsid w:val="563229FE"/>
    <w:rsid w:val="563666D0"/>
    <w:rsid w:val="56370685"/>
    <w:rsid w:val="56376A98"/>
    <w:rsid w:val="563E0E00"/>
    <w:rsid w:val="563F50BF"/>
    <w:rsid w:val="56414DEA"/>
    <w:rsid w:val="5650598B"/>
    <w:rsid w:val="565900E5"/>
    <w:rsid w:val="56711776"/>
    <w:rsid w:val="56814911"/>
    <w:rsid w:val="568B68BC"/>
    <w:rsid w:val="56984249"/>
    <w:rsid w:val="569F43FD"/>
    <w:rsid w:val="56A16B9C"/>
    <w:rsid w:val="56A634DF"/>
    <w:rsid w:val="56AA3C60"/>
    <w:rsid w:val="56D87A3B"/>
    <w:rsid w:val="56E05184"/>
    <w:rsid w:val="56E630EB"/>
    <w:rsid w:val="56F50FA1"/>
    <w:rsid w:val="570E531D"/>
    <w:rsid w:val="571268D2"/>
    <w:rsid w:val="571406EC"/>
    <w:rsid w:val="57233FFC"/>
    <w:rsid w:val="573B06DA"/>
    <w:rsid w:val="574A6914"/>
    <w:rsid w:val="57673DE2"/>
    <w:rsid w:val="57904574"/>
    <w:rsid w:val="57B7309F"/>
    <w:rsid w:val="57BB2D10"/>
    <w:rsid w:val="57C256B2"/>
    <w:rsid w:val="57CE5874"/>
    <w:rsid w:val="57D82895"/>
    <w:rsid w:val="580066E7"/>
    <w:rsid w:val="58234BF3"/>
    <w:rsid w:val="58267E98"/>
    <w:rsid w:val="582B3634"/>
    <w:rsid w:val="585F4B85"/>
    <w:rsid w:val="586A172B"/>
    <w:rsid w:val="58721E8E"/>
    <w:rsid w:val="587E1000"/>
    <w:rsid w:val="58832DC3"/>
    <w:rsid w:val="58871A1F"/>
    <w:rsid w:val="58896C82"/>
    <w:rsid w:val="58925AF5"/>
    <w:rsid w:val="58B45955"/>
    <w:rsid w:val="58B757C7"/>
    <w:rsid w:val="58C6127B"/>
    <w:rsid w:val="58CB0564"/>
    <w:rsid w:val="58D06389"/>
    <w:rsid w:val="58E07BF8"/>
    <w:rsid w:val="58E42079"/>
    <w:rsid w:val="58E4362B"/>
    <w:rsid w:val="58EC444F"/>
    <w:rsid w:val="58F12FEA"/>
    <w:rsid w:val="58FB2964"/>
    <w:rsid w:val="58FC4A8A"/>
    <w:rsid w:val="59080ACC"/>
    <w:rsid w:val="59151477"/>
    <w:rsid w:val="59184673"/>
    <w:rsid w:val="59245CFC"/>
    <w:rsid w:val="592542F6"/>
    <w:rsid w:val="59264E05"/>
    <w:rsid w:val="59277B98"/>
    <w:rsid w:val="592B5B5A"/>
    <w:rsid w:val="59401C6C"/>
    <w:rsid w:val="594C6690"/>
    <w:rsid w:val="594E4ABA"/>
    <w:rsid w:val="595729F3"/>
    <w:rsid w:val="598037EF"/>
    <w:rsid w:val="59824464"/>
    <w:rsid w:val="599503B0"/>
    <w:rsid w:val="59AD0583"/>
    <w:rsid w:val="59C85971"/>
    <w:rsid w:val="59CC1D54"/>
    <w:rsid w:val="59DF79C5"/>
    <w:rsid w:val="59E14ACA"/>
    <w:rsid w:val="59F40308"/>
    <w:rsid w:val="59F45A8E"/>
    <w:rsid w:val="59FA18BA"/>
    <w:rsid w:val="5A076157"/>
    <w:rsid w:val="5A0D04C7"/>
    <w:rsid w:val="5A151D3C"/>
    <w:rsid w:val="5A1B3E65"/>
    <w:rsid w:val="5A2566CC"/>
    <w:rsid w:val="5A355077"/>
    <w:rsid w:val="5A406E1A"/>
    <w:rsid w:val="5A4C73C8"/>
    <w:rsid w:val="5A4E7F1E"/>
    <w:rsid w:val="5A53127A"/>
    <w:rsid w:val="5A644349"/>
    <w:rsid w:val="5A8A78DC"/>
    <w:rsid w:val="5A997FDD"/>
    <w:rsid w:val="5AAB1868"/>
    <w:rsid w:val="5AB26F57"/>
    <w:rsid w:val="5AC254DD"/>
    <w:rsid w:val="5AC41023"/>
    <w:rsid w:val="5AD3590E"/>
    <w:rsid w:val="5AE676A7"/>
    <w:rsid w:val="5AFE65E2"/>
    <w:rsid w:val="5B060549"/>
    <w:rsid w:val="5B110484"/>
    <w:rsid w:val="5B1146F6"/>
    <w:rsid w:val="5B1771DA"/>
    <w:rsid w:val="5B3F0F34"/>
    <w:rsid w:val="5B5C2300"/>
    <w:rsid w:val="5B634300"/>
    <w:rsid w:val="5B6D264F"/>
    <w:rsid w:val="5B722DA8"/>
    <w:rsid w:val="5B781E23"/>
    <w:rsid w:val="5B825016"/>
    <w:rsid w:val="5B833730"/>
    <w:rsid w:val="5B9153D6"/>
    <w:rsid w:val="5B9767CE"/>
    <w:rsid w:val="5B9F4F4B"/>
    <w:rsid w:val="5BA5639A"/>
    <w:rsid w:val="5BB23813"/>
    <w:rsid w:val="5BBC4FC5"/>
    <w:rsid w:val="5BC103D1"/>
    <w:rsid w:val="5BDC7911"/>
    <w:rsid w:val="5BDF659D"/>
    <w:rsid w:val="5BEF690A"/>
    <w:rsid w:val="5C072AC2"/>
    <w:rsid w:val="5C120134"/>
    <w:rsid w:val="5C1D455F"/>
    <w:rsid w:val="5C254B31"/>
    <w:rsid w:val="5C2E1C71"/>
    <w:rsid w:val="5C302BD2"/>
    <w:rsid w:val="5C317A2C"/>
    <w:rsid w:val="5C3573F5"/>
    <w:rsid w:val="5C3631A2"/>
    <w:rsid w:val="5C487B8B"/>
    <w:rsid w:val="5C4F4145"/>
    <w:rsid w:val="5C513BBE"/>
    <w:rsid w:val="5C5C0287"/>
    <w:rsid w:val="5C656AB6"/>
    <w:rsid w:val="5C6E2876"/>
    <w:rsid w:val="5C794D0F"/>
    <w:rsid w:val="5C7E1583"/>
    <w:rsid w:val="5C890CB0"/>
    <w:rsid w:val="5C8A19D4"/>
    <w:rsid w:val="5C912127"/>
    <w:rsid w:val="5C990085"/>
    <w:rsid w:val="5CA44044"/>
    <w:rsid w:val="5CA63ECF"/>
    <w:rsid w:val="5CB702A9"/>
    <w:rsid w:val="5CD62033"/>
    <w:rsid w:val="5D0E0221"/>
    <w:rsid w:val="5D17644F"/>
    <w:rsid w:val="5D1B5326"/>
    <w:rsid w:val="5D1B6DC0"/>
    <w:rsid w:val="5D1F673B"/>
    <w:rsid w:val="5D262A99"/>
    <w:rsid w:val="5D461951"/>
    <w:rsid w:val="5D581C70"/>
    <w:rsid w:val="5D583BED"/>
    <w:rsid w:val="5D5918D1"/>
    <w:rsid w:val="5D5F5F9F"/>
    <w:rsid w:val="5D6B1CC0"/>
    <w:rsid w:val="5D7C32DD"/>
    <w:rsid w:val="5D841BF1"/>
    <w:rsid w:val="5D9924A6"/>
    <w:rsid w:val="5D9A106F"/>
    <w:rsid w:val="5D9C1821"/>
    <w:rsid w:val="5D9F69F0"/>
    <w:rsid w:val="5DB403DA"/>
    <w:rsid w:val="5DC1780C"/>
    <w:rsid w:val="5DC5598B"/>
    <w:rsid w:val="5DCC3602"/>
    <w:rsid w:val="5DE458A7"/>
    <w:rsid w:val="5DFA65CB"/>
    <w:rsid w:val="5DFD13A8"/>
    <w:rsid w:val="5E001E6D"/>
    <w:rsid w:val="5E0B2B47"/>
    <w:rsid w:val="5E170D56"/>
    <w:rsid w:val="5E312D94"/>
    <w:rsid w:val="5E334255"/>
    <w:rsid w:val="5E426AF2"/>
    <w:rsid w:val="5E7E1DDC"/>
    <w:rsid w:val="5E886789"/>
    <w:rsid w:val="5E97479C"/>
    <w:rsid w:val="5E993A8C"/>
    <w:rsid w:val="5E9A00DF"/>
    <w:rsid w:val="5EC442F5"/>
    <w:rsid w:val="5EC56094"/>
    <w:rsid w:val="5EC848DC"/>
    <w:rsid w:val="5EC94A86"/>
    <w:rsid w:val="5ED75D25"/>
    <w:rsid w:val="5EE076AA"/>
    <w:rsid w:val="5EE40D51"/>
    <w:rsid w:val="5EE914C3"/>
    <w:rsid w:val="5EF83694"/>
    <w:rsid w:val="5EFC69FB"/>
    <w:rsid w:val="5F0F25AB"/>
    <w:rsid w:val="5F1150AB"/>
    <w:rsid w:val="5F1C7711"/>
    <w:rsid w:val="5F2175CE"/>
    <w:rsid w:val="5F230FA0"/>
    <w:rsid w:val="5F42360F"/>
    <w:rsid w:val="5F857C60"/>
    <w:rsid w:val="5F9B6D48"/>
    <w:rsid w:val="5FA7437B"/>
    <w:rsid w:val="5FD92CB5"/>
    <w:rsid w:val="5FEB5CC5"/>
    <w:rsid w:val="5FFA27D6"/>
    <w:rsid w:val="60136FBF"/>
    <w:rsid w:val="601436DA"/>
    <w:rsid w:val="60180B6B"/>
    <w:rsid w:val="601A105C"/>
    <w:rsid w:val="6020439A"/>
    <w:rsid w:val="604520E7"/>
    <w:rsid w:val="604629AF"/>
    <w:rsid w:val="605F7185"/>
    <w:rsid w:val="607432D5"/>
    <w:rsid w:val="60747968"/>
    <w:rsid w:val="607F7A0B"/>
    <w:rsid w:val="608D0820"/>
    <w:rsid w:val="6091234D"/>
    <w:rsid w:val="609537B1"/>
    <w:rsid w:val="60982CBC"/>
    <w:rsid w:val="60AE2340"/>
    <w:rsid w:val="60AF3990"/>
    <w:rsid w:val="60B80B5C"/>
    <w:rsid w:val="60B875A4"/>
    <w:rsid w:val="60D109ED"/>
    <w:rsid w:val="60D63538"/>
    <w:rsid w:val="60D96BD7"/>
    <w:rsid w:val="60DC31C4"/>
    <w:rsid w:val="60E81616"/>
    <w:rsid w:val="610D5126"/>
    <w:rsid w:val="611046CB"/>
    <w:rsid w:val="61146A09"/>
    <w:rsid w:val="611F52BF"/>
    <w:rsid w:val="612C6F7A"/>
    <w:rsid w:val="61322BFF"/>
    <w:rsid w:val="61356887"/>
    <w:rsid w:val="613A5C2E"/>
    <w:rsid w:val="614D6CCB"/>
    <w:rsid w:val="615343C6"/>
    <w:rsid w:val="616235C9"/>
    <w:rsid w:val="616768DD"/>
    <w:rsid w:val="616946D9"/>
    <w:rsid w:val="61707B35"/>
    <w:rsid w:val="61773EEB"/>
    <w:rsid w:val="618C5232"/>
    <w:rsid w:val="61943C95"/>
    <w:rsid w:val="61973749"/>
    <w:rsid w:val="619D1E38"/>
    <w:rsid w:val="619F4CAF"/>
    <w:rsid w:val="61AA3A4B"/>
    <w:rsid w:val="61D90AAC"/>
    <w:rsid w:val="61DB1857"/>
    <w:rsid w:val="62072FE3"/>
    <w:rsid w:val="621002DB"/>
    <w:rsid w:val="621C5807"/>
    <w:rsid w:val="621E262A"/>
    <w:rsid w:val="62283F17"/>
    <w:rsid w:val="623474C0"/>
    <w:rsid w:val="62372A47"/>
    <w:rsid w:val="624E3DA8"/>
    <w:rsid w:val="626A7C77"/>
    <w:rsid w:val="626B6922"/>
    <w:rsid w:val="62724D47"/>
    <w:rsid w:val="628801E0"/>
    <w:rsid w:val="62A17511"/>
    <w:rsid w:val="62A97CD6"/>
    <w:rsid w:val="62AD50A7"/>
    <w:rsid w:val="62B81204"/>
    <w:rsid w:val="62B972FD"/>
    <w:rsid w:val="62CE4F38"/>
    <w:rsid w:val="62DF4F0B"/>
    <w:rsid w:val="62E749AA"/>
    <w:rsid w:val="62E82422"/>
    <w:rsid w:val="62ED29BB"/>
    <w:rsid w:val="62F55830"/>
    <w:rsid w:val="62F6764C"/>
    <w:rsid w:val="62FC189B"/>
    <w:rsid w:val="62FF2A4C"/>
    <w:rsid w:val="630132FB"/>
    <w:rsid w:val="63107A1B"/>
    <w:rsid w:val="6315298D"/>
    <w:rsid w:val="631E4341"/>
    <w:rsid w:val="63221593"/>
    <w:rsid w:val="63316161"/>
    <w:rsid w:val="63547CFB"/>
    <w:rsid w:val="635A193F"/>
    <w:rsid w:val="638D7EB0"/>
    <w:rsid w:val="639C2195"/>
    <w:rsid w:val="63CF1A59"/>
    <w:rsid w:val="63DC53E7"/>
    <w:rsid w:val="63DF5923"/>
    <w:rsid w:val="63F603BA"/>
    <w:rsid w:val="63FA5093"/>
    <w:rsid w:val="64077497"/>
    <w:rsid w:val="640913C5"/>
    <w:rsid w:val="640B4D94"/>
    <w:rsid w:val="64303700"/>
    <w:rsid w:val="64476BA1"/>
    <w:rsid w:val="64604825"/>
    <w:rsid w:val="64706B0B"/>
    <w:rsid w:val="64723FA1"/>
    <w:rsid w:val="64777C5D"/>
    <w:rsid w:val="64834AC0"/>
    <w:rsid w:val="64840BC5"/>
    <w:rsid w:val="64936F01"/>
    <w:rsid w:val="64997164"/>
    <w:rsid w:val="64A45274"/>
    <w:rsid w:val="64A51691"/>
    <w:rsid w:val="64B87F2A"/>
    <w:rsid w:val="64C11A95"/>
    <w:rsid w:val="64CA66CA"/>
    <w:rsid w:val="64F602E0"/>
    <w:rsid w:val="64F91EF5"/>
    <w:rsid w:val="65033D16"/>
    <w:rsid w:val="65051BD5"/>
    <w:rsid w:val="65191BE8"/>
    <w:rsid w:val="651F2D61"/>
    <w:rsid w:val="652007E3"/>
    <w:rsid w:val="65390198"/>
    <w:rsid w:val="654051CF"/>
    <w:rsid w:val="654962DD"/>
    <w:rsid w:val="65542B6A"/>
    <w:rsid w:val="655561C9"/>
    <w:rsid w:val="65665E86"/>
    <w:rsid w:val="656B3961"/>
    <w:rsid w:val="657C0319"/>
    <w:rsid w:val="658D1136"/>
    <w:rsid w:val="658D5441"/>
    <w:rsid w:val="65977DED"/>
    <w:rsid w:val="65A17839"/>
    <w:rsid w:val="65AB7E8F"/>
    <w:rsid w:val="65E5264A"/>
    <w:rsid w:val="65F06F93"/>
    <w:rsid w:val="65FA0150"/>
    <w:rsid w:val="66031C0C"/>
    <w:rsid w:val="66093404"/>
    <w:rsid w:val="661C08C9"/>
    <w:rsid w:val="66345ED5"/>
    <w:rsid w:val="66417885"/>
    <w:rsid w:val="66455775"/>
    <w:rsid w:val="6650130D"/>
    <w:rsid w:val="669267A0"/>
    <w:rsid w:val="66A07FA0"/>
    <w:rsid w:val="66A62A49"/>
    <w:rsid w:val="66B6197A"/>
    <w:rsid w:val="66B81701"/>
    <w:rsid w:val="66BC5DF7"/>
    <w:rsid w:val="66C1124E"/>
    <w:rsid w:val="66D02AD5"/>
    <w:rsid w:val="66D3683E"/>
    <w:rsid w:val="66D55C4F"/>
    <w:rsid w:val="66DA1C58"/>
    <w:rsid w:val="66EF7C9D"/>
    <w:rsid w:val="66FB10D8"/>
    <w:rsid w:val="67093572"/>
    <w:rsid w:val="670D57A8"/>
    <w:rsid w:val="671E506C"/>
    <w:rsid w:val="67300A65"/>
    <w:rsid w:val="673244E6"/>
    <w:rsid w:val="67324EA4"/>
    <w:rsid w:val="67367DE4"/>
    <w:rsid w:val="6739419F"/>
    <w:rsid w:val="67597B75"/>
    <w:rsid w:val="676775EA"/>
    <w:rsid w:val="677D0501"/>
    <w:rsid w:val="677F6056"/>
    <w:rsid w:val="67AA4964"/>
    <w:rsid w:val="67B37821"/>
    <w:rsid w:val="67BB0A3A"/>
    <w:rsid w:val="67C17FC6"/>
    <w:rsid w:val="67CC6DC1"/>
    <w:rsid w:val="67D85FCB"/>
    <w:rsid w:val="67E33780"/>
    <w:rsid w:val="67E96929"/>
    <w:rsid w:val="67EB3B32"/>
    <w:rsid w:val="6812382B"/>
    <w:rsid w:val="683F42E1"/>
    <w:rsid w:val="684616EA"/>
    <w:rsid w:val="68470E3F"/>
    <w:rsid w:val="68613B23"/>
    <w:rsid w:val="686C3018"/>
    <w:rsid w:val="687E527D"/>
    <w:rsid w:val="6883228D"/>
    <w:rsid w:val="688B49B7"/>
    <w:rsid w:val="68912487"/>
    <w:rsid w:val="689126F1"/>
    <w:rsid w:val="68925E8B"/>
    <w:rsid w:val="68AD3132"/>
    <w:rsid w:val="68BD0429"/>
    <w:rsid w:val="68BD25AC"/>
    <w:rsid w:val="68CD2B97"/>
    <w:rsid w:val="68DC3034"/>
    <w:rsid w:val="68DF055F"/>
    <w:rsid w:val="68E77B92"/>
    <w:rsid w:val="68EE27B7"/>
    <w:rsid w:val="68F11244"/>
    <w:rsid w:val="6902027F"/>
    <w:rsid w:val="690B6A69"/>
    <w:rsid w:val="6915312D"/>
    <w:rsid w:val="6916610C"/>
    <w:rsid w:val="691A321C"/>
    <w:rsid w:val="69205FE2"/>
    <w:rsid w:val="69233E67"/>
    <w:rsid w:val="69243400"/>
    <w:rsid w:val="692B0D4C"/>
    <w:rsid w:val="693251B9"/>
    <w:rsid w:val="69362DAC"/>
    <w:rsid w:val="694F2C16"/>
    <w:rsid w:val="69553ADC"/>
    <w:rsid w:val="695E79A3"/>
    <w:rsid w:val="695F6B6D"/>
    <w:rsid w:val="69606FA8"/>
    <w:rsid w:val="69626E04"/>
    <w:rsid w:val="696462D8"/>
    <w:rsid w:val="697604D9"/>
    <w:rsid w:val="697D20D0"/>
    <w:rsid w:val="6992698A"/>
    <w:rsid w:val="69931C83"/>
    <w:rsid w:val="69962DC6"/>
    <w:rsid w:val="69A0794A"/>
    <w:rsid w:val="69A95707"/>
    <w:rsid w:val="69F753E9"/>
    <w:rsid w:val="6A1D4D2A"/>
    <w:rsid w:val="6A476664"/>
    <w:rsid w:val="6A582E6E"/>
    <w:rsid w:val="6A5B2D03"/>
    <w:rsid w:val="6A6D7968"/>
    <w:rsid w:val="6A825EEF"/>
    <w:rsid w:val="6A8B63AB"/>
    <w:rsid w:val="6A8E534F"/>
    <w:rsid w:val="6A92080D"/>
    <w:rsid w:val="6AA0452A"/>
    <w:rsid w:val="6AA1457D"/>
    <w:rsid w:val="6AB42284"/>
    <w:rsid w:val="6AB43643"/>
    <w:rsid w:val="6AB8343E"/>
    <w:rsid w:val="6AB95345"/>
    <w:rsid w:val="6ABA142F"/>
    <w:rsid w:val="6ACB3994"/>
    <w:rsid w:val="6ACE3DA1"/>
    <w:rsid w:val="6AD44BA5"/>
    <w:rsid w:val="6AD67EBB"/>
    <w:rsid w:val="6AD81268"/>
    <w:rsid w:val="6AE01913"/>
    <w:rsid w:val="6AEA3A0D"/>
    <w:rsid w:val="6AED294A"/>
    <w:rsid w:val="6AF630F6"/>
    <w:rsid w:val="6AF96574"/>
    <w:rsid w:val="6B126644"/>
    <w:rsid w:val="6B30219C"/>
    <w:rsid w:val="6B3C4F97"/>
    <w:rsid w:val="6B531E21"/>
    <w:rsid w:val="6B6B0C9C"/>
    <w:rsid w:val="6B7251A0"/>
    <w:rsid w:val="6B795BBC"/>
    <w:rsid w:val="6B825D3B"/>
    <w:rsid w:val="6B875DDC"/>
    <w:rsid w:val="6BA33513"/>
    <w:rsid w:val="6BAD488D"/>
    <w:rsid w:val="6BB83730"/>
    <w:rsid w:val="6BB976DA"/>
    <w:rsid w:val="6BC74EEB"/>
    <w:rsid w:val="6BC77E6E"/>
    <w:rsid w:val="6BCA5958"/>
    <w:rsid w:val="6BD94617"/>
    <w:rsid w:val="6BEA5426"/>
    <w:rsid w:val="6BEF307E"/>
    <w:rsid w:val="6BF126D2"/>
    <w:rsid w:val="6BF7770E"/>
    <w:rsid w:val="6C0A2147"/>
    <w:rsid w:val="6C1275AF"/>
    <w:rsid w:val="6C2B6FFB"/>
    <w:rsid w:val="6C3068FC"/>
    <w:rsid w:val="6C3F6612"/>
    <w:rsid w:val="6C436973"/>
    <w:rsid w:val="6C49338A"/>
    <w:rsid w:val="6C4B640F"/>
    <w:rsid w:val="6C505AFC"/>
    <w:rsid w:val="6C590D74"/>
    <w:rsid w:val="6C5B2EB0"/>
    <w:rsid w:val="6C5C701A"/>
    <w:rsid w:val="6C875D2A"/>
    <w:rsid w:val="6C8E4ED4"/>
    <w:rsid w:val="6C9261BE"/>
    <w:rsid w:val="6CAD47FC"/>
    <w:rsid w:val="6CB10559"/>
    <w:rsid w:val="6CB6024D"/>
    <w:rsid w:val="6CBB3BC4"/>
    <w:rsid w:val="6CBE5226"/>
    <w:rsid w:val="6CC61D04"/>
    <w:rsid w:val="6CC92D2D"/>
    <w:rsid w:val="6CD534B2"/>
    <w:rsid w:val="6CD764FA"/>
    <w:rsid w:val="6CEC3297"/>
    <w:rsid w:val="6CEF078A"/>
    <w:rsid w:val="6D022C97"/>
    <w:rsid w:val="6D0E3150"/>
    <w:rsid w:val="6D172D14"/>
    <w:rsid w:val="6D2B47C4"/>
    <w:rsid w:val="6D651E04"/>
    <w:rsid w:val="6D6B1F42"/>
    <w:rsid w:val="6D702704"/>
    <w:rsid w:val="6D702DF8"/>
    <w:rsid w:val="6D7169AC"/>
    <w:rsid w:val="6D7E0B30"/>
    <w:rsid w:val="6D881EB0"/>
    <w:rsid w:val="6D94161E"/>
    <w:rsid w:val="6DA8501D"/>
    <w:rsid w:val="6DA952A3"/>
    <w:rsid w:val="6DAB1A4F"/>
    <w:rsid w:val="6DAC1E42"/>
    <w:rsid w:val="6DB4084B"/>
    <w:rsid w:val="6DB52389"/>
    <w:rsid w:val="6DC84691"/>
    <w:rsid w:val="6DD37EAB"/>
    <w:rsid w:val="6DD96970"/>
    <w:rsid w:val="6DDF5EBE"/>
    <w:rsid w:val="6DE35A17"/>
    <w:rsid w:val="6DF175B9"/>
    <w:rsid w:val="6DF5597A"/>
    <w:rsid w:val="6E051D29"/>
    <w:rsid w:val="6E0764F5"/>
    <w:rsid w:val="6E091D92"/>
    <w:rsid w:val="6E0F034C"/>
    <w:rsid w:val="6E142F6F"/>
    <w:rsid w:val="6E2144F9"/>
    <w:rsid w:val="6E216A22"/>
    <w:rsid w:val="6E251123"/>
    <w:rsid w:val="6E28024E"/>
    <w:rsid w:val="6E380D0F"/>
    <w:rsid w:val="6E395F0F"/>
    <w:rsid w:val="6E3B2E01"/>
    <w:rsid w:val="6E3F2896"/>
    <w:rsid w:val="6E636422"/>
    <w:rsid w:val="6E7538EA"/>
    <w:rsid w:val="6E7D390D"/>
    <w:rsid w:val="6E9315D8"/>
    <w:rsid w:val="6E955BEB"/>
    <w:rsid w:val="6E963EFC"/>
    <w:rsid w:val="6E9D5C12"/>
    <w:rsid w:val="6EA7743E"/>
    <w:rsid w:val="6EB432E2"/>
    <w:rsid w:val="6EB851AF"/>
    <w:rsid w:val="6EC47CFD"/>
    <w:rsid w:val="6EC52DE9"/>
    <w:rsid w:val="6ECA6C5B"/>
    <w:rsid w:val="6EE30BE6"/>
    <w:rsid w:val="6EE51F6E"/>
    <w:rsid w:val="6EE74164"/>
    <w:rsid w:val="6F006D7B"/>
    <w:rsid w:val="6F170463"/>
    <w:rsid w:val="6F1D2311"/>
    <w:rsid w:val="6F291F74"/>
    <w:rsid w:val="6F360931"/>
    <w:rsid w:val="6F435E7A"/>
    <w:rsid w:val="6F68581D"/>
    <w:rsid w:val="6F696073"/>
    <w:rsid w:val="6F771A6A"/>
    <w:rsid w:val="6F8215E9"/>
    <w:rsid w:val="6F8D7626"/>
    <w:rsid w:val="6F904395"/>
    <w:rsid w:val="6FAD1D96"/>
    <w:rsid w:val="6FC745FF"/>
    <w:rsid w:val="6FDE4155"/>
    <w:rsid w:val="6FE22DF6"/>
    <w:rsid w:val="70077C2D"/>
    <w:rsid w:val="70255578"/>
    <w:rsid w:val="702A32AC"/>
    <w:rsid w:val="70335130"/>
    <w:rsid w:val="703A7077"/>
    <w:rsid w:val="704044A3"/>
    <w:rsid w:val="704D6320"/>
    <w:rsid w:val="70573C18"/>
    <w:rsid w:val="705F6CD6"/>
    <w:rsid w:val="70711485"/>
    <w:rsid w:val="70760E52"/>
    <w:rsid w:val="707C17AA"/>
    <w:rsid w:val="70836E86"/>
    <w:rsid w:val="708F4D67"/>
    <w:rsid w:val="709543D1"/>
    <w:rsid w:val="709906E7"/>
    <w:rsid w:val="70B00877"/>
    <w:rsid w:val="70CD2E7C"/>
    <w:rsid w:val="70D025D6"/>
    <w:rsid w:val="70D76213"/>
    <w:rsid w:val="70D94FC5"/>
    <w:rsid w:val="711966C9"/>
    <w:rsid w:val="71292890"/>
    <w:rsid w:val="712E3BB1"/>
    <w:rsid w:val="714029B7"/>
    <w:rsid w:val="71471D0F"/>
    <w:rsid w:val="714F440D"/>
    <w:rsid w:val="71581745"/>
    <w:rsid w:val="71607CFA"/>
    <w:rsid w:val="7184414C"/>
    <w:rsid w:val="71944A8A"/>
    <w:rsid w:val="719A10DB"/>
    <w:rsid w:val="71AD5746"/>
    <w:rsid w:val="71AE3080"/>
    <w:rsid w:val="71B74E6A"/>
    <w:rsid w:val="71BF54D0"/>
    <w:rsid w:val="71CD6D2B"/>
    <w:rsid w:val="71D55D7F"/>
    <w:rsid w:val="71D762FC"/>
    <w:rsid w:val="71D948A7"/>
    <w:rsid w:val="71E267A5"/>
    <w:rsid w:val="720F1979"/>
    <w:rsid w:val="721A55C2"/>
    <w:rsid w:val="72207D57"/>
    <w:rsid w:val="72401026"/>
    <w:rsid w:val="725E29CE"/>
    <w:rsid w:val="725F172B"/>
    <w:rsid w:val="72874E47"/>
    <w:rsid w:val="7287796A"/>
    <w:rsid w:val="7292003E"/>
    <w:rsid w:val="72974D26"/>
    <w:rsid w:val="729E30D7"/>
    <w:rsid w:val="72B20BED"/>
    <w:rsid w:val="72C03590"/>
    <w:rsid w:val="72CB0BF0"/>
    <w:rsid w:val="72DC33E4"/>
    <w:rsid w:val="72E31257"/>
    <w:rsid w:val="72E314B6"/>
    <w:rsid w:val="73336003"/>
    <w:rsid w:val="73347CB8"/>
    <w:rsid w:val="73363593"/>
    <w:rsid w:val="733E53B8"/>
    <w:rsid w:val="735253F6"/>
    <w:rsid w:val="73596161"/>
    <w:rsid w:val="73755885"/>
    <w:rsid w:val="737E64C9"/>
    <w:rsid w:val="73822A1E"/>
    <w:rsid w:val="73916C83"/>
    <w:rsid w:val="73B12DF9"/>
    <w:rsid w:val="73C43300"/>
    <w:rsid w:val="73CC4F69"/>
    <w:rsid w:val="73D36A94"/>
    <w:rsid w:val="73D4334F"/>
    <w:rsid w:val="73E970A4"/>
    <w:rsid w:val="74130EBF"/>
    <w:rsid w:val="741473C6"/>
    <w:rsid w:val="74162223"/>
    <w:rsid w:val="74192335"/>
    <w:rsid w:val="741A19F8"/>
    <w:rsid w:val="741B401E"/>
    <w:rsid w:val="7433399C"/>
    <w:rsid w:val="74384838"/>
    <w:rsid w:val="74417080"/>
    <w:rsid w:val="74491ACC"/>
    <w:rsid w:val="74567B70"/>
    <w:rsid w:val="747E5AA3"/>
    <w:rsid w:val="747F20D7"/>
    <w:rsid w:val="74A279CE"/>
    <w:rsid w:val="74BE5062"/>
    <w:rsid w:val="74C42CB5"/>
    <w:rsid w:val="74C6310B"/>
    <w:rsid w:val="74C9373B"/>
    <w:rsid w:val="74CB5A00"/>
    <w:rsid w:val="74D05396"/>
    <w:rsid w:val="74D42B3D"/>
    <w:rsid w:val="74E26107"/>
    <w:rsid w:val="74EC3E5E"/>
    <w:rsid w:val="74ED55D4"/>
    <w:rsid w:val="74F47B8E"/>
    <w:rsid w:val="74F5223B"/>
    <w:rsid w:val="75073F81"/>
    <w:rsid w:val="75164628"/>
    <w:rsid w:val="75197C32"/>
    <w:rsid w:val="75311268"/>
    <w:rsid w:val="75351105"/>
    <w:rsid w:val="75377F70"/>
    <w:rsid w:val="754601B3"/>
    <w:rsid w:val="75482DC8"/>
    <w:rsid w:val="75500BC7"/>
    <w:rsid w:val="755771B8"/>
    <w:rsid w:val="75601CC4"/>
    <w:rsid w:val="756A0AC4"/>
    <w:rsid w:val="757A3E91"/>
    <w:rsid w:val="75A61023"/>
    <w:rsid w:val="75B04508"/>
    <w:rsid w:val="75CA00CE"/>
    <w:rsid w:val="75DE1A46"/>
    <w:rsid w:val="75E84ACB"/>
    <w:rsid w:val="75F77FBF"/>
    <w:rsid w:val="75F869B9"/>
    <w:rsid w:val="75FF0362"/>
    <w:rsid w:val="7606703F"/>
    <w:rsid w:val="760A297B"/>
    <w:rsid w:val="761473F0"/>
    <w:rsid w:val="76206ED0"/>
    <w:rsid w:val="7620778A"/>
    <w:rsid w:val="76236746"/>
    <w:rsid w:val="763847AA"/>
    <w:rsid w:val="763A4508"/>
    <w:rsid w:val="76437C51"/>
    <w:rsid w:val="764D5D92"/>
    <w:rsid w:val="764D5DEF"/>
    <w:rsid w:val="765B57C1"/>
    <w:rsid w:val="7660547F"/>
    <w:rsid w:val="76620EE2"/>
    <w:rsid w:val="7662676C"/>
    <w:rsid w:val="76644DE4"/>
    <w:rsid w:val="766A73EE"/>
    <w:rsid w:val="767E4FFC"/>
    <w:rsid w:val="767F101F"/>
    <w:rsid w:val="76821984"/>
    <w:rsid w:val="769A5A66"/>
    <w:rsid w:val="76A14F02"/>
    <w:rsid w:val="76AB78E3"/>
    <w:rsid w:val="76BD38F2"/>
    <w:rsid w:val="76C21E71"/>
    <w:rsid w:val="76CA582B"/>
    <w:rsid w:val="76D96ED2"/>
    <w:rsid w:val="76DF4EAE"/>
    <w:rsid w:val="77077040"/>
    <w:rsid w:val="77112194"/>
    <w:rsid w:val="771352E9"/>
    <w:rsid w:val="771D120E"/>
    <w:rsid w:val="771D50DB"/>
    <w:rsid w:val="771E2FF4"/>
    <w:rsid w:val="7720249B"/>
    <w:rsid w:val="772334BE"/>
    <w:rsid w:val="772351FD"/>
    <w:rsid w:val="77302CCE"/>
    <w:rsid w:val="773802B5"/>
    <w:rsid w:val="77440460"/>
    <w:rsid w:val="77486FB6"/>
    <w:rsid w:val="775B3E89"/>
    <w:rsid w:val="777973AA"/>
    <w:rsid w:val="777A1768"/>
    <w:rsid w:val="777E3D7E"/>
    <w:rsid w:val="77923EE7"/>
    <w:rsid w:val="77990BB5"/>
    <w:rsid w:val="77B71AD2"/>
    <w:rsid w:val="77B724BE"/>
    <w:rsid w:val="77BD4B5C"/>
    <w:rsid w:val="77D04199"/>
    <w:rsid w:val="77DA7ECE"/>
    <w:rsid w:val="77F10ED8"/>
    <w:rsid w:val="78043043"/>
    <w:rsid w:val="78070F55"/>
    <w:rsid w:val="780D1602"/>
    <w:rsid w:val="783748C4"/>
    <w:rsid w:val="7843380A"/>
    <w:rsid w:val="78663866"/>
    <w:rsid w:val="787419D8"/>
    <w:rsid w:val="789C2CEA"/>
    <w:rsid w:val="78A85264"/>
    <w:rsid w:val="78A94579"/>
    <w:rsid w:val="78C55892"/>
    <w:rsid w:val="78C74670"/>
    <w:rsid w:val="78D8063B"/>
    <w:rsid w:val="78D86DC8"/>
    <w:rsid w:val="78E260F3"/>
    <w:rsid w:val="78E66C94"/>
    <w:rsid w:val="78F60999"/>
    <w:rsid w:val="790C3EEF"/>
    <w:rsid w:val="79137E81"/>
    <w:rsid w:val="791421F7"/>
    <w:rsid w:val="79201D19"/>
    <w:rsid w:val="79332981"/>
    <w:rsid w:val="794013BD"/>
    <w:rsid w:val="794A2FAA"/>
    <w:rsid w:val="79684A8E"/>
    <w:rsid w:val="79692BFC"/>
    <w:rsid w:val="79780809"/>
    <w:rsid w:val="79793DF9"/>
    <w:rsid w:val="797D4A21"/>
    <w:rsid w:val="799D1324"/>
    <w:rsid w:val="79A1449A"/>
    <w:rsid w:val="79A37BC9"/>
    <w:rsid w:val="79B04496"/>
    <w:rsid w:val="79B14867"/>
    <w:rsid w:val="79B23B36"/>
    <w:rsid w:val="79C575E8"/>
    <w:rsid w:val="79D623FE"/>
    <w:rsid w:val="79E51C40"/>
    <w:rsid w:val="79E67899"/>
    <w:rsid w:val="79F968DE"/>
    <w:rsid w:val="79FD24CC"/>
    <w:rsid w:val="7A031DBF"/>
    <w:rsid w:val="7A050B4B"/>
    <w:rsid w:val="7A2C5C0B"/>
    <w:rsid w:val="7A2D46C5"/>
    <w:rsid w:val="7A3074A9"/>
    <w:rsid w:val="7A344287"/>
    <w:rsid w:val="7A39124E"/>
    <w:rsid w:val="7A5212F0"/>
    <w:rsid w:val="7A555119"/>
    <w:rsid w:val="7A6D1D3E"/>
    <w:rsid w:val="7A7372C2"/>
    <w:rsid w:val="7A821A6C"/>
    <w:rsid w:val="7A85304F"/>
    <w:rsid w:val="7A8D5301"/>
    <w:rsid w:val="7A957873"/>
    <w:rsid w:val="7AAB03ED"/>
    <w:rsid w:val="7AB03A59"/>
    <w:rsid w:val="7AC13A9A"/>
    <w:rsid w:val="7AC9705C"/>
    <w:rsid w:val="7ACF0844"/>
    <w:rsid w:val="7ACF123F"/>
    <w:rsid w:val="7AD532FF"/>
    <w:rsid w:val="7AEE277D"/>
    <w:rsid w:val="7B0A2B92"/>
    <w:rsid w:val="7B177BD0"/>
    <w:rsid w:val="7B42141C"/>
    <w:rsid w:val="7B4527D5"/>
    <w:rsid w:val="7B5274A0"/>
    <w:rsid w:val="7B57627D"/>
    <w:rsid w:val="7B617589"/>
    <w:rsid w:val="7B6A7AB6"/>
    <w:rsid w:val="7BA76DD6"/>
    <w:rsid w:val="7BB574DF"/>
    <w:rsid w:val="7BBD68AF"/>
    <w:rsid w:val="7BCA3DF4"/>
    <w:rsid w:val="7BCF4C73"/>
    <w:rsid w:val="7BD858DD"/>
    <w:rsid w:val="7BD957C1"/>
    <w:rsid w:val="7BDE4FE7"/>
    <w:rsid w:val="7BEA54E6"/>
    <w:rsid w:val="7C1B4341"/>
    <w:rsid w:val="7C256E3D"/>
    <w:rsid w:val="7C257EBD"/>
    <w:rsid w:val="7C4250E9"/>
    <w:rsid w:val="7C5B702C"/>
    <w:rsid w:val="7C607016"/>
    <w:rsid w:val="7C88770D"/>
    <w:rsid w:val="7C9B6905"/>
    <w:rsid w:val="7C9E7AE6"/>
    <w:rsid w:val="7CA95865"/>
    <w:rsid w:val="7CBF7ACA"/>
    <w:rsid w:val="7CDF1421"/>
    <w:rsid w:val="7D075792"/>
    <w:rsid w:val="7D0C7450"/>
    <w:rsid w:val="7D1246D8"/>
    <w:rsid w:val="7D1527D6"/>
    <w:rsid w:val="7D187ED8"/>
    <w:rsid w:val="7D2318F5"/>
    <w:rsid w:val="7D241DFD"/>
    <w:rsid w:val="7D290D4F"/>
    <w:rsid w:val="7D296E76"/>
    <w:rsid w:val="7D363B60"/>
    <w:rsid w:val="7D3A0C2D"/>
    <w:rsid w:val="7D3F3CFF"/>
    <w:rsid w:val="7D463816"/>
    <w:rsid w:val="7D5D0AA6"/>
    <w:rsid w:val="7D740AFF"/>
    <w:rsid w:val="7D76359E"/>
    <w:rsid w:val="7D77341F"/>
    <w:rsid w:val="7D8F219D"/>
    <w:rsid w:val="7D930DD2"/>
    <w:rsid w:val="7DA00109"/>
    <w:rsid w:val="7DA621C5"/>
    <w:rsid w:val="7DB10A06"/>
    <w:rsid w:val="7DB25AB8"/>
    <w:rsid w:val="7DB37CED"/>
    <w:rsid w:val="7DBD1026"/>
    <w:rsid w:val="7DDA16E8"/>
    <w:rsid w:val="7DE30B33"/>
    <w:rsid w:val="7DF97B9D"/>
    <w:rsid w:val="7E030EF4"/>
    <w:rsid w:val="7E032299"/>
    <w:rsid w:val="7E090698"/>
    <w:rsid w:val="7E0D2215"/>
    <w:rsid w:val="7E134DFD"/>
    <w:rsid w:val="7E201258"/>
    <w:rsid w:val="7E217C07"/>
    <w:rsid w:val="7E244E49"/>
    <w:rsid w:val="7E2654AB"/>
    <w:rsid w:val="7E2F6BAF"/>
    <w:rsid w:val="7E48058B"/>
    <w:rsid w:val="7E5A0F76"/>
    <w:rsid w:val="7E5A482C"/>
    <w:rsid w:val="7E6D3CA4"/>
    <w:rsid w:val="7E6F544B"/>
    <w:rsid w:val="7E6F5FC7"/>
    <w:rsid w:val="7E726542"/>
    <w:rsid w:val="7E734AFF"/>
    <w:rsid w:val="7E756213"/>
    <w:rsid w:val="7E7A671A"/>
    <w:rsid w:val="7E991ABC"/>
    <w:rsid w:val="7E9B412C"/>
    <w:rsid w:val="7E9D773F"/>
    <w:rsid w:val="7EAC2A13"/>
    <w:rsid w:val="7EB52AD0"/>
    <w:rsid w:val="7EB76DF1"/>
    <w:rsid w:val="7EC05D3A"/>
    <w:rsid w:val="7ED20D09"/>
    <w:rsid w:val="7ED54AA7"/>
    <w:rsid w:val="7ED93DEE"/>
    <w:rsid w:val="7EE53746"/>
    <w:rsid w:val="7EE910D2"/>
    <w:rsid w:val="7EF060C6"/>
    <w:rsid w:val="7EF7492C"/>
    <w:rsid w:val="7F034A50"/>
    <w:rsid w:val="7F0642B9"/>
    <w:rsid w:val="7F1E01F3"/>
    <w:rsid w:val="7F252AD1"/>
    <w:rsid w:val="7F2F1C47"/>
    <w:rsid w:val="7F3735C5"/>
    <w:rsid w:val="7F3D38F3"/>
    <w:rsid w:val="7F553914"/>
    <w:rsid w:val="7F580CE2"/>
    <w:rsid w:val="7F6C6974"/>
    <w:rsid w:val="7F6C7FA9"/>
    <w:rsid w:val="7F791EFB"/>
    <w:rsid w:val="7F973191"/>
    <w:rsid w:val="7F9E07A2"/>
    <w:rsid w:val="7FA75648"/>
    <w:rsid w:val="7FAA68A9"/>
    <w:rsid w:val="7FBA7FA5"/>
    <w:rsid w:val="7FBB1896"/>
    <w:rsid w:val="7FBE18EB"/>
    <w:rsid w:val="7FC31FF6"/>
    <w:rsid w:val="7FC71EF0"/>
    <w:rsid w:val="7FD11914"/>
    <w:rsid w:val="7FD652BE"/>
    <w:rsid w:val="7FD76F90"/>
    <w:rsid w:val="7FE24C39"/>
    <w:rsid w:val="7FEB5C5E"/>
    <w:rsid w:val="7FF04C83"/>
    <w:rsid w:val="7FF95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0"/>
    <w:pPr>
      <w:keepNext/>
      <w:keepLines/>
      <w:spacing w:before="300" w:after="30" w:line="360" w:lineRule="auto"/>
      <w:jc w:val="center"/>
      <w:outlineLvl w:val="0"/>
    </w:pPr>
    <w:rPr>
      <w:b/>
      <w:bCs/>
      <w:kern w:val="44"/>
      <w:sz w:val="32"/>
      <w:szCs w:val="44"/>
    </w:rPr>
  </w:style>
  <w:style w:type="paragraph" w:styleId="3">
    <w:name w:val="heading 2"/>
    <w:basedOn w:val="1"/>
    <w:next w:val="1"/>
    <w:qFormat/>
    <w:uiPriority w:val="0"/>
    <w:pPr>
      <w:keepNext/>
      <w:keepLines/>
      <w:snapToGrid w:val="0"/>
      <w:spacing w:line="360" w:lineRule="auto"/>
      <w:jc w:val="left"/>
      <w:outlineLvl w:val="1"/>
    </w:pPr>
    <w:rPr>
      <w:rFonts w:ascii="Arial" w:hAnsi="Arial" w:eastAsia="楷体"/>
      <w:b/>
      <w:bCs/>
      <w:sz w:val="30"/>
      <w:szCs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31"/>
    <w:qFormat/>
    <w:uiPriority w:val="0"/>
    <w:rPr>
      <w:rFonts w:ascii="宋体"/>
      <w:sz w:val="18"/>
      <w:szCs w:val="18"/>
    </w:rPr>
  </w:style>
  <w:style w:type="paragraph" w:styleId="6">
    <w:name w:val="annotation text"/>
    <w:basedOn w:val="1"/>
    <w:link w:val="43"/>
    <w:qFormat/>
    <w:uiPriority w:val="0"/>
    <w:pPr>
      <w:jc w:val="left"/>
    </w:pPr>
  </w:style>
  <w:style w:type="paragraph" w:styleId="7">
    <w:name w:val="Body Text Indent"/>
    <w:basedOn w:val="1"/>
    <w:qFormat/>
    <w:uiPriority w:val="0"/>
    <w:pPr>
      <w:ind w:firstLine="360"/>
    </w:pPr>
    <w:rPr>
      <w:szCs w:val="20"/>
    </w:rPr>
  </w:style>
  <w:style w:type="paragraph" w:styleId="8">
    <w:name w:val="toc 3"/>
    <w:basedOn w:val="1"/>
    <w:next w:val="1"/>
    <w:qFormat/>
    <w:uiPriority w:val="39"/>
    <w:pPr>
      <w:ind w:left="840" w:leftChars="400"/>
    </w:pPr>
    <w:rPr>
      <w:rFonts w:eastAsia="楷体"/>
    </w:rPr>
  </w:style>
  <w:style w:type="paragraph" w:styleId="9">
    <w:name w:val="Date"/>
    <w:basedOn w:val="1"/>
    <w:next w:val="1"/>
    <w:qFormat/>
    <w:uiPriority w:val="0"/>
    <w:pPr>
      <w:ind w:left="100" w:leftChars="2500"/>
    </w:pPr>
  </w:style>
  <w:style w:type="paragraph" w:styleId="10">
    <w:name w:val="Body Text Indent 2"/>
    <w:basedOn w:val="1"/>
    <w:qFormat/>
    <w:uiPriority w:val="0"/>
    <w:pPr>
      <w:adjustRightInd w:val="0"/>
      <w:spacing w:line="360" w:lineRule="auto"/>
      <w:ind w:firstLine="560" w:firstLineChars="200"/>
      <w:jc w:val="left"/>
      <w:textAlignment w:val="baseline"/>
    </w:pPr>
    <w:rPr>
      <w:rFonts w:ascii="楷体_GB2312" w:hAnsi="宋体" w:eastAsia="楷体_GB2312"/>
      <w:kern w:val="0"/>
      <w:sz w:val="28"/>
      <w:szCs w:val="20"/>
    </w:rPr>
  </w:style>
  <w:style w:type="paragraph" w:styleId="11">
    <w:name w:val="Balloon Text"/>
    <w:basedOn w:val="1"/>
    <w:semiHidden/>
    <w:qFormat/>
    <w:uiPriority w:val="0"/>
    <w:rPr>
      <w:sz w:val="18"/>
      <w:szCs w:val="18"/>
    </w:rPr>
  </w:style>
  <w:style w:type="paragraph" w:styleId="12">
    <w:name w:val="footer"/>
    <w:basedOn w:val="1"/>
    <w:qFormat/>
    <w:uiPriority w:val="0"/>
    <w:pPr>
      <w:tabs>
        <w:tab w:val="center" w:pos="4153"/>
        <w:tab w:val="right" w:pos="8306"/>
      </w:tabs>
      <w:adjustRightInd w:val="0"/>
      <w:snapToGrid w:val="0"/>
      <w:jc w:val="left"/>
      <w:textAlignment w:val="baseline"/>
    </w:pPr>
    <w:rPr>
      <w:kern w:val="0"/>
      <w:sz w:val="18"/>
      <w:szCs w:val="20"/>
    </w:rPr>
  </w:style>
  <w:style w:type="paragraph" w:styleId="13">
    <w:name w:val="header"/>
    <w:basedOn w:val="1"/>
    <w:qFormat/>
    <w:uiPriority w:val="0"/>
    <w:pPr>
      <w:pBdr>
        <w:bottom w:val="single" w:color="auto" w:sz="6" w:space="1"/>
      </w:pBdr>
      <w:tabs>
        <w:tab w:val="center" w:pos="4153"/>
        <w:tab w:val="right" w:pos="8306"/>
      </w:tabs>
      <w:adjustRightInd w:val="0"/>
      <w:snapToGrid w:val="0"/>
      <w:jc w:val="center"/>
      <w:textAlignment w:val="baseline"/>
    </w:pPr>
    <w:rPr>
      <w:kern w:val="0"/>
      <w:sz w:val="18"/>
      <w:szCs w:val="20"/>
    </w:rPr>
  </w:style>
  <w:style w:type="paragraph" w:styleId="14">
    <w:name w:val="toc 1"/>
    <w:basedOn w:val="1"/>
    <w:next w:val="1"/>
    <w:qFormat/>
    <w:uiPriority w:val="39"/>
    <w:pPr>
      <w:jc w:val="distribute"/>
    </w:pPr>
    <w:rPr>
      <w:rFonts w:ascii="仿宋_GB2312" w:hAnsi="宋体" w:eastAsia="楷体"/>
      <w:spacing w:val="36"/>
      <w:sz w:val="28"/>
    </w:rPr>
  </w:style>
  <w:style w:type="paragraph" w:styleId="15">
    <w:name w:val="Body Text Indent 3"/>
    <w:basedOn w:val="1"/>
    <w:qFormat/>
    <w:uiPriority w:val="0"/>
    <w:pPr>
      <w:adjustRightInd w:val="0"/>
      <w:spacing w:line="360" w:lineRule="auto"/>
      <w:ind w:firstLine="560" w:firstLineChars="200"/>
      <w:textAlignment w:val="baseline"/>
    </w:pPr>
    <w:rPr>
      <w:rFonts w:ascii="仿宋_GB2312" w:hAnsi="宋体" w:eastAsia="仿宋_GB2312"/>
      <w:kern w:val="0"/>
      <w:sz w:val="28"/>
      <w:szCs w:val="20"/>
    </w:rPr>
  </w:style>
  <w:style w:type="paragraph" w:styleId="16">
    <w:name w:val="toc 2"/>
    <w:basedOn w:val="1"/>
    <w:next w:val="1"/>
    <w:qFormat/>
    <w:uiPriority w:val="39"/>
    <w:rPr>
      <w:rFonts w:eastAsia="楷体"/>
    </w:rPr>
  </w:style>
  <w:style w:type="paragraph" w:styleId="17">
    <w:name w:val="Normal (Web)"/>
    <w:basedOn w:val="1"/>
    <w:qFormat/>
    <w:uiPriority w:val="99"/>
    <w:pPr>
      <w:spacing w:before="100" w:beforeAutospacing="1" w:after="100" w:afterAutospacing="1"/>
      <w:jc w:val="left"/>
    </w:pPr>
    <w:rPr>
      <w:kern w:val="0"/>
      <w:sz w:val="24"/>
    </w:rPr>
  </w:style>
  <w:style w:type="paragraph" w:styleId="18">
    <w:name w:val="annotation subject"/>
    <w:basedOn w:val="6"/>
    <w:next w:val="6"/>
    <w:link w:val="44"/>
    <w:qFormat/>
    <w:uiPriority w:val="0"/>
    <w:rPr>
      <w:b/>
      <w:bCs/>
    </w:rPr>
  </w:style>
  <w:style w:type="table" w:styleId="20">
    <w:name w:val="Table Grid"/>
    <w:basedOn w:val="19"/>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qFormat/>
    <w:uiPriority w:val="0"/>
    <w:rPr>
      <w:b/>
      <w:bCs/>
    </w:rPr>
  </w:style>
  <w:style w:type="character" w:styleId="23">
    <w:name w:val="page number"/>
    <w:basedOn w:val="21"/>
    <w:qFormat/>
    <w:uiPriority w:val="0"/>
  </w:style>
  <w:style w:type="character" w:styleId="24">
    <w:name w:val="FollowedHyperlink"/>
    <w:qFormat/>
    <w:uiPriority w:val="0"/>
    <w:rPr>
      <w:color w:val="012E22"/>
      <w:u w:val="none"/>
    </w:rPr>
  </w:style>
  <w:style w:type="character" w:styleId="25">
    <w:name w:val="Hyperlink"/>
    <w:qFormat/>
    <w:uiPriority w:val="99"/>
    <w:rPr>
      <w:color w:val="012E22"/>
      <w:u w:val="none"/>
    </w:rPr>
  </w:style>
  <w:style w:type="character" w:styleId="26">
    <w:name w:val="annotation reference"/>
    <w:basedOn w:val="21"/>
    <w:qFormat/>
    <w:uiPriority w:val="0"/>
    <w:rPr>
      <w:sz w:val="21"/>
      <w:szCs w:val="21"/>
    </w:rPr>
  </w:style>
  <w:style w:type="character" w:customStyle="1" w:styleId="27">
    <w:name w:val="标题 1 Char"/>
    <w:link w:val="2"/>
    <w:qFormat/>
    <w:uiPriority w:val="0"/>
    <w:rPr>
      <w:rFonts w:eastAsia="宋体"/>
      <w:b/>
      <w:bCs/>
      <w:kern w:val="44"/>
      <w:sz w:val="32"/>
      <w:szCs w:val="44"/>
    </w:rPr>
  </w:style>
  <w:style w:type="paragraph" w:customStyle="1" w:styleId="28">
    <w:name w:val="报告模板"/>
    <w:basedOn w:val="29"/>
    <w:qFormat/>
    <w:uiPriority w:val="0"/>
    <w:pPr>
      <w:spacing w:line="560" w:lineRule="exact"/>
      <w:ind w:firstLine="560"/>
      <w:jc w:val="left"/>
    </w:pPr>
    <w:rPr>
      <w:rFonts w:hAnsi="仿宋_GB2312" w:cs="宋体"/>
      <w:szCs w:val="20"/>
    </w:rPr>
  </w:style>
  <w:style w:type="paragraph" w:customStyle="1" w:styleId="29">
    <w:name w:val="龙泰正文 + First line:  2 ch1"/>
    <w:basedOn w:val="30"/>
    <w:qFormat/>
    <w:uiPriority w:val="0"/>
    <w:pPr>
      <w:ind w:firstLine="600"/>
    </w:pPr>
  </w:style>
  <w:style w:type="paragraph" w:customStyle="1" w:styleId="30">
    <w:name w:val="龙泰正文"/>
    <w:basedOn w:val="1"/>
    <w:qFormat/>
    <w:uiPriority w:val="0"/>
    <w:pPr>
      <w:autoSpaceDE w:val="0"/>
      <w:autoSpaceDN w:val="0"/>
      <w:spacing w:line="360" w:lineRule="auto"/>
      <w:ind w:firstLine="200" w:firstLineChars="200"/>
    </w:pPr>
    <w:rPr>
      <w:rFonts w:ascii="仿宋_GB2312" w:hAnsi="Arial" w:eastAsia="仿宋_GB2312"/>
      <w:szCs w:val="28"/>
    </w:rPr>
  </w:style>
  <w:style w:type="character" w:customStyle="1" w:styleId="31">
    <w:name w:val="文档结构图 Char"/>
    <w:link w:val="5"/>
    <w:qFormat/>
    <w:uiPriority w:val="0"/>
    <w:rPr>
      <w:rFonts w:ascii="宋体"/>
      <w:kern w:val="2"/>
      <w:sz w:val="18"/>
      <w:szCs w:val="18"/>
    </w:rPr>
  </w:style>
  <w:style w:type="character" w:customStyle="1" w:styleId="32">
    <w:name w:val="font11"/>
    <w:basedOn w:val="21"/>
    <w:qFormat/>
    <w:uiPriority w:val="0"/>
    <w:rPr>
      <w:rFonts w:hint="eastAsia" w:ascii="宋体" w:hAnsi="宋体" w:eastAsia="宋体" w:cs="宋体"/>
      <w:color w:val="000000"/>
      <w:sz w:val="24"/>
      <w:szCs w:val="24"/>
      <w:u w:val="none"/>
    </w:rPr>
  </w:style>
  <w:style w:type="character" w:customStyle="1" w:styleId="33">
    <w:name w:val="client1"/>
    <w:basedOn w:val="21"/>
    <w:qFormat/>
    <w:uiPriority w:val="0"/>
  </w:style>
  <w:style w:type="character" w:customStyle="1" w:styleId="34">
    <w:name w:val="r_价值类型"/>
    <w:basedOn w:val="21"/>
    <w:qFormat/>
    <w:uiPriority w:val="0"/>
  </w:style>
  <w:style w:type="character" w:customStyle="1" w:styleId="35">
    <w:name w:val="s_土地证号"/>
    <w:basedOn w:val="21"/>
    <w:qFormat/>
    <w:uiPriority w:val="0"/>
  </w:style>
  <w:style w:type="character" w:customStyle="1" w:styleId="36">
    <w:name w:val="font01"/>
    <w:basedOn w:val="21"/>
    <w:qFormat/>
    <w:uiPriority w:val="0"/>
    <w:rPr>
      <w:rFonts w:hint="eastAsia" w:ascii="宋体" w:hAnsi="宋体" w:eastAsia="宋体" w:cs="宋体"/>
      <w:color w:val="000000"/>
      <w:sz w:val="21"/>
      <w:szCs w:val="21"/>
      <w:u w:val="none"/>
    </w:rPr>
  </w:style>
  <w:style w:type="character" w:customStyle="1" w:styleId="37">
    <w:name w:val="r_报告编号"/>
    <w:basedOn w:val="21"/>
    <w:qFormat/>
    <w:uiPriority w:val="0"/>
  </w:style>
  <w:style w:type="character" w:customStyle="1" w:styleId="38">
    <w:name w:val="r_结束日期(长)"/>
    <w:basedOn w:val="21"/>
    <w:qFormat/>
    <w:uiPriority w:val="0"/>
  </w:style>
  <w:style w:type="character" w:customStyle="1" w:styleId="39">
    <w:name w:val="s_地址"/>
    <w:basedOn w:val="21"/>
    <w:qFormat/>
    <w:uiPriority w:val="0"/>
  </w:style>
  <w:style w:type="character" w:customStyle="1" w:styleId="40">
    <w:name w:val="s_权利人"/>
    <w:basedOn w:val="21"/>
    <w:qFormat/>
    <w:uiPriority w:val="0"/>
  </w:style>
  <w:style w:type="character" w:customStyle="1" w:styleId="41">
    <w:name w:val="15"/>
    <w:qFormat/>
    <w:uiPriority w:val="0"/>
    <w:rPr>
      <w:rFonts w:hint="default" w:ascii="Verdana" w:hAnsi="Verdana" w:eastAsia="Times New Roman" w:cs="Verdana"/>
      <w:sz w:val="20"/>
      <w:szCs w:val="20"/>
    </w:rPr>
  </w:style>
  <w:style w:type="character" w:customStyle="1" w:styleId="42">
    <w:name w:val="10"/>
    <w:qFormat/>
    <w:uiPriority w:val="0"/>
    <w:rPr>
      <w:rFonts w:hint="default" w:ascii="Verdana" w:hAnsi="Verdana" w:eastAsia="Times New Roman" w:cs="Verdana"/>
      <w:sz w:val="20"/>
      <w:szCs w:val="20"/>
    </w:rPr>
  </w:style>
  <w:style w:type="character" w:customStyle="1" w:styleId="43">
    <w:name w:val="批注文字 Char"/>
    <w:basedOn w:val="21"/>
    <w:link w:val="6"/>
    <w:qFormat/>
    <w:uiPriority w:val="0"/>
    <w:rPr>
      <w:kern w:val="2"/>
      <w:sz w:val="21"/>
      <w:szCs w:val="24"/>
    </w:rPr>
  </w:style>
  <w:style w:type="character" w:customStyle="1" w:styleId="44">
    <w:name w:val="批注主题 Char"/>
    <w:basedOn w:val="43"/>
    <w:link w:val="18"/>
    <w:qFormat/>
    <w:uiPriority w:val="0"/>
    <w:rPr>
      <w:b/>
      <w:bCs/>
      <w:kern w:val="2"/>
      <w:sz w:val="21"/>
      <w:szCs w:val="24"/>
    </w:rPr>
  </w:style>
  <w:style w:type="paragraph" w:styleId="45">
    <w:name w:val="List Paragraph"/>
    <w:basedOn w:val="1"/>
    <w:qFormat/>
    <w:uiPriority w:val="34"/>
    <w:pPr>
      <w:ind w:firstLine="420" w:firstLineChars="200"/>
    </w:pPr>
    <w:rPr>
      <w:rFonts w:ascii="Calibri" w:hAnsi="Calibri"/>
      <w:szCs w:val="22"/>
    </w:rPr>
  </w:style>
  <w:style w:type="character" w:styleId="46">
    <w:name w:val="Placeholder Text"/>
    <w:basedOn w:val="21"/>
    <w:unhideWhenUsed/>
    <w:qFormat/>
    <w:uiPriority w:val="99"/>
    <w:rPr>
      <w:color w:val="808080"/>
    </w:rPr>
  </w:style>
  <w:style w:type="character" w:customStyle="1" w:styleId="47">
    <w:name w:val="font21"/>
    <w:basedOn w:val="21"/>
    <w:qFormat/>
    <w:uiPriority w:val="0"/>
    <w:rPr>
      <w:rFonts w:hint="eastAsia" w:ascii="楷体" w:hAnsi="楷体" w:eastAsia="楷体" w:cs="楷体"/>
      <w:b/>
      <w:color w:val="000000"/>
      <w:sz w:val="24"/>
      <w:szCs w:val="24"/>
      <w:u w:val="none"/>
    </w:rPr>
  </w:style>
  <w:style w:type="character" w:customStyle="1" w:styleId="48">
    <w:name w:val="font41"/>
    <w:basedOn w:val="21"/>
    <w:qFormat/>
    <w:uiPriority w:val="0"/>
    <w:rPr>
      <w:rFonts w:hint="eastAsia" w:ascii="楷体" w:hAnsi="楷体" w:eastAsia="楷体" w:cs="楷体"/>
      <w:b/>
      <w:color w:val="000000"/>
      <w:sz w:val="24"/>
      <w:szCs w:val="24"/>
      <w:u w:val="none"/>
    </w:rPr>
  </w:style>
  <w:style w:type="character" w:customStyle="1" w:styleId="49">
    <w:name w:val="font31"/>
    <w:basedOn w:val="21"/>
    <w:qFormat/>
    <w:uiPriority w:val="0"/>
    <w:rPr>
      <w:rFonts w:hint="eastAsia" w:ascii="楷体" w:hAnsi="楷体" w:eastAsia="楷体" w:cs="楷体"/>
      <w:b/>
      <w:color w:val="000000"/>
      <w:sz w:val="24"/>
      <w:szCs w:val="24"/>
      <w:u w:val="none"/>
    </w:rPr>
  </w:style>
  <w:style w:type="character" w:customStyle="1" w:styleId="50">
    <w:name w:val="font51"/>
    <w:basedOn w:val="21"/>
    <w:qFormat/>
    <w:uiPriority w:val="0"/>
    <w:rPr>
      <w:rFonts w:hint="eastAsia" w:ascii="楷体" w:hAnsi="楷体" w:eastAsia="楷体" w:cs="楷体"/>
      <w:b/>
      <w:color w:val="000000"/>
      <w:sz w:val="24"/>
      <w:szCs w:val="24"/>
      <w:u w:val="none"/>
    </w:rPr>
  </w:style>
  <w:style w:type="paragraph" w:customStyle="1" w:styleId="51">
    <w:name w:val="WPSOffice手动目录 2"/>
    <w:qFormat/>
    <w:uiPriority w:val="0"/>
    <w:pPr>
      <w:ind w:left="200" w:leftChars="200"/>
    </w:pPr>
    <w:rPr>
      <w:rFonts w:ascii="Calibri" w:hAnsi="Calibri" w:eastAsia="宋体" w:cs="Times New Roman"/>
      <w:lang w:val="en-US" w:eastAsia="zh-CN" w:bidi="ar-SA"/>
    </w:rPr>
  </w:style>
  <w:style w:type="paragraph" w:customStyle="1" w:styleId="52">
    <w:name w:val="WPSOffice手动目录 1"/>
    <w:qFormat/>
    <w:uiPriority w:val="0"/>
    <w:rPr>
      <w:rFonts w:ascii="Calibri" w:hAnsi="Calibri"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1.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419FB-F1FC-4F70-B364-CE958C6AC513}">
  <ds:schemaRefs/>
</ds:datastoreItem>
</file>

<file path=docProps/app.xml><?xml version="1.0" encoding="utf-8"?>
<Properties xmlns="http://schemas.openxmlformats.org/officeDocument/2006/extended-properties" xmlns:vt="http://schemas.openxmlformats.org/officeDocument/2006/docPropsVTypes">
  <Template>Normal</Template>
  <Company>天平评估</Company>
  <Pages>22</Pages>
  <Words>8084</Words>
  <Characters>8513</Characters>
  <Lines>228</Lines>
  <Paragraphs>64</Paragraphs>
  <TotalTime>30</TotalTime>
  <ScaleCrop>false</ScaleCrop>
  <LinksUpToDate>false</LinksUpToDate>
  <CharactersWithSpaces>8776</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2018-04-02T03:35:00Z</dcterms:created>
  <dc:creator>秦振贤</dc:creator>
  <cp:lastModifiedBy>淡水</cp:lastModifiedBy>
  <cp:lastPrinted>2022-07-28T03:05:00Z</cp:lastPrinted>
  <dcterms:modified xsi:type="dcterms:W3CDTF">2022-07-28T08:37:19Z</dcterms:modified>
  <dc:title>估价结果报告</dc:title>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1DA31387B9704B6CBC3F5FAA1FF9CE81</vt:lpwstr>
  </property>
</Properties>
</file>