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3115"/>
        <w:gridCol w:w="1787"/>
        <w:gridCol w:w="1799"/>
        <w:gridCol w:w="1782"/>
      </w:tblGrid>
      <w:tr w:rsidR="00397DF8" w14:paraId="16140C3B" w14:textId="77777777" w:rsidTr="00397DF8">
        <w:tc>
          <w:tcPr>
            <w:tcW w:w="533" w:type="dxa"/>
          </w:tcPr>
          <w:p w14:paraId="4630DFAB" w14:textId="0A0B6DB8" w:rsidR="00397DF8" w:rsidRDefault="00397DF8">
            <w:proofErr w:type="spellStart"/>
            <w:r>
              <w:t>Sl</w:t>
            </w:r>
            <w:proofErr w:type="spellEnd"/>
            <w:r>
              <w:t xml:space="preserve"> No:</w:t>
            </w:r>
          </w:p>
        </w:tc>
        <w:tc>
          <w:tcPr>
            <w:tcW w:w="3115" w:type="dxa"/>
          </w:tcPr>
          <w:p w14:paraId="5C01776A" w14:textId="142DD9C4" w:rsidR="00397DF8" w:rsidRDefault="00397DF8">
            <w:r>
              <w:t>PAPER DETAILS</w:t>
            </w:r>
          </w:p>
        </w:tc>
        <w:tc>
          <w:tcPr>
            <w:tcW w:w="1787" w:type="dxa"/>
          </w:tcPr>
          <w:p w14:paraId="3F4F049C" w14:textId="3FDF1D3A" w:rsidR="00397DF8" w:rsidRDefault="00397DF8">
            <w:r>
              <w:t>OBJECTIVES</w:t>
            </w:r>
          </w:p>
        </w:tc>
        <w:tc>
          <w:tcPr>
            <w:tcW w:w="1799" w:type="dxa"/>
          </w:tcPr>
          <w:p w14:paraId="5570AC1D" w14:textId="67F09B81" w:rsidR="00397DF8" w:rsidRDefault="00397DF8">
            <w:r>
              <w:t>METHODOLOGY</w:t>
            </w:r>
          </w:p>
        </w:tc>
        <w:tc>
          <w:tcPr>
            <w:tcW w:w="1782" w:type="dxa"/>
          </w:tcPr>
          <w:p w14:paraId="5E87AD66" w14:textId="029512B6" w:rsidR="00397DF8" w:rsidRDefault="00397DF8">
            <w:r>
              <w:t>REMARKS</w:t>
            </w:r>
          </w:p>
        </w:tc>
      </w:tr>
      <w:tr w:rsidR="00397DF8" w:rsidRPr="009E5652" w14:paraId="3A155348" w14:textId="77777777" w:rsidTr="00397DF8">
        <w:tc>
          <w:tcPr>
            <w:tcW w:w="533" w:type="dxa"/>
          </w:tcPr>
          <w:p w14:paraId="1A25F5AC" w14:textId="2BFB7249" w:rsidR="00397DF8" w:rsidRPr="009E5652" w:rsidRDefault="00397DF8" w:rsidP="00397DF8">
            <w:r w:rsidRPr="009E5652">
              <w:t>1</w:t>
            </w:r>
          </w:p>
        </w:tc>
        <w:tc>
          <w:tcPr>
            <w:tcW w:w="3115" w:type="dxa"/>
          </w:tcPr>
          <w:p w14:paraId="3D4E90D7" w14:textId="7A615786" w:rsidR="00397DF8" w:rsidRPr="009E5652" w:rsidRDefault="009E5652" w:rsidP="00397DF8">
            <w:proofErr w:type="spellStart"/>
            <w:r w:rsidRPr="009E5652">
              <w:t>Elbanhawi</w:t>
            </w:r>
            <w:proofErr w:type="spellEnd"/>
            <w:r w:rsidRPr="009E5652">
              <w:t xml:space="preserve">, Mohamed &amp; </w:t>
            </w:r>
            <w:proofErr w:type="spellStart"/>
            <w:r w:rsidRPr="009E5652">
              <w:t>Simic</w:t>
            </w:r>
            <w:proofErr w:type="spellEnd"/>
            <w:r w:rsidRPr="009E5652">
              <w:t xml:space="preserve">, Milan &amp; </w:t>
            </w:r>
            <w:proofErr w:type="spellStart"/>
            <w:r w:rsidRPr="009E5652">
              <w:t>Jazar</w:t>
            </w:r>
            <w:proofErr w:type="spellEnd"/>
            <w:r w:rsidRPr="009E5652">
              <w:t xml:space="preserve">, Reza. (2013). Autonomous Robot Path Planning: An Adaptive Roadmap Approach. Applied Mechanics and Materials. 373-375. </w:t>
            </w:r>
          </w:p>
        </w:tc>
        <w:tc>
          <w:tcPr>
            <w:tcW w:w="1787" w:type="dxa"/>
          </w:tcPr>
          <w:p w14:paraId="0A175B48" w14:textId="6B805602" w:rsidR="00397DF8" w:rsidRPr="009E5652" w:rsidRDefault="009E5652" w:rsidP="00397DF8">
            <w:r w:rsidRPr="009E5652">
              <w:t>To do path planning for autonomous robot</w:t>
            </w:r>
          </w:p>
        </w:tc>
        <w:tc>
          <w:tcPr>
            <w:tcW w:w="1799" w:type="dxa"/>
          </w:tcPr>
          <w:p w14:paraId="3D157E19" w14:textId="5C34BFAF" w:rsidR="00397DF8" w:rsidRPr="009E5652" w:rsidRDefault="009E5652" w:rsidP="00397DF8">
            <w:r w:rsidRPr="009E5652">
              <w:t xml:space="preserve">Road </w:t>
            </w:r>
            <w:proofErr w:type="gramStart"/>
            <w:r w:rsidRPr="009E5652">
              <w:t>map based</w:t>
            </w:r>
            <w:proofErr w:type="gramEnd"/>
            <w:r w:rsidRPr="009E5652">
              <w:t xml:space="preserve"> method</w:t>
            </w:r>
          </w:p>
        </w:tc>
        <w:tc>
          <w:tcPr>
            <w:tcW w:w="1782" w:type="dxa"/>
          </w:tcPr>
          <w:p w14:paraId="7C934D9C" w14:textId="3DBDCDA9" w:rsidR="00397DF8" w:rsidRPr="009E5652" w:rsidRDefault="009E5652" w:rsidP="00397DF8">
            <w:r w:rsidRPr="009E5652">
              <w:t>Point mass assumption</w:t>
            </w:r>
          </w:p>
        </w:tc>
      </w:tr>
      <w:tr w:rsidR="009E5652" w:rsidRPr="009E5652" w14:paraId="5B93046F" w14:textId="77777777" w:rsidTr="00397DF8">
        <w:tc>
          <w:tcPr>
            <w:tcW w:w="533" w:type="dxa"/>
          </w:tcPr>
          <w:p w14:paraId="5F28C380" w14:textId="0367B3C8" w:rsidR="009E5652" w:rsidRPr="009E5652" w:rsidRDefault="009E5652" w:rsidP="009E5652">
            <w:r w:rsidRPr="009E5652">
              <w:t>2</w:t>
            </w:r>
          </w:p>
        </w:tc>
        <w:tc>
          <w:tcPr>
            <w:tcW w:w="3115" w:type="dxa"/>
          </w:tcPr>
          <w:p w14:paraId="4222FBCA" w14:textId="77777777" w:rsidR="009E5652" w:rsidRPr="009E5652" w:rsidRDefault="009E5652" w:rsidP="009E5652">
            <w:pPr>
              <w:autoSpaceDE w:val="0"/>
              <w:autoSpaceDN w:val="0"/>
              <w:adjustRightInd w:val="0"/>
              <w:rPr>
                <w:rFonts w:ascii="TT2A94o00" w:hAnsi="TT2A94o00" w:cs="TT2A94o00"/>
              </w:rPr>
            </w:pPr>
            <w:r w:rsidRPr="009E5652">
              <w:rPr>
                <w:rFonts w:ascii="TT2A94o00" w:hAnsi="TT2A94o00" w:cs="TT2A94o00"/>
              </w:rPr>
              <w:t>Scan Matching Online Cell Decomposition for Coverage Path Planning in an Unknown Environment,</w:t>
            </w:r>
          </w:p>
          <w:p w14:paraId="532256C3" w14:textId="77777777" w:rsidR="009E5652" w:rsidRPr="009E5652" w:rsidRDefault="009E5652" w:rsidP="009E5652">
            <w:pPr>
              <w:autoSpaceDE w:val="0"/>
              <w:autoSpaceDN w:val="0"/>
              <w:adjustRightInd w:val="0"/>
              <w:rPr>
                <w:rFonts w:ascii="TT2A95o00" w:hAnsi="TT2A95o00" w:cs="TT2A95o00"/>
              </w:rPr>
            </w:pPr>
            <w:proofErr w:type="spellStart"/>
            <w:r w:rsidRPr="009E5652">
              <w:rPr>
                <w:rFonts w:ascii="TT2A95o00" w:hAnsi="TT2A95o00" w:cs="TT2A95o00"/>
              </w:rPr>
              <w:t>Batsaikhan</w:t>
            </w:r>
            <w:proofErr w:type="spellEnd"/>
            <w:r w:rsidRPr="009E5652">
              <w:rPr>
                <w:rFonts w:ascii="TT2A95o00" w:hAnsi="TT2A95o00" w:cs="TT2A95o00"/>
              </w:rPr>
              <w:t xml:space="preserve"> </w:t>
            </w:r>
            <w:proofErr w:type="spellStart"/>
            <w:r w:rsidRPr="009E5652">
              <w:rPr>
                <w:rFonts w:ascii="TT2A95o00" w:hAnsi="TT2A95o00" w:cs="TT2A95o00"/>
              </w:rPr>
              <w:t>Dugarjav</w:t>
            </w:r>
            <w:proofErr w:type="spellEnd"/>
          </w:p>
          <w:p w14:paraId="39E0F73E" w14:textId="676763A2" w:rsidR="009E5652" w:rsidRPr="009E5652" w:rsidRDefault="009E5652" w:rsidP="009E5652">
            <w:r w:rsidRPr="009E5652">
              <w:rPr>
                <w:rFonts w:ascii="TT2A95o00" w:hAnsi="TT2A95o00" w:cs="TT2A95o00"/>
              </w:rPr>
              <w:t>2013</w:t>
            </w:r>
          </w:p>
        </w:tc>
        <w:tc>
          <w:tcPr>
            <w:tcW w:w="1787" w:type="dxa"/>
          </w:tcPr>
          <w:p w14:paraId="0679D507" w14:textId="103FAA0B" w:rsidR="009E5652" w:rsidRPr="009E5652" w:rsidRDefault="009E5652" w:rsidP="009E5652">
            <w:r w:rsidRPr="009E5652">
              <w:rPr>
                <w:rFonts w:ascii="TT2A9Bo00" w:hAnsi="TT2A9Bo00" w:cs="TT2A9Bo00"/>
              </w:rPr>
              <w:t>To guarantee complete coverage</w:t>
            </w:r>
            <w:r w:rsidRPr="009E5652">
              <w:rPr>
                <w:rFonts w:ascii="TT2A9Bo00" w:hAnsi="TT2A9Bo00" w:cs="TT2A9Bo00"/>
              </w:rPr>
              <w:t xml:space="preserve"> path planning</w:t>
            </w:r>
          </w:p>
        </w:tc>
        <w:tc>
          <w:tcPr>
            <w:tcW w:w="1799" w:type="dxa"/>
          </w:tcPr>
          <w:p w14:paraId="0AEE164F" w14:textId="2AE8EDB6" w:rsidR="009E5652" w:rsidRPr="009E5652" w:rsidRDefault="009E5652" w:rsidP="009E5652">
            <w:r w:rsidRPr="009E5652">
              <w:t>Cell decomposition</w:t>
            </w:r>
          </w:p>
        </w:tc>
        <w:tc>
          <w:tcPr>
            <w:tcW w:w="1782" w:type="dxa"/>
          </w:tcPr>
          <w:p w14:paraId="076E9D21" w14:textId="77777777" w:rsidR="009E5652" w:rsidRPr="009E5652" w:rsidRDefault="009E5652" w:rsidP="009E5652">
            <w:pPr>
              <w:pStyle w:val="Default"/>
              <w:rPr>
                <w:sz w:val="22"/>
                <w:szCs w:val="22"/>
              </w:rPr>
            </w:pPr>
            <w:r w:rsidRPr="009E5652">
              <w:rPr>
                <w:sz w:val="22"/>
                <w:szCs w:val="22"/>
              </w:rPr>
              <w:t>High computational cost, and high execution time (3.5 min)</w:t>
            </w:r>
          </w:p>
          <w:p w14:paraId="398EA65F" w14:textId="77777777" w:rsidR="009E5652" w:rsidRPr="009E5652" w:rsidRDefault="009E5652" w:rsidP="009E5652">
            <w:pPr>
              <w:pStyle w:val="Default"/>
              <w:rPr>
                <w:sz w:val="22"/>
                <w:szCs w:val="22"/>
              </w:rPr>
            </w:pPr>
            <w:r w:rsidRPr="009E5652">
              <w:rPr>
                <w:sz w:val="22"/>
                <w:szCs w:val="22"/>
              </w:rPr>
              <w:t xml:space="preserve">Efficient </w:t>
            </w:r>
            <w:r w:rsidRPr="009E5652">
              <w:rPr>
                <w:rFonts w:ascii="TT2A9Bo00" w:hAnsi="TT2A9Bo00" w:cs="TT2A9Bo00"/>
                <w:sz w:val="22"/>
                <w:szCs w:val="22"/>
              </w:rPr>
              <w:t>coverage path planning</w:t>
            </w:r>
            <w:r w:rsidRPr="009E5652">
              <w:rPr>
                <w:sz w:val="22"/>
                <w:szCs w:val="22"/>
              </w:rPr>
              <w:t xml:space="preserve">, robust </w:t>
            </w:r>
          </w:p>
          <w:p w14:paraId="6ADA80FB" w14:textId="77777777" w:rsidR="009E5652" w:rsidRPr="009E5652" w:rsidRDefault="009E5652" w:rsidP="009E5652"/>
        </w:tc>
      </w:tr>
      <w:tr w:rsidR="00F64C5F" w14:paraId="444EE94B" w14:textId="77777777" w:rsidTr="00397DF8">
        <w:tc>
          <w:tcPr>
            <w:tcW w:w="533" w:type="dxa"/>
          </w:tcPr>
          <w:p w14:paraId="321DFBDA" w14:textId="41DEBC62" w:rsidR="00F64C5F" w:rsidRDefault="00F64C5F" w:rsidP="00F64C5F">
            <w:r>
              <w:t>3</w:t>
            </w:r>
          </w:p>
        </w:tc>
        <w:tc>
          <w:tcPr>
            <w:tcW w:w="3115" w:type="dxa"/>
          </w:tcPr>
          <w:p w14:paraId="721554CC" w14:textId="77777777" w:rsidR="00F64C5F" w:rsidRDefault="00F64C5F" w:rsidP="00F64C5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sz w:val="46"/>
                <w:szCs w:val="46"/>
              </w:rPr>
              <w:t>T</w:t>
            </w:r>
            <w:r w:rsidRPr="00B046A7">
              <w:rPr>
                <w:rFonts w:ascii="NimbusRomNo9L-Regu" w:hAnsi="NimbusRomNo9L-Regu" w:cs="NimbusRomNo9L-Regu"/>
                <w:sz w:val="24"/>
                <w:szCs w:val="24"/>
              </w:rPr>
              <w:t>he Path Planning of Mobile Robots Based on a</w:t>
            </w:r>
            <w:r>
              <w:rPr>
                <w:rFonts w:ascii="NimbusRomNo9L-Regu" w:hAnsi="NimbusRomNo9L-Regu" w:cs="NimbusRomNo9L-Regu"/>
                <w:sz w:val="24"/>
                <w:szCs w:val="24"/>
              </w:rPr>
              <w:t xml:space="preserve">n </w:t>
            </w:r>
            <w:r w:rsidRPr="00B046A7">
              <w:rPr>
                <w:rFonts w:ascii="NimbusRomNo9L-Regu" w:hAnsi="NimbusRomNo9L-Regu" w:cs="NimbusRomNo9L-Regu"/>
                <w:sz w:val="24"/>
                <w:szCs w:val="24"/>
              </w:rPr>
              <w:t>Improved A* Algorith</w:t>
            </w:r>
            <w:r>
              <w:rPr>
                <w:rFonts w:ascii="NimbusRomNo9L-Regu" w:hAnsi="NimbusRomNo9L-Regu" w:cs="NimbusRomNo9L-Regu"/>
                <w:sz w:val="24"/>
                <w:szCs w:val="24"/>
              </w:rPr>
              <w:t>m,</w:t>
            </w:r>
          </w:p>
          <w:p w14:paraId="1C0BAA7E" w14:textId="00D7CE63" w:rsidR="00F64C5F" w:rsidRPr="00F64C5F" w:rsidRDefault="00F64C5F" w:rsidP="00F64C5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sz w:val="21"/>
                <w:szCs w:val="21"/>
              </w:rPr>
              <w:t>Lu Chang, Liang Shan</w:t>
            </w:r>
          </w:p>
          <w:p w14:paraId="4353B8C1" w14:textId="06986710" w:rsidR="00F64C5F" w:rsidRDefault="00F64C5F" w:rsidP="00F64C5F">
            <w:r>
              <w:rPr>
                <w:rFonts w:ascii="NimbusRomNo9L-Regu" w:hAnsi="NimbusRomNo9L-Regu" w:cs="NimbusRomNo9L-Regu"/>
                <w:sz w:val="21"/>
                <w:szCs w:val="21"/>
              </w:rPr>
              <w:t>2019</w:t>
            </w:r>
          </w:p>
        </w:tc>
        <w:tc>
          <w:tcPr>
            <w:tcW w:w="1787" w:type="dxa"/>
          </w:tcPr>
          <w:p w14:paraId="7DE3A6CA" w14:textId="4A5F09FA" w:rsidR="00F64C5F" w:rsidRDefault="00F64C5F" w:rsidP="00F64C5F">
            <w:r>
              <w:t>To plan a safe and efficient path for a mobile robot</w:t>
            </w:r>
          </w:p>
        </w:tc>
        <w:tc>
          <w:tcPr>
            <w:tcW w:w="1799" w:type="dxa"/>
          </w:tcPr>
          <w:p w14:paraId="3B0E9476" w14:textId="77777777" w:rsidR="00F64C5F" w:rsidRDefault="00F64C5F" w:rsidP="00F64C5F">
            <w:r>
              <w:t>Improved A*</w:t>
            </w:r>
          </w:p>
          <w:p w14:paraId="39624823" w14:textId="77777777" w:rsidR="00F64C5F" w:rsidRDefault="00F64C5F" w:rsidP="00F64C5F">
            <w:r>
              <w:t>(map compression,</w:t>
            </w:r>
          </w:p>
          <w:p w14:paraId="21829C0E" w14:textId="0A763551" w:rsidR="00F64C5F" w:rsidRDefault="00F64C5F" w:rsidP="00F64C5F">
            <w:r>
              <w:t>Path smoothing)</w:t>
            </w:r>
          </w:p>
        </w:tc>
        <w:tc>
          <w:tcPr>
            <w:tcW w:w="1782" w:type="dxa"/>
          </w:tcPr>
          <w:p w14:paraId="73E82CA7" w14:textId="77777777" w:rsidR="00F64C5F" w:rsidRDefault="00F64C5F" w:rsidP="00F64C5F">
            <w:r>
              <w:t>Optimal</w:t>
            </w:r>
          </w:p>
          <w:p w14:paraId="2D0606C5" w14:textId="77777777" w:rsidR="00F64C5F" w:rsidRDefault="00F64C5F" w:rsidP="00F64C5F">
            <w:r>
              <w:t>Consider robot size</w:t>
            </w:r>
          </w:p>
          <w:p w14:paraId="5B3E7008" w14:textId="77777777" w:rsidR="00F64C5F" w:rsidRDefault="00F64C5F" w:rsidP="00F64C5F">
            <w:r>
              <w:t>Large searching area</w:t>
            </w:r>
          </w:p>
          <w:p w14:paraId="055CD327" w14:textId="77777777" w:rsidR="00F64C5F" w:rsidRDefault="00F64C5F" w:rsidP="00F64C5F">
            <w:r>
              <w:t>Feasible and safer path</w:t>
            </w:r>
          </w:p>
          <w:p w14:paraId="2AA9848D" w14:textId="551D3664" w:rsidR="00F64C5F" w:rsidRDefault="00F64C5F" w:rsidP="00F64C5F">
            <w:r>
              <w:t>Computational complexity</w:t>
            </w:r>
          </w:p>
        </w:tc>
      </w:tr>
      <w:tr w:rsidR="00B044F1" w14:paraId="67D794EA" w14:textId="77777777" w:rsidTr="00397DF8">
        <w:tc>
          <w:tcPr>
            <w:tcW w:w="533" w:type="dxa"/>
          </w:tcPr>
          <w:p w14:paraId="2258B472" w14:textId="68780BE1" w:rsidR="00B044F1" w:rsidRDefault="00B044F1" w:rsidP="00B044F1">
            <w:r>
              <w:t>4</w:t>
            </w:r>
          </w:p>
        </w:tc>
        <w:tc>
          <w:tcPr>
            <w:tcW w:w="3115" w:type="dxa"/>
          </w:tcPr>
          <w:p w14:paraId="4CC38A49" w14:textId="77777777" w:rsidR="00B044F1" w:rsidRPr="00B6414A" w:rsidRDefault="00B044F1" w:rsidP="00B044F1">
            <w:pPr>
              <w:autoSpaceDE w:val="0"/>
              <w:autoSpaceDN w:val="0"/>
              <w:adjustRightInd w:val="0"/>
              <w:rPr>
                <w:rFonts w:ascii="MywdqkTimes-Bold" w:hAnsi="MywdqkTimes-Bold" w:cs="MywdqkTimes-Bold"/>
                <w:sz w:val="24"/>
                <w:szCs w:val="24"/>
              </w:rPr>
            </w:pPr>
            <w:r w:rsidRPr="00B6414A">
              <w:rPr>
                <w:rFonts w:ascii="MywdqkTimes-Bold" w:hAnsi="MywdqkTimes-Bold" w:cs="MywdqkTimes-Bold"/>
                <w:sz w:val="24"/>
                <w:szCs w:val="24"/>
              </w:rPr>
              <w:t>Faster RRT-based Nonholonomic Path Planning in 2D</w:t>
            </w:r>
          </w:p>
          <w:p w14:paraId="049CF248" w14:textId="77777777" w:rsidR="00B044F1" w:rsidRPr="00B6414A" w:rsidRDefault="00B044F1" w:rsidP="00B044F1">
            <w:pPr>
              <w:autoSpaceDE w:val="0"/>
              <w:autoSpaceDN w:val="0"/>
              <w:adjustRightInd w:val="0"/>
              <w:rPr>
                <w:rFonts w:ascii="MywdqkTimes-Bold" w:hAnsi="MywdqkTimes-Bold" w:cs="MywdqkTimes-Bold"/>
                <w:sz w:val="24"/>
                <w:szCs w:val="24"/>
              </w:rPr>
            </w:pPr>
            <w:r w:rsidRPr="00B6414A">
              <w:rPr>
                <w:rFonts w:ascii="MywdqkTimes-Bold" w:hAnsi="MywdqkTimes-Bold" w:cs="MywdqkTimes-Bold"/>
                <w:sz w:val="24"/>
                <w:szCs w:val="24"/>
              </w:rPr>
              <w:t>Building Environments Using Skeleton-constrained Path</w:t>
            </w:r>
          </w:p>
          <w:p w14:paraId="14076CE1" w14:textId="77777777" w:rsidR="00B044F1" w:rsidRDefault="00B044F1" w:rsidP="00B044F1">
            <w:pPr>
              <w:autoSpaceDE w:val="0"/>
              <w:autoSpaceDN w:val="0"/>
              <w:adjustRightInd w:val="0"/>
              <w:rPr>
                <w:rFonts w:ascii="MywdqkTimes-Bold" w:hAnsi="MywdqkTimes-Bold" w:cs="MywdqkTimes-Bold"/>
                <w:sz w:val="24"/>
                <w:szCs w:val="24"/>
              </w:rPr>
            </w:pPr>
            <w:r w:rsidRPr="00B6414A">
              <w:rPr>
                <w:rFonts w:ascii="MywdqkTimes-Bold" w:hAnsi="MywdqkTimes-Bold" w:cs="MywdqkTimes-Bold"/>
                <w:sz w:val="24"/>
                <w:szCs w:val="24"/>
              </w:rPr>
              <w:t>Biasing</w:t>
            </w:r>
            <w:r>
              <w:rPr>
                <w:rFonts w:ascii="MywdqkTimes-Bold" w:hAnsi="MywdqkTimes-Bold" w:cs="MywdqkTimes-Bold"/>
                <w:sz w:val="24"/>
                <w:szCs w:val="24"/>
              </w:rPr>
              <w:t>,</w:t>
            </w:r>
          </w:p>
          <w:p w14:paraId="7BE8BA78" w14:textId="77777777" w:rsidR="00B044F1" w:rsidRDefault="00B044F1" w:rsidP="00B044F1">
            <w:pPr>
              <w:autoSpaceDE w:val="0"/>
              <w:autoSpaceDN w:val="0"/>
              <w:adjustRightInd w:val="0"/>
              <w:rPr>
                <w:rFonts w:ascii="MywdqkTimes-Bold" w:hAnsi="MywdqkTimes-Bold" w:cs="MywdqkTimes-Bold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MywdqkTimes-Bold" w:hAnsi="MywdqkTimes-Bold" w:cs="MywdqkTimes-Bold"/>
                <w:b/>
                <w:bCs/>
                <w:sz w:val="20"/>
                <w:szCs w:val="20"/>
              </w:rPr>
              <w:t>Yiqun</w:t>
            </w:r>
            <w:proofErr w:type="spellEnd"/>
            <w:r>
              <w:rPr>
                <w:rFonts w:ascii="MywdqkTimes-Bold" w:hAnsi="MywdqkTimes-Bold" w:cs="MywdqkTimes-Bold"/>
                <w:b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ywdqkTimes-Bold" w:hAnsi="MywdqkTimes-Bold" w:cs="MywdqkTimes-Bold"/>
                <w:b/>
                <w:bCs/>
                <w:sz w:val="20"/>
                <w:szCs w:val="20"/>
              </w:rPr>
              <w:t>Dong ,</w:t>
            </w:r>
            <w:proofErr w:type="spellStart"/>
            <w:r>
              <w:rPr>
                <w:rFonts w:ascii="MywdqkTimes-Bold" w:hAnsi="MywdqkTimes-Bold" w:cs="MywdqkTimes-Bold"/>
                <w:b/>
                <w:bCs/>
                <w:sz w:val="20"/>
                <w:szCs w:val="20"/>
              </w:rPr>
              <w:t>Efe</w:t>
            </w:r>
            <w:proofErr w:type="spellEnd"/>
            <w:proofErr w:type="gramEnd"/>
            <w:r>
              <w:rPr>
                <w:rFonts w:ascii="MywdqkTimes-Bold" w:hAnsi="MywdqkTimes-Bold" w:cs="MywdqkTimes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ywdqkTimes-Bold" w:hAnsi="MywdqkTimes-Bold" w:cs="MywdqkTimes-Bold"/>
                <w:b/>
                <w:bCs/>
                <w:sz w:val="20"/>
                <w:szCs w:val="20"/>
              </w:rPr>
              <w:t>Camci</w:t>
            </w:r>
            <w:proofErr w:type="spellEnd"/>
          </w:p>
          <w:p w14:paraId="400F36DB" w14:textId="2A46796B" w:rsidR="00B044F1" w:rsidRDefault="00B044F1" w:rsidP="00B044F1">
            <w:r>
              <w:rPr>
                <w:rFonts w:ascii="MywdqkTimes-Bold" w:hAnsi="MywdqkTimes-Bold" w:cs="MywdqkTimes-Bold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1787" w:type="dxa"/>
          </w:tcPr>
          <w:p w14:paraId="22B8474D" w14:textId="6CACC008" w:rsidR="00B044F1" w:rsidRDefault="00B044F1" w:rsidP="00B044F1">
            <w:r>
              <w:rPr>
                <w:rFonts w:ascii="NimbusRomNo9L-Regu" w:hAnsi="NimbusRomNo9L-Regu" w:cs="NimbusRomNo9L-Regu"/>
                <w:sz w:val="20"/>
                <w:szCs w:val="20"/>
              </w:rPr>
              <w:t>Nonholonomic path planning in 2 d environment</w:t>
            </w:r>
          </w:p>
        </w:tc>
        <w:tc>
          <w:tcPr>
            <w:tcW w:w="1799" w:type="dxa"/>
          </w:tcPr>
          <w:p w14:paraId="3A4FDBA8" w14:textId="77777777" w:rsidR="00B044F1" w:rsidRDefault="00B044F1" w:rsidP="00B044F1">
            <w:pPr>
              <w:jc w:val="center"/>
              <w:rPr>
                <w:rFonts w:ascii="RpqvbkTimes-Roman" w:hAnsi="RpqvbkTimes-Roman" w:cs="RpqvbkTimes-Roman"/>
                <w:sz w:val="20"/>
                <w:szCs w:val="20"/>
              </w:rPr>
            </w:pPr>
            <w:r>
              <w:t xml:space="preserve">Biasing off RRT by </w:t>
            </w:r>
            <w:r>
              <w:rPr>
                <w:rFonts w:ascii="RpqvbkTimes-Roman" w:hAnsi="RpqvbkTimes-Roman" w:cs="RpqvbkTimes-Roman"/>
                <w:sz w:val="20"/>
                <w:szCs w:val="20"/>
              </w:rPr>
              <w:t>skeleton-constrained path,</w:t>
            </w:r>
          </w:p>
          <w:p w14:paraId="1294235A" w14:textId="77777777" w:rsidR="00B044F1" w:rsidRDefault="00B044F1" w:rsidP="00B044F1"/>
        </w:tc>
        <w:tc>
          <w:tcPr>
            <w:tcW w:w="1782" w:type="dxa"/>
          </w:tcPr>
          <w:p w14:paraId="24AA9379" w14:textId="77777777" w:rsidR="00B044F1" w:rsidRDefault="00B044F1" w:rsidP="00B044F1">
            <w:pPr>
              <w:autoSpaceDE w:val="0"/>
              <w:autoSpaceDN w:val="0"/>
              <w:adjustRightInd w:val="0"/>
              <w:rPr>
                <w:rFonts w:ascii="RpqvbkTimes-Roman" w:hAnsi="RpqvbkTimes-Roman" w:cs="RpqvbkTimes-Roman"/>
                <w:sz w:val="20"/>
                <w:szCs w:val="20"/>
              </w:rPr>
            </w:pPr>
            <w:r>
              <w:rPr>
                <w:rFonts w:ascii="RpqvbkTimes-Roman" w:hAnsi="RpqvbkTimes-Roman" w:cs="RpqvbkTimes-Roman"/>
                <w:sz w:val="20"/>
                <w:szCs w:val="20"/>
              </w:rPr>
              <w:t>Probabilistically complete algorithm,</w:t>
            </w:r>
          </w:p>
          <w:p w14:paraId="3EE861D3" w14:textId="77777777" w:rsidR="00B044F1" w:rsidRDefault="00B044F1" w:rsidP="00B044F1">
            <w:pPr>
              <w:autoSpaceDE w:val="0"/>
              <w:autoSpaceDN w:val="0"/>
              <w:adjustRightInd w:val="0"/>
              <w:rPr>
                <w:rFonts w:ascii="RpqvbkTimes-Roman" w:hAnsi="RpqvbkTimes-Roman" w:cs="RpqvbkTimes-Roman"/>
                <w:sz w:val="20"/>
                <w:szCs w:val="20"/>
              </w:rPr>
            </w:pPr>
            <w:r>
              <w:rPr>
                <w:rFonts w:ascii="RpqvbkTimes-Roman" w:hAnsi="RpqvbkTimes-Roman" w:cs="RpqvbkTimes-Roman"/>
                <w:sz w:val="20"/>
                <w:szCs w:val="20"/>
              </w:rPr>
              <w:t>Better planning time, path length and</w:t>
            </w:r>
          </w:p>
          <w:p w14:paraId="73FD9F76" w14:textId="77777777" w:rsidR="00B044F1" w:rsidRDefault="00B044F1" w:rsidP="00B044F1">
            <w:pPr>
              <w:autoSpaceDE w:val="0"/>
              <w:autoSpaceDN w:val="0"/>
              <w:adjustRightInd w:val="0"/>
              <w:rPr>
                <w:rFonts w:ascii="RpqvbkTimes-Roman" w:hAnsi="RpqvbkTimes-Roman" w:cs="RpqvbkTimes-Roman"/>
                <w:sz w:val="20"/>
                <w:szCs w:val="20"/>
              </w:rPr>
            </w:pPr>
            <w:r>
              <w:rPr>
                <w:rFonts w:ascii="RpqvbkTimes-Roman" w:hAnsi="RpqvbkTimes-Roman" w:cs="RpqvbkTimes-Roman"/>
                <w:sz w:val="20"/>
                <w:szCs w:val="20"/>
              </w:rPr>
              <w:t>Clearance</w:t>
            </w:r>
          </w:p>
          <w:p w14:paraId="63DB5A77" w14:textId="77777777" w:rsidR="00B044F1" w:rsidRDefault="00B044F1" w:rsidP="00B044F1">
            <w:pPr>
              <w:autoSpaceDE w:val="0"/>
              <w:autoSpaceDN w:val="0"/>
              <w:adjustRightInd w:val="0"/>
              <w:rPr>
                <w:rFonts w:ascii="RpqvbkTimes-Roman" w:hAnsi="RpqvbkTimes-Roman" w:cs="RpqvbkTimes-Roman"/>
                <w:sz w:val="20"/>
                <w:szCs w:val="20"/>
              </w:rPr>
            </w:pPr>
          </w:p>
          <w:p w14:paraId="581CE705" w14:textId="77777777" w:rsidR="00B044F1" w:rsidRDefault="00B044F1" w:rsidP="00B044F1"/>
        </w:tc>
      </w:tr>
      <w:tr w:rsidR="00B044F1" w14:paraId="0B865E2C" w14:textId="77777777" w:rsidTr="00397DF8">
        <w:tc>
          <w:tcPr>
            <w:tcW w:w="533" w:type="dxa"/>
          </w:tcPr>
          <w:p w14:paraId="5478B6A3" w14:textId="712A76F2" w:rsidR="00B044F1" w:rsidRDefault="00B044F1" w:rsidP="00B044F1">
            <w:r>
              <w:t>5</w:t>
            </w:r>
          </w:p>
        </w:tc>
        <w:tc>
          <w:tcPr>
            <w:tcW w:w="3115" w:type="dxa"/>
          </w:tcPr>
          <w:p w14:paraId="36037F0E" w14:textId="77777777" w:rsidR="00B044F1" w:rsidRDefault="00B044F1" w:rsidP="00B044F1"/>
        </w:tc>
        <w:tc>
          <w:tcPr>
            <w:tcW w:w="1787" w:type="dxa"/>
          </w:tcPr>
          <w:p w14:paraId="3F2E0EE2" w14:textId="77777777" w:rsidR="00B044F1" w:rsidRDefault="00B044F1" w:rsidP="00B044F1"/>
        </w:tc>
        <w:tc>
          <w:tcPr>
            <w:tcW w:w="1799" w:type="dxa"/>
          </w:tcPr>
          <w:p w14:paraId="64FDC2ED" w14:textId="77777777" w:rsidR="00B044F1" w:rsidRDefault="00B044F1" w:rsidP="00B044F1"/>
        </w:tc>
        <w:tc>
          <w:tcPr>
            <w:tcW w:w="1782" w:type="dxa"/>
          </w:tcPr>
          <w:p w14:paraId="762BDB3B" w14:textId="77777777" w:rsidR="00B044F1" w:rsidRDefault="00B044F1" w:rsidP="00B044F1"/>
        </w:tc>
      </w:tr>
      <w:tr w:rsidR="00B044F1" w14:paraId="72AA3285" w14:textId="77777777" w:rsidTr="00397DF8">
        <w:tc>
          <w:tcPr>
            <w:tcW w:w="533" w:type="dxa"/>
          </w:tcPr>
          <w:p w14:paraId="3CD77BA7" w14:textId="77777777" w:rsidR="00B044F1" w:rsidRDefault="00B044F1" w:rsidP="00B044F1"/>
        </w:tc>
        <w:tc>
          <w:tcPr>
            <w:tcW w:w="3115" w:type="dxa"/>
          </w:tcPr>
          <w:p w14:paraId="31AF7BF4" w14:textId="77777777" w:rsidR="00B044F1" w:rsidRDefault="00B044F1" w:rsidP="00B044F1"/>
        </w:tc>
        <w:tc>
          <w:tcPr>
            <w:tcW w:w="1787" w:type="dxa"/>
          </w:tcPr>
          <w:p w14:paraId="343301A7" w14:textId="77777777" w:rsidR="00B044F1" w:rsidRDefault="00B044F1" w:rsidP="00B044F1"/>
        </w:tc>
        <w:tc>
          <w:tcPr>
            <w:tcW w:w="1799" w:type="dxa"/>
          </w:tcPr>
          <w:p w14:paraId="23D33E7C" w14:textId="77777777" w:rsidR="00B044F1" w:rsidRDefault="00B044F1" w:rsidP="00B044F1"/>
        </w:tc>
        <w:tc>
          <w:tcPr>
            <w:tcW w:w="1782" w:type="dxa"/>
          </w:tcPr>
          <w:p w14:paraId="7A10D437" w14:textId="77777777" w:rsidR="00B044F1" w:rsidRDefault="00B044F1" w:rsidP="00B044F1"/>
        </w:tc>
      </w:tr>
      <w:tr w:rsidR="00B044F1" w14:paraId="262142BE" w14:textId="77777777" w:rsidTr="00397DF8">
        <w:tc>
          <w:tcPr>
            <w:tcW w:w="533" w:type="dxa"/>
          </w:tcPr>
          <w:p w14:paraId="066111EE" w14:textId="77777777" w:rsidR="00B044F1" w:rsidRDefault="00B044F1" w:rsidP="00B044F1"/>
        </w:tc>
        <w:tc>
          <w:tcPr>
            <w:tcW w:w="3115" w:type="dxa"/>
          </w:tcPr>
          <w:p w14:paraId="54F98371" w14:textId="77777777" w:rsidR="00B044F1" w:rsidRDefault="00B044F1" w:rsidP="00B044F1"/>
        </w:tc>
        <w:tc>
          <w:tcPr>
            <w:tcW w:w="1787" w:type="dxa"/>
          </w:tcPr>
          <w:p w14:paraId="033477CC" w14:textId="77777777" w:rsidR="00B044F1" w:rsidRDefault="00B044F1" w:rsidP="00B044F1"/>
        </w:tc>
        <w:tc>
          <w:tcPr>
            <w:tcW w:w="1799" w:type="dxa"/>
          </w:tcPr>
          <w:p w14:paraId="0EE47640" w14:textId="77777777" w:rsidR="00B044F1" w:rsidRDefault="00B044F1" w:rsidP="00B044F1"/>
        </w:tc>
        <w:tc>
          <w:tcPr>
            <w:tcW w:w="1782" w:type="dxa"/>
          </w:tcPr>
          <w:p w14:paraId="6D991E03" w14:textId="77777777" w:rsidR="00B044F1" w:rsidRDefault="00B044F1" w:rsidP="00B044F1"/>
        </w:tc>
      </w:tr>
    </w:tbl>
    <w:p w14:paraId="0B5217FB" w14:textId="77777777" w:rsidR="0089315B" w:rsidRDefault="0089315B"/>
    <w:sectPr w:rsidR="0089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2A94o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2A95o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2A9Bo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8080000" w:usb2="00000010" w:usb3="00000000" w:csb0="00100001" w:csb1="00000000"/>
  </w:font>
  <w:font w:name="MywdqkTime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pqvbkTimes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MzIzNzCyMDUzMDRV0lEKTi0uzszPAykwrAUAs9O1CywAAAA="/>
  </w:docVars>
  <w:rsids>
    <w:rsidRoot w:val="00397DF8"/>
    <w:rsid w:val="00306324"/>
    <w:rsid w:val="00397DF8"/>
    <w:rsid w:val="007A0779"/>
    <w:rsid w:val="0089315B"/>
    <w:rsid w:val="009E5652"/>
    <w:rsid w:val="00B044F1"/>
    <w:rsid w:val="00F6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D744"/>
  <w15:chartTrackingRefBased/>
  <w15:docId w15:val="{CA5CD4CC-D43E-48C1-B483-45AE69FF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E56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MUAFIRA THASNI</dc:creator>
  <cp:keywords/>
  <dc:description/>
  <cp:lastModifiedBy>MUAFIRA THASNI</cp:lastModifiedBy>
  <cp:revision>1</cp:revision>
  <dcterms:created xsi:type="dcterms:W3CDTF">2021-01-18T16:57:00Z</dcterms:created>
  <dcterms:modified xsi:type="dcterms:W3CDTF">2021-01-18T18:08:00Z</dcterms:modified>
</cp:coreProperties>
</file>