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12C61" w14:paraId="7AF5247F" w14:textId="77777777" w:rsidTr="00712C61">
        <w:tc>
          <w:tcPr>
            <w:tcW w:w="1129" w:type="dxa"/>
          </w:tcPr>
          <w:p w14:paraId="391A1E49" w14:textId="185A526F" w:rsidR="00712C61" w:rsidRDefault="00712C61">
            <w:r>
              <w:t>1</w:t>
            </w:r>
          </w:p>
        </w:tc>
        <w:tc>
          <w:tcPr>
            <w:tcW w:w="7887" w:type="dxa"/>
          </w:tcPr>
          <w:p w14:paraId="3A08B42E" w14:textId="4D4CF178" w:rsidR="00712C61" w:rsidRDefault="00712C61">
            <w:r w:rsidRPr="00712C61">
              <w:t xml:space="preserve">Chen, </w:t>
            </w:r>
            <w:proofErr w:type="spellStart"/>
            <w:r w:rsidRPr="00712C61">
              <w:t>Qingyang</w:t>
            </w:r>
            <w:proofErr w:type="spellEnd"/>
            <w:r w:rsidRPr="00712C61">
              <w:t xml:space="preserve"> &amp; Sun, </w:t>
            </w:r>
            <w:proofErr w:type="spellStart"/>
            <w:r w:rsidRPr="00712C61">
              <w:t>Zhenping</w:t>
            </w:r>
            <w:proofErr w:type="spellEnd"/>
            <w:r w:rsidRPr="00712C61">
              <w:t xml:space="preserve"> &amp; Liu, </w:t>
            </w:r>
            <w:proofErr w:type="spellStart"/>
            <w:r w:rsidRPr="00712C61">
              <w:t>Daxue</w:t>
            </w:r>
            <w:proofErr w:type="spellEnd"/>
            <w:r w:rsidRPr="00712C61">
              <w:t xml:space="preserve"> &amp; </w:t>
            </w:r>
            <w:proofErr w:type="spellStart"/>
            <w:r w:rsidRPr="00712C61">
              <w:t>Yuqiang</w:t>
            </w:r>
            <w:proofErr w:type="spellEnd"/>
            <w:r w:rsidRPr="00712C61">
              <w:t xml:space="preserve">, Fang &amp; </w:t>
            </w:r>
            <w:proofErr w:type="spellStart"/>
            <w:r w:rsidRPr="00712C61">
              <w:t>Xiaohui</w:t>
            </w:r>
            <w:proofErr w:type="spellEnd"/>
            <w:r w:rsidRPr="00712C61">
              <w:t>, Li. (2012). Local Path Planning for an Unmanned Ground Vehicle Based on SVM. International Journal of Advanced Robotic Systems. 9. 1. 10.5772/54130.</w:t>
            </w:r>
          </w:p>
        </w:tc>
      </w:tr>
      <w:tr w:rsidR="00712C61" w14:paraId="2BEC35A1" w14:textId="77777777" w:rsidTr="00712C61">
        <w:tc>
          <w:tcPr>
            <w:tcW w:w="1129" w:type="dxa"/>
          </w:tcPr>
          <w:p w14:paraId="29860989" w14:textId="4AAAFCD3" w:rsidR="00712C61" w:rsidRDefault="00D94E0D">
            <w:r>
              <w:t>2</w:t>
            </w:r>
          </w:p>
        </w:tc>
        <w:tc>
          <w:tcPr>
            <w:tcW w:w="7887" w:type="dxa"/>
          </w:tcPr>
          <w:p w14:paraId="162887BE" w14:textId="22603B9D" w:rsidR="00712C61" w:rsidRDefault="00D94E0D">
            <w:r w:rsidRPr="00D94E0D">
              <w:t>Mohamed, Amr &amp; Ren, Jing &amp; Sharaf, A. &amp; El-</w:t>
            </w:r>
            <w:proofErr w:type="spellStart"/>
            <w:r w:rsidRPr="00D94E0D">
              <w:t>Gindy</w:t>
            </w:r>
            <w:proofErr w:type="spellEnd"/>
            <w:r w:rsidRPr="00D94E0D">
              <w:t xml:space="preserve">, </w:t>
            </w:r>
            <w:proofErr w:type="spellStart"/>
            <w:r w:rsidRPr="00D94E0D">
              <w:t>Moustafa</w:t>
            </w:r>
            <w:proofErr w:type="spellEnd"/>
            <w:r w:rsidRPr="00D94E0D">
              <w:t>. (2018). Optimal path planning for unmanned ground vehicles using potential field method and optimal control method. International Journal of Vehicle Performance. 4. 1-14. 10.1504/IJVP.2018.10009700.</w:t>
            </w:r>
          </w:p>
        </w:tc>
      </w:tr>
      <w:tr w:rsidR="00712C61" w14:paraId="29327C08" w14:textId="77777777" w:rsidTr="00712C61">
        <w:tc>
          <w:tcPr>
            <w:tcW w:w="1129" w:type="dxa"/>
          </w:tcPr>
          <w:p w14:paraId="1FD21E68" w14:textId="60DBB353" w:rsidR="00712C61" w:rsidRDefault="00D94E0D">
            <w:r>
              <w:t>3</w:t>
            </w:r>
          </w:p>
        </w:tc>
        <w:tc>
          <w:tcPr>
            <w:tcW w:w="7887" w:type="dxa"/>
          </w:tcPr>
          <w:p w14:paraId="61EBEDB8" w14:textId="77777777" w:rsidR="00D94E0D" w:rsidRDefault="00D94E0D" w:rsidP="00D94E0D">
            <w:pPr>
              <w:autoSpaceDE w:val="0"/>
              <w:autoSpaceDN w:val="0"/>
              <w:adjustRightInd w:val="0"/>
              <w:rPr>
                <w:rFonts w:ascii="CMTI12" w:hAnsi="CMTI12" w:cs="CMTI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 xml:space="preserve">Betts, J. T., \Survey of numerical methods for trajectory optimization," </w:t>
            </w:r>
            <w:r>
              <w:rPr>
                <w:rFonts w:ascii="CMTI12" w:hAnsi="CMTI12" w:cs="CMTI12"/>
                <w:sz w:val="24"/>
                <w:szCs w:val="24"/>
              </w:rPr>
              <w:t>Journal</w:t>
            </w:r>
          </w:p>
          <w:p w14:paraId="5AE5491B" w14:textId="330B9CFD" w:rsidR="00712C61" w:rsidRDefault="00D94E0D" w:rsidP="00D94E0D">
            <w:r>
              <w:rPr>
                <w:rFonts w:ascii="CMTI12" w:hAnsi="CMTI12" w:cs="CMTI12"/>
                <w:sz w:val="24"/>
                <w:szCs w:val="24"/>
              </w:rPr>
              <w:t>of Guidance control and dynamics</w:t>
            </w:r>
            <w:r>
              <w:rPr>
                <w:rFonts w:ascii="CMR12" w:hAnsi="CMR12" w:cs="CMR12"/>
                <w:sz w:val="24"/>
                <w:szCs w:val="24"/>
              </w:rPr>
              <w:t>, Vol. 21, No. 2, 1998, pp. 193{207.</w:t>
            </w:r>
          </w:p>
        </w:tc>
      </w:tr>
      <w:tr w:rsidR="00712C61" w14:paraId="3375AFE3" w14:textId="77777777" w:rsidTr="00712C61">
        <w:tc>
          <w:tcPr>
            <w:tcW w:w="1129" w:type="dxa"/>
          </w:tcPr>
          <w:p w14:paraId="10CD15FA" w14:textId="5F925406" w:rsidR="00712C61" w:rsidRDefault="00D94E0D">
            <w:r>
              <w:t>4</w:t>
            </w:r>
          </w:p>
        </w:tc>
        <w:tc>
          <w:tcPr>
            <w:tcW w:w="7887" w:type="dxa"/>
          </w:tcPr>
          <w:p w14:paraId="26D0CDD8" w14:textId="59DCA684" w:rsidR="00712C61" w:rsidRDefault="002B49FB"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Almayyahi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Auday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et al. "Motion control design for unmanned ground vehicle in dynamic environment using intelligent controller."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International Journal of Intelligent Computing and Cybernetics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(2017).</w:t>
            </w:r>
          </w:p>
        </w:tc>
      </w:tr>
      <w:tr w:rsidR="00712C61" w14:paraId="6372764A" w14:textId="77777777" w:rsidTr="00712C61">
        <w:tc>
          <w:tcPr>
            <w:tcW w:w="1129" w:type="dxa"/>
          </w:tcPr>
          <w:p w14:paraId="44E957D4" w14:textId="00ED0587" w:rsidR="00712C61" w:rsidRDefault="002B49FB">
            <w:r>
              <w:t>5</w:t>
            </w:r>
          </w:p>
        </w:tc>
        <w:tc>
          <w:tcPr>
            <w:tcW w:w="7887" w:type="dxa"/>
          </w:tcPr>
          <w:p w14:paraId="336C5CCC" w14:textId="77777777" w:rsidR="00D70EE2" w:rsidRDefault="00D70EE2" w:rsidP="00D70EE2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A.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Gasparetto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, P.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Boscariol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, A.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Lanzutti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and R.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Vidoni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>, “Path Planning and Trajectory Planning Algorithms:</w:t>
            </w:r>
          </w:p>
          <w:p w14:paraId="46DB3AFA" w14:textId="5F30DEEA" w:rsidR="00712C61" w:rsidRDefault="00D70EE2" w:rsidP="00D70EE2">
            <w:r>
              <w:rPr>
                <w:rFonts w:ascii="Times-Roman" w:hAnsi="Times-Roman" w:cs="Times-Roman"/>
                <w:sz w:val="19"/>
                <w:szCs w:val="19"/>
              </w:rPr>
              <w:t xml:space="preserve">A General Overview,”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Mech. Mach. Sci.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29</w:t>
            </w:r>
            <w:r>
              <w:rPr>
                <w:rFonts w:ascii="Times-Roman" w:hAnsi="Times-Roman" w:cs="Times-Roman"/>
                <w:sz w:val="19"/>
                <w:szCs w:val="19"/>
              </w:rPr>
              <w:t>, 3–27 (2015).</w:t>
            </w:r>
          </w:p>
        </w:tc>
      </w:tr>
      <w:tr w:rsidR="00712C61" w14:paraId="41E24607" w14:textId="77777777" w:rsidTr="00712C61">
        <w:tc>
          <w:tcPr>
            <w:tcW w:w="1129" w:type="dxa"/>
          </w:tcPr>
          <w:p w14:paraId="3930DD2F" w14:textId="6350C512" w:rsidR="00712C61" w:rsidRDefault="00956299">
            <w:r>
              <w:t>6</w:t>
            </w:r>
          </w:p>
        </w:tc>
        <w:tc>
          <w:tcPr>
            <w:tcW w:w="7887" w:type="dxa"/>
          </w:tcPr>
          <w:p w14:paraId="372EB51A" w14:textId="77777777" w:rsidR="00956299" w:rsidRDefault="00956299" w:rsidP="0095629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X. H. Ni, Z. Q. Jiang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andW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>. X. Zhou, “Degree distributions of the visibility graphs mapped from fractional</w:t>
            </w:r>
          </w:p>
          <w:p w14:paraId="22A227EC" w14:textId="15E666D0" w:rsidR="00712C61" w:rsidRDefault="00956299" w:rsidP="00956299">
            <w:r>
              <w:rPr>
                <w:rFonts w:ascii="Times-Roman" w:hAnsi="Times-Roman" w:cs="Times-Roman"/>
                <w:sz w:val="19"/>
                <w:szCs w:val="19"/>
              </w:rPr>
              <w:t xml:space="preserve">Brownian motions and multifractal random walks,”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Phys. Lett. A</w:t>
            </w:r>
            <w:r>
              <w:rPr>
                <w:rFonts w:ascii="Times-Roman" w:hAnsi="Times-Roman" w:cs="Times-Roman"/>
                <w:sz w:val="19"/>
                <w:szCs w:val="19"/>
              </w:rPr>
              <w:t xml:space="preserve">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373</w:t>
            </w:r>
            <w:r>
              <w:rPr>
                <w:rFonts w:ascii="Times-Roman" w:hAnsi="Times-Roman" w:cs="Times-Roman"/>
                <w:sz w:val="19"/>
                <w:szCs w:val="19"/>
              </w:rPr>
              <w:t>(42), 3822–3826 (2009).</w:t>
            </w:r>
          </w:p>
        </w:tc>
      </w:tr>
      <w:tr w:rsidR="00712C61" w14:paraId="3731A338" w14:textId="77777777" w:rsidTr="00712C61">
        <w:tc>
          <w:tcPr>
            <w:tcW w:w="1129" w:type="dxa"/>
          </w:tcPr>
          <w:p w14:paraId="20A54459" w14:textId="4302EE2A" w:rsidR="00712C61" w:rsidRDefault="00956299">
            <w:r>
              <w:t>7</w:t>
            </w:r>
          </w:p>
        </w:tc>
        <w:tc>
          <w:tcPr>
            <w:tcW w:w="7887" w:type="dxa"/>
          </w:tcPr>
          <w:p w14:paraId="7F3BE0F2" w14:textId="6ECDE457" w:rsidR="00712C61" w:rsidRPr="00956299" w:rsidRDefault="00956299" w:rsidP="0095629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J. Canny, “A Voronoi Method for the Piano-Movers Problem,”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 xml:space="preserve">In: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IEEE International Conference on Robotics &amp; Automation </w:t>
            </w:r>
            <w:r>
              <w:rPr>
                <w:rFonts w:ascii="Times-Roman" w:hAnsi="Times-Roman" w:cs="Times-Roman"/>
                <w:sz w:val="19"/>
                <w:szCs w:val="19"/>
              </w:rPr>
              <w:t>(1985) pp. 530–535</w:t>
            </w:r>
          </w:p>
        </w:tc>
      </w:tr>
      <w:tr w:rsidR="00712C61" w14:paraId="25C987A5" w14:textId="77777777" w:rsidTr="00712C61">
        <w:tc>
          <w:tcPr>
            <w:tcW w:w="1129" w:type="dxa"/>
          </w:tcPr>
          <w:p w14:paraId="064F6633" w14:textId="6BBDC501" w:rsidR="00712C61" w:rsidRDefault="00956299">
            <w:r>
              <w:t>8</w:t>
            </w:r>
          </w:p>
        </w:tc>
        <w:tc>
          <w:tcPr>
            <w:tcW w:w="7887" w:type="dxa"/>
          </w:tcPr>
          <w:p w14:paraId="08207567" w14:textId="77777777" w:rsidR="00956299" w:rsidRDefault="00956299" w:rsidP="0095629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J. R. Shewchuk, “Delaunay refinement algorithms for triangular mesh generation,”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Comp. Geom.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22</w:t>
            </w:r>
            <w:r>
              <w:rPr>
                <w:rFonts w:ascii="Times-Roman" w:hAnsi="Times-Roman" w:cs="Times-Roman"/>
                <w:sz w:val="19"/>
                <w:szCs w:val="19"/>
              </w:rPr>
              <w:t>(1–3),</w:t>
            </w:r>
          </w:p>
          <w:p w14:paraId="2F10779D" w14:textId="6D89D64F" w:rsidR="00956299" w:rsidRPr="00956299" w:rsidRDefault="00956299" w:rsidP="00956299">
            <w:pPr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21–74 (2002).</w:t>
            </w:r>
          </w:p>
        </w:tc>
      </w:tr>
      <w:tr w:rsidR="00956299" w14:paraId="7B6734AE" w14:textId="77777777" w:rsidTr="00712C61">
        <w:tc>
          <w:tcPr>
            <w:tcW w:w="1129" w:type="dxa"/>
          </w:tcPr>
          <w:p w14:paraId="386DA49D" w14:textId="415CED39" w:rsidR="00956299" w:rsidRDefault="00956299">
            <w:r>
              <w:t>9</w:t>
            </w:r>
          </w:p>
        </w:tc>
        <w:tc>
          <w:tcPr>
            <w:tcW w:w="7887" w:type="dxa"/>
          </w:tcPr>
          <w:p w14:paraId="5062AEFC" w14:textId="77777777" w:rsidR="00956299" w:rsidRDefault="00956299" w:rsidP="0095629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M.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Elbanhawi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, M.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Simic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and R.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Jazar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>, “Autonomous robots path planning: An adaptive roadmap approach,”</w:t>
            </w:r>
          </w:p>
          <w:p w14:paraId="6150FF83" w14:textId="74DFD841" w:rsidR="00956299" w:rsidRDefault="00956299" w:rsidP="0095629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Appl. Mech. Mater.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373–375</w:t>
            </w:r>
            <w:r>
              <w:rPr>
                <w:rFonts w:ascii="Times-Roman" w:hAnsi="Times-Roman" w:cs="Times-Roman"/>
                <w:sz w:val="19"/>
                <w:szCs w:val="19"/>
              </w:rPr>
              <w:t>, 246–254 (2013).</w:t>
            </w:r>
          </w:p>
        </w:tc>
      </w:tr>
      <w:tr w:rsidR="00956299" w14:paraId="25626886" w14:textId="77777777" w:rsidTr="00712C61">
        <w:tc>
          <w:tcPr>
            <w:tcW w:w="1129" w:type="dxa"/>
          </w:tcPr>
          <w:p w14:paraId="30ADF196" w14:textId="6D01DCD7" w:rsidR="00956299" w:rsidRDefault="00956299">
            <w:r>
              <w:t>10</w:t>
            </w:r>
          </w:p>
        </w:tc>
        <w:tc>
          <w:tcPr>
            <w:tcW w:w="7887" w:type="dxa"/>
          </w:tcPr>
          <w:p w14:paraId="1C19D08D" w14:textId="098D1043" w:rsidR="00956299" w:rsidRDefault="00AA3247" w:rsidP="0095629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E. W. Dijkstra, “A note on two problems in connection with graphs,” </w:t>
            </w:r>
            <w:proofErr w:type="spellStart"/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Numer</w:t>
            </w:r>
            <w:proofErr w:type="spellEnd"/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. Math.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1</w:t>
            </w:r>
            <w:r>
              <w:rPr>
                <w:rFonts w:ascii="Times-Roman" w:hAnsi="Times-Roman" w:cs="Times-Roman"/>
                <w:sz w:val="19"/>
                <w:szCs w:val="19"/>
              </w:rPr>
              <w:t>(1), 269–271 (1959).</w:t>
            </w:r>
          </w:p>
        </w:tc>
      </w:tr>
      <w:tr w:rsidR="00AA3247" w14:paraId="3AF89FFB" w14:textId="77777777" w:rsidTr="00712C61">
        <w:tc>
          <w:tcPr>
            <w:tcW w:w="1129" w:type="dxa"/>
          </w:tcPr>
          <w:p w14:paraId="2A9FDA7B" w14:textId="28791ED7" w:rsidR="00AA3247" w:rsidRDefault="00AA3247">
            <w:r>
              <w:t>11</w:t>
            </w:r>
          </w:p>
        </w:tc>
        <w:tc>
          <w:tcPr>
            <w:tcW w:w="7887" w:type="dxa"/>
          </w:tcPr>
          <w:p w14:paraId="69BF87AD" w14:textId="77777777" w:rsidR="00AA3247" w:rsidRDefault="00AA3247" w:rsidP="00AA324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K.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Jeddisaravi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, R. J.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Alitappeh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and F. G. Guimaraes, “Multi-Objective Mobile Robot Path Planning Based</w:t>
            </w:r>
          </w:p>
          <w:p w14:paraId="73C4D67B" w14:textId="77777777" w:rsidR="00AA3247" w:rsidRDefault="00AA3247" w:rsidP="00AA324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on A* Search,”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 xml:space="preserve">In: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2016 6th International Conference on Computer and Knowledge Engineering (ICCKE)</w:t>
            </w:r>
          </w:p>
          <w:p w14:paraId="518D761A" w14:textId="61651655" w:rsidR="00AA3247" w:rsidRDefault="00AA3247" w:rsidP="00AA324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(IEEE, 2016) pp. 7–12</w:t>
            </w:r>
          </w:p>
        </w:tc>
      </w:tr>
      <w:tr w:rsidR="00AA3247" w14:paraId="164FDFFC" w14:textId="77777777" w:rsidTr="00712C61">
        <w:tc>
          <w:tcPr>
            <w:tcW w:w="1129" w:type="dxa"/>
          </w:tcPr>
          <w:p w14:paraId="3DCF9D67" w14:textId="4400A0C2" w:rsidR="00AA3247" w:rsidRDefault="00AA3247">
            <w:r>
              <w:t>12</w:t>
            </w:r>
          </w:p>
        </w:tc>
        <w:tc>
          <w:tcPr>
            <w:tcW w:w="7887" w:type="dxa"/>
          </w:tcPr>
          <w:p w14:paraId="60D63F86" w14:textId="6E2243F2" w:rsidR="00AA3247" w:rsidRPr="00A27942" w:rsidRDefault="00AA3247" w:rsidP="00AA3247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M.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Likhachev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, D. Ferguson, G. Gordon, A.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Stentz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and S.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Thrun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“Anytime search in dynamic graphs,”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Artif</w:t>
            </w:r>
            <w:r w:rsidR="00A27942"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icial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Intell</w:t>
            </w:r>
            <w:r w:rsidR="00A27942"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igence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172</w:t>
            </w:r>
            <w:r>
              <w:rPr>
                <w:rFonts w:ascii="Times-Roman" w:hAnsi="Times-Roman" w:cs="Times-Roman"/>
                <w:sz w:val="19"/>
                <w:szCs w:val="19"/>
              </w:rPr>
              <w:t>(14), 1613–1643 (2008)</w:t>
            </w:r>
          </w:p>
        </w:tc>
      </w:tr>
      <w:tr w:rsidR="00AA3247" w14:paraId="659D0A13" w14:textId="77777777" w:rsidTr="00712C61">
        <w:tc>
          <w:tcPr>
            <w:tcW w:w="1129" w:type="dxa"/>
          </w:tcPr>
          <w:p w14:paraId="0A93B256" w14:textId="0C026FF2" w:rsidR="00AA3247" w:rsidRDefault="00A27942">
            <w:r>
              <w:t>13</w:t>
            </w:r>
          </w:p>
        </w:tc>
        <w:tc>
          <w:tcPr>
            <w:tcW w:w="7887" w:type="dxa"/>
          </w:tcPr>
          <w:p w14:paraId="6C6EDB05" w14:textId="77777777" w:rsidR="002C25EE" w:rsidRDefault="002C25EE" w:rsidP="002C25EE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D. Z. Chen, R. J. </w:t>
            </w: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Szczerba</w:t>
            </w:r>
            <w:proofErr w:type="spellEnd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 and J. J. </w:t>
            </w: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Uhran</w:t>
            </w:r>
            <w:proofErr w:type="spellEnd"/>
            <w:proofErr w:type="gramStart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, </w:t>
            </w:r>
            <w:r>
              <w:rPr>
                <w:rFonts w:ascii="NimbusRomNo9L-Regu" w:eastAsia="NimbusRomNo9L-Regu" w:cs="NimbusRomNo9L-Regu" w:hint="eastAsia"/>
                <w:sz w:val="16"/>
                <w:szCs w:val="16"/>
              </w:rPr>
              <w:t>”</w:t>
            </w:r>
            <w:r>
              <w:rPr>
                <w:rFonts w:ascii="NimbusRomNo9L-Regu" w:eastAsia="NimbusRomNo9L-Regu" w:cs="NimbusRomNo9L-Regu"/>
                <w:sz w:val="16"/>
                <w:szCs w:val="16"/>
              </w:rPr>
              <w:t>A</w:t>
            </w:r>
            <w:proofErr w:type="gramEnd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 framed-quadtree approach</w:t>
            </w:r>
          </w:p>
          <w:p w14:paraId="73D54619" w14:textId="77777777" w:rsidR="002C25EE" w:rsidRDefault="002C25EE" w:rsidP="002C25EE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for determining Euclidean shortest paths in a 2-D environment,</w:t>
            </w:r>
            <w:r>
              <w:rPr>
                <w:rFonts w:ascii="NimbusRomNo9L-Regu" w:eastAsia="NimbusRomNo9L-Regu" w:cs="NimbusRomNo9L-Regu" w:hint="eastAsia"/>
                <w:sz w:val="16"/>
                <w:szCs w:val="16"/>
              </w:rPr>
              <w:t>”</w:t>
            </w:r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 in IEEE</w:t>
            </w:r>
          </w:p>
          <w:p w14:paraId="57EF33E0" w14:textId="77777777" w:rsidR="002C25EE" w:rsidRDefault="002C25EE" w:rsidP="002C25EE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Transactions on Robotics and Automation, vol. 13, no. 5, pp. 668-681,</w:t>
            </w:r>
          </w:p>
          <w:p w14:paraId="5F2D3D7F" w14:textId="0EA60FE4" w:rsidR="00AA3247" w:rsidRDefault="002C25EE" w:rsidP="002C25E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Oct. 1997</w:t>
            </w:r>
          </w:p>
        </w:tc>
      </w:tr>
      <w:tr w:rsidR="00AA3247" w14:paraId="4EEF9392" w14:textId="77777777" w:rsidTr="00712C61">
        <w:tc>
          <w:tcPr>
            <w:tcW w:w="1129" w:type="dxa"/>
          </w:tcPr>
          <w:p w14:paraId="1F4C000D" w14:textId="28B386D4" w:rsidR="00AA3247" w:rsidRDefault="002C25EE">
            <w:r>
              <w:t>14</w:t>
            </w:r>
          </w:p>
        </w:tc>
        <w:tc>
          <w:tcPr>
            <w:tcW w:w="7887" w:type="dxa"/>
          </w:tcPr>
          <w:p w14:paraId="25005AD6" w14:textId="77777777" w:rsidR="002C25EE" w:rsidRDefault="002C25EE" w:rsidP="002C25EE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H. Zhang, W. Lin, and A. Chen, </w:t>
            </w:r>
            <w:r>
              <w:rPr>
                <w:rFonts w:ascii="NimbusRomNo9L-Regu" w:eastAsia="NimbusRomNo9L-Regu" w:cs="NimbusRomNo9L-Regu" w:hint="eastAsia"/>
                <w:sz w:val="16"/>
                <w:szCs w:val="16"/>
              </w:rPr>
              <w:t>“</w:t>
            </w:r>
            <w:r>
              <w:rPr>
                <w:rFonts w:ascii="NimbusRomNo9L-Regu" w:eastAsia="NimbusRomNo9L-Regu" w:cs="NimbusRomNo9L-Regu"/>
                <w:sz w:val="16"/>
                <w:szCs w:val="16"/>
              </w:rPr>
              <w:t>Path Planning for the Mobile Robot:</w:t>
            </w:r>
          </w:p>
          <w:p w14:paraId="41AAC25F" w14:textId="19A98BC0" w:rsidR="00AA3247" w:rsidRDefault="002C25EE" w:rsidP="002C25E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A Review,</w:t>
            </w:r>
            <w:r>
              <w:rPr>
                <w:rFonts w:ascii="NimbusRomNo9L-Regu" w:eastAsia="NimbusRomNo9L-Regu" w:cs="NimbusRomNo9L-Regu" w:hint="eastAsia"/>
                <w:sz w:val="16"/>
                <w:szCs w:val="16"/>
              </w:rPr>
              <w:t>”</w:t>
            </w:r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 Symmetry, vol. 10, no. 10, p. 450, Oct. 2018.</w:t>
            </w:r>
          </w:p>
        </w:tc>
      </w:tr>
      <w:tr w:rsidR="002C25EE" w14:paraId="6901B7DA" w14:textId="77777777" w:rsidTr="00712C61">
        <w:tc>
          <w:tcPr>
            <w:tcW w:w="1129" w:type="dxa"/>
          </w:tcPr>
          <w:p w14:paraId="2CCCA9A6" w14:textId="7D6FB7ED" w:rsidR="002C25EE" w:rsidRDefault="002C25EE">
            <w:r>
              <w:t>15</w:t>
            </w:r>
          </w:p>
        </w:tc>
        <w:tc>
          <w:tcPr>
            <w:tcW w:w="7887" w:type="dxa"/>
          </w:tcPr>
          <w:p w14:paraId="5C1BF33F" w14:textId="77777777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Atyabi</w:t>
            </w:r>
            <w:proofErr w:type="spellEnd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Adham</w:t>
            </w:r>
            <w:proofErr w:type="spellEnd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 Powers, David. (2013). Review of classical and</w:t>
            </w:r>
          </w:p>
          <w:p w14:paraId="374FA548" w14:textId="77777777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heuristic-based navigation and path planning approaches. International</w:t>
            </w:r>
          </w:p>
          <w:p w14:paraId="4294FEDA" w14:textId="05849C7E" w:rsidR="002C25EE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Journal of Advancements in Computing Technology (IJACT). 5. 1-14.</w:t>
            </w:r>
          </w:p>
        </w:tc>
      </w:tr>
      <w:tr w:rsidR="00751DCC" w14:paraId="22C94BBA" w14:textId="77777777" w:rsidTr="00712C61">
        <w:tc>
          <w:tcPr>
            <w:tcW w:w="1129" w:type="dxa"/>
          </w:tcPr>
          <w:p w14:paraId="1227B0DC" w14:textId="0A45F9B9" w:rsidR="00751DCC" w:rsidRDefault="00751DCC">
            <w:r>
              <w:t>16</w:t>
            </w:r>
          </w:p>
        </w:tc>
        <w:tc>
          <w:tcPr>
            <w:tcW w:w="7887" w:type="dxa"/>
          </w:tcPr>
          <w:p w14:paraId="0D3E43CC" w14:textId="77777777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B.K. </w:t>
            </w: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Patle</w:t>
            </w:r>
            <w:proofErr w:type="spellEnd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, D.R.K. </w:t>
            </w: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Parhi</w:t>
            </w:r>
            <w:proofErr w:type="spellEnd"/>
            <w:r>
              <w:rPr>
                <w:rFonts w:ascii="NimbusRomNo9L-Regu" w:eastAsia="NimbusRomNo9L-Regu" w:cs="NimbusRomNo9L-Regu"/>
                <w:sz w:val="16"/>
                <w:szCs w:val="16"/>
              </w:rPr>
              <w:t>, A. Jagadeesh, Sunil Kumar Kashyap</w:t>
            </w:r>
            <w:proofErr w:type="gramStart"/>
            <w:r>
              <w:rPr>
                <w:rFonts w:ascii="NimbusRomNo9L-Regu" w:eastAsia="NimbusRomNo9L-Regu" w:cs="NimbusRomNo9L-Regu"/>
                <w:sz w:val="16"/>
                <w:szCs w:val="16"/>
              </w:rPr>
              <w:t>,</w:t>
            </w:r>
            <w:r>
              <w:rPr>
                <w:rFonts w:ascii="NimbusRomNo9L-Regu" w:eastAsia="NimbusRomNo9L-Regu" w:cs="NimbusRomNo9L-Regu" w:hint="eastAsia"/>
                <w:sz w:val="16"/>
                <w:szCs w:val="16"/>
              </w:rPr>
              <w:t>”</w:t>
            </w:r>
            <w:r>
              <w:rPr>
                <w:rFonts w:ascii="NimbusRomNo9L-Regu" w:eastAsia="NimbusRomNo9L-Regu" w:cs="NimbusRomNo9L-Regu"/>
                <w:sz w:val="16"/>
                <w:szCs w:val="16"/>
              </w:rPr>
              <w:t>Matrix</w:t>
            </w:r>
            <w:proofErr w:type="gramEnd"/>
            <w:r>
              <w:rPr>
                <w:rFonts w:ascii="NimbusRomNo9L-Regu" w:eastAsia="NimbusRomNo9L-Regu" w:cs="NimbusRomNo9L-Regu"/>
                <w:sz w:val="16"/>
                <w:szCs w:val="16"/>
              </w:rPr>
              <w:t>-</w:t>
            </w:r>
          </w:p>
          <w:p w14:paraId="28BBA654" w14:textId="77777777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Binary Codes based Genetic Algorithm for path planning of mobile</w:t>
            </w:r>
          </w:p>
          <w:p w14:paraId="41E8B2DA" w14:textId="77777777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robot</w:t>
            </w:r>
            <w:proofErr w:type="gramStart"/>
            <w:r>
              <w:rPr>
                <w:rFonts w:ascii="NimbusRomNo9L-Regu" w:eastAsia="NimbusRomNo9L-Regu" w:cs="NimbusRomNo9L-Regu" w:hint="eastAsia"/>
                <w:sz w:val="16"/>
                <w:szCs w:val="16"/>
              </w:rPr>
              <w:t>”</w:t>
            </w:r>
            <w:r>
              <w:rPr>
                <w:rFonts w:ascii="NimbusRomNo9L-Regu" w:eastAsia="NimbusRomNo9L-Regu" w:cs="NimbusRomNo9L-Regu"/>
                <w:sz w:val="16"/>
                <w:szCs w:val="16"/>
              </w:rPr>
              <w:t>,Computers</w:t>
            </w:r>
            <w:proofErr w:type="gramEnd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 Electrical </w:t>
            </w: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Engineering,Volume</w:t>
            </w:r>
            <w:proofErr w:type="spellEnd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 67,2018,Pages 708-</w:t>
            </w:r>
          </w:p>
          <w:p w14:paraId="17B8ACC9" w14:textId="17223E96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728</w:t>
            </w:r>
          </w:p>
        </w:tc>
      </w:tr>
      <w:tr w:rsidR="00751DCC" w14:paraId="09E93932" w14:textId="77777777" w:rsidTr="00712C61">
        <w:tc>
          <w:tcPr>
            <w:tcW w:w="1129" w:type="dxa"/>
          </w:tcPr>
          <w:p w14:paraId="76146493" w14:textId="528065CB" w:rsidR="00751DCC" w:rsidRDefault="00751DCC">
            <w:r>
              <w:t>`17</w:t>
            </w:r>
          </w:p>
        </w:tc>
        <w:tc>
          <w:tcPr>
            <w:tcW w:w="7887" w:type="dxa"/>
          </w:tcPr>
          <w:p w14:paraId="1680D9C5" w14:textId="77777777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Mei, Hao Tian, </w:t>
            </w: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Yantao</w:t>
            </w:r>
            <w:proofErr w:type="spellEnd"/>
            <w:r>
              <w:rPr>
                <w:rFonts w:ascii="NimbusRomNo9L-Regu" w:eastAsia="NimbusRomNo9L-Regu" w:cs="NimbusRomNo9L-Regu"/>
                <w:sz w:val="16"/>
                <w:szCs w:val="16"/>
              </w:rPr>
              <w:t xml:space="preserve"> Zu, </w:t>
            </w:r>
            <w:proofErr w:type="spellStart"/>
            <w:r>
              <w:rPr>
                <w:rFonts w:ascii="NimbusRomNo9L-Regu" w:eastAsia="NimbusRomNo9L-Regu" w:cs="NimbusRomNo9L-Regu"/>
                <w:sz w:val="16"/>
                <w:szCs w:val="16"/>
              </w:rPr>
              <w:t>Linan</w:t>
            </w:r>
            <w:proofErr w:type="spellEnd"/>
            <w:r>
              <w:rPr>
                <w:rFonts w:ascii="NimbusRomNo9L-Regu" w:eastAsia="NimbusRomNo9L-Regu" w:cs="NimbusRomNo9L-Regu"/>
                <w:sz w:val="16"/>
                <w:szCs w:val="16"/>
              </w:rPr>
              <w:t>. (2006). A hybrid ant colony optimization</w:t>
            </w:r>
          </w:p>
          <w:p w14:paraId="682F0A98" w14:textId="77777777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algorithm for path planning of robot in dynamic environment.</w:t>
            </w:r>
          </w:p>
          <w:p w14:paraId="07635CBB" w14:textId="6FB6539D" w:rsidR="00751DCC" w:rsidRDefault="00751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NimbusRomNo9L-Regu" w:eastAsia="NimbusRomNo9L-Regu" w:cs="NimbusRomNo9L-Regu"/>
                <w:sz w:val="16"/>
                <w:szCs w:val="16"/>
              </w:rPr>
              <w:t>Int J Inform Technol. 12.</w:t>
            </w:r>
          </w:p>
        </w:tc>
      </w:tr>
      <w:tr w:rsidR="00751DCC" w14:paraId="017FB284" w14:textId="77777777" w:rsidTr="00712C61">
        <w:tc>
          <w:tcPr>
            <w:tcW w:w="1129" w:type="dxa"/>
          </w:tcPr>
          <w:p w14:paraId="5532B42E" w14:textId="216BB091" w:rsidR="00751DCC" w:rsidRDefault="00751DCC">
            <w:r>
              <w:t>18</w:t>
            </w:r>
          </w:p>
        </w:tc>
        <w:tc>
          <w:tcPr>
            <w:tcW w:w="7887" w:type="dxa"/>
          </w:tcPr>
          <w:p w14:paraId="153731D7" w14:textId="54E988F3" w:rsidR="00751DCC" w:rsidRDefault="002B7DCC" w:rsidP="00751DCC">
            <w:pPr>
              <w:autoSpaceDE w:val="0"/>
              <w:autoSpaceDN w:val="0"/>
              <w:adjustRightInd w:val="0"/>
              <w:rPr>
                <w:rFonts w:ascii="NimbusRomNo9L-Regu" w:eastAsia="NimbusRomNo9L-Regu" w:cs="NimbusRomNo9L-Regu"/>
                <w:sz w:val="16"/>
                <w:szCs w:val="16"/>
              </w:rPr>
            </w:pPr>
            <w:r>
              <w:rPr>
                <w:rFonts w:ascii="Helvetica" w:hAnsi="Helvetica"/>
                <w:color w:val="181817"/>
                <w:shd w:val="clear" w:color="auto" w:fill="FFFFFF"/>
              </w:rPr>
              <w:t xml:space="preserve">Mao, R., Gao, H., &amp; Guo, L. (2020). Optimal Motion Planning for Differential Drive Mobile Robots based on Multiple-Interval Chebyshev </w:t>
            </w:r>
            <w:proofErr w:type="spellStart"/>
            <w:r>
              <w:rPr>
                <w:rFonts w:ascii="Helvetica" w:hAnsi="Helvetica"/>
                <w:color w:val="181817"/>
                <w:shd w:val="clear" w:color="auto" w:fill="FFFFFF"/>
              </w:rPr>
              <w:t>Pseudospectral</w:t>
            </w:r>
            <w:proofErr w:type="spellEnd"/>
            <w:r>
              <w:rPr>
                <w:rFonts w:ascii="Helvetica" w:hAnsi="Helvetica"/>
                <w:color w:val="181817"/>
                <w:shd w:val="clear" w:color="auto" w:fill="FFFFFF"/>
              </w:rPr>
              <w:t xml:space="preserve"> Methods. </w:t>
            </w:r>
            <w:proofErr w:type="spellStart"/>
            <w:r>
              <w:rPr>
                <w:rFonts w:ascii="Helvetica" w:hAnsi="Helvetica"/>
                <w:i/>
                <w:iCs/>
                <w:color w:val="181817"/>
                <w:bdr w:val="none" w:sz="0" w:space="0" w:color="auto" w:frame="1"/>
                <w:shd w:val="clear" w:color="auto" w:fill="FFFFFF"/>
              </w:rPr>
              <w:t>Robotica</w:t>
            </w:r>
            <w:proofErr w:type="spellEnd"/>
            <w:r>
              <w:rPr>
                <w:rFonts w:ascii="Helvetica" w:hAnsi="Helvetica"/>
                <w:i/>
                <w:iCs/>
                <w:color w:val="181817"/>
                <w:bdr w:val="none" w:sz="0" w:space="0" w:color="auto" w:frame="1"/>
                <w:shd w:val="clear" w:color="auto" w:fill="FFFFFF"/>
              </w:rPr>
              <w:t>,</w:t>
            </w:r>
            <w:r>
              <w:rPr>
                <w:rFonts w:ascii="Helvetica" w:hAnsi="Helvetica"/>
                <w:color w:val="181817"/>
                <w:shd w:val="clear" w:color="auto" w:fill="FFFFFF"/>
              </w:rPr>
              <w:t> 1-20. doi:10.1017/S0263574720000430</w:t>
            </w:r>
          </w:p>
        </w:tc>
      </w:tr>
      <w:tr w:rsidR="002B7DCC" w14:paraId="6451FD9E" w14:textId="77777777" w:rsidTr="00712C61">
        <w:tc>
          <w:tcPr>
            <w:tcW w:w="1129" w:type="dxa"/>
          </w:tcPr>
          <w:p w14:paraId="554BCD1E" w14:textId="0A904718" w:rsidR="002B7DCC" w:rsidRDefault="002B7DCC">
            <w:r>
              <w:t>19</w:t>
            </w:r>
          </w:p>
        </w:tc>
        <w:tc>
          <w:tcPr>
            <w:tcW w:w="7887" w:type="dxa"/>
          </w:tcPr>
          <w:p w14:paraId="07756619" w14:textId="77777777" w:rsidR="002B7DCC" w:rsidRDefault="002B7DCC" w:rsidP="002B7DC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Z. K.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Su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>, H. L. Wang and P. Yao, “A hybrid backtracking search optimization algorithm for nonlinear</w:t>
            </w:r>
          </w:p>
          <w:p w14:paraId="5808CA9E" w14:textId="3DDA7E03" w:rsidR="002B7DCC" w:rsidRDefault="002B7DCC" w:rsidP="002B7DCC">
            <w:pPr>
              <w:autoSpaceDE w:val="0"/>
              <w:autoSpaceDN w:val="0"/>
              <w:adjustRightInd w:val="0"/>
              <w:rPr>
                <w:rFonts w:ascii="Helvetica" w:hAnsi="Helvetica"/>
                <w:color w:val="181817"/>
                <w:shd w:val="clear" w:color="auto" w:fill="FFFFFF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optimal control problems with complex dynamic constraints,”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Neurocomputing</w:t>
            </w:r>
            <w:r>
              <w:rPr>
                <w:rFonts w:ascii="Times-Roman" w:hAnsi="Times-Roman" w:cs="Times-Roman"/>
                <w:sz w:val="19"/>
                <w:szCs w:val="19"/>
              </w:rPr>
              <w:t xml:space="preserve">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186</w:t>
            </w:r>
            <w:r>
              <w:rPr>
                <w:rFonts w:ascii="Times-Roman" w:hAnsi="Times-Roman" w:cs="Times-Roman"/>
                <w:sz w:val="19"/>
                <w:szCs w:val="19"/>
              </w:rPr>
              <w:t>, 182–194 (2016).</w:t>
            </w:r>
          </w:p>
        </w:tc>
      </w:tr>
      <w:tr w:rsidR="002B7DCC" w14:paraId="5596C507" w14:textId="77777777" w:rsidTr="00712C61">
        <w:tc>
          <w:tcPr>
            <w:tcW w:w="1129" w:type="dxa"/>
          </w:tcPr>
          <w:p w14:paraId="645AA8F1" w14:textId="47A3FFDE" w:rsidR="002B7DCC" w:rsidRDefault="002B7DCC">
            <w:r>
              <w:t>20</w:t>
            </w:r>
          </w:p>
        </w:tc>
        <w:tc>
          <w:tcPr>
            <w:tcW w:w="7887" w:type="dxa"/>
          </w:tcPr>
          <w:p w14:paraId="62983D64" w14:textId="77777777" w:rsidR="002B7DCC" w:rsidRDefault="002B7DCC" w:rsidP="002B7DC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M. H.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Korayem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, M.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Nazemizadeh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and H. R.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Nohooji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>, “Optimal point-to-point motion planning of nonholonomic</w:t>
            </w:r>
          </w:p>
          <w:p w14:paraId="05781101" w14:textId="77777777" w:rsidR="002B7DCC" w:rsidRDefault="002B7DCC" w:rsidP="002B7DCC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mobile robots in the presence of multiple obstacles,”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J. Braz. Soc. Mech. Sci.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36</w:t>
            </w:r>
            <w:r>
              <w:rPr>
                <w:rFonts w:ascii="Times-Roman" w:hAnsi="Times-Roman" w:cs="Times-Roman"/>
                <w:sz w:val="19"/>
                <w:szCs w:val="19"/>
              </w:rPr>
              <w:t>(1), 221–232</w:t>
            </w:r>
          </w:p>
          <w:p w14:paraId="051018DF" w14:textId="6A310783" w:rsidR="002B7DCC" w:rsidRDefault="002B7DCC" w:rsidP="002B7DCC">
            <w:pPr>
              <w:autoSpaceDE w:val="0"/>
              <w:autoSpaceDN w:val="0"/>
              <w:adjustRightInd w:val="0"/>
              <w:rPr>
                <w:rFonts w:ascii="Helvetica" w:hAnsi="Helvetica"/>
                <w:color w:val="181817"/>
                <w:shd w:val="clear" w:color="auto" w:fill="FFFFFF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lastRenderedPageBreak/>
              <w:t>(2014).</w:t>
            </w:r>
          </w:p>
        </w:tc>
      </w:tr>
      <w:tr w:rsidR="002B7DCC" w14:paraId="006A4D7A" w14:textId="77777777" w:rsidTr="00712C61">
        <w:tc>
          <w:tcPr>
            <w:tcW w:w="1129" w:type="dxa"/>
          </w:tcPr>
          <w:p w14:paraId="7E4314CB" w14:textId="16425FB4" w:rsidR="002B7DCC" w:rsidRDefault="002B7DCC">
            <w:r>
              <w:lastRenderedPageBreak/>
              <w:t>21</w:t>
            </w:r>
          </w:p>
        </w:tc>
        <w:tc>
          <w:tcPr>
            <w:tcW w:w="7887" w:type="dxa"/>
          </w:tcPr>
          <w:p w14:paraId="287F043F" w14:textId="77777777" w:rsidR="000B1C31" w:rsidRDefault="000B1C31" w:rsidP="000B1C3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 xml:space="preserve">Bryson, A. E., </w:t>
            </w:r>
            <w:r>
              <w:rPr>
                <w:rFonts w:ascii="CMTI12" w:hAnsi="CMTI12" w:cs="CMTI12"/>
                <w:sz w:val="24"/>
                <w:szCs w:val="24"/>
              </w:rPr>
              <w:t xml:space="preserve">Applied optimal control: optimization, estimation and </w:t>
            </w:r>
            <w:proofErr w:type="gramStart"/>
            <w:r>
              <w:rPr>
                <w:rFonts w:ascii="CMTI12" w:hAnsi="CMTI12" w:cs="CMTI12"/>
                <w:sz w:val="24"/>
                <w:szCs w:val="24"/>
              </w:rPr>
              <w:t xml:space="preserve">control </w:t>
            </w:r>
            <w:r>
              <w:rPr>
                <w:rFonts w:ascii="CMR12" w:hAnsi="CMR12" w:cs="CMR12"/>
                <w:sz w:val="24"/>
                <w:szCs w:val="24"/>
              </w:rPr>
              <w:t>,</w:t>
            </w:r>
            <w:proofErr w:type="gramEnd"/>
          </w:p>
          <w:p w14:paraId="6E81B0D8" w14:textId="2BD2A8EC" w:rsidR="002B7DCC" w:rsidRDefault="000B1C31" w:rsidP="000B1C31">
            <w:pPr>
              <w:autoSpaceDE w:val="0"/>
              <w:autoSpaceDN w:val="0"/>
              <w:adjustRightInd w:val="0"/>
              <w:rPr>
                <w:rFonts w:ascii="Helvetica" w:hAnsi="Helvetica"/>
                <w:color w:val="181817"/>
                <w:shd w:val="clear" w:color="auto" w:fill="FFFFFF"/>
              </w:rPr>
            </w:pPr>
            <w:r>
              <w:rPr>
                <w:rFonts w:ascii="CMR12" w:hAnsi="CMR12" w:cs="CMR12"/>
                <w:sz w:val="24"/>
                <w:szCs w:val="24"/>
              </w:rPr>
              <w:t>CRC Press, 1975</w:t>
            </w:r>
          </w:p>
        </w:tc>
      </w:tr>
      <w:tr w:rsidR="002B7DCC" w14:paraId="15EBB143" w14:textId="77777777" w:rsidTr="00712C61">
        <w:tc>
          <w:tcPr>
            <w:tcW w:w="1129" w:type="dxa"/>
          </w:tcPr>
          <w:p w14:paraId="06FC971C" w14:textId="69D740BA" w:rsidR="002B7DCC" w:rsidRDefault="000B1C31">
            <w:r>
              <w:t>22</w:t>
            </w:r>
          </w:p>
        </w:tc>
        <w:tc>
          <w:tcPr>
            <w:tcW w:w="7887" w:type="dxa"/>
          </w:tcPr>
          <w:p w14:paraId="43B5116E" w14:textId="77777777" w:rsidR="000B1C31" w:rsidRDefault="000B1C31" w:rsidP="000B1C3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proofErr w:type="spellStart"/>
            <w:r>
              <w:rPr>
                <w:rFonts w:ascii="CMR12" w:hAnsi="CMR12" w:cs="CMR12"/>
                <w:sz w:val="24"/>
                <w:szCs w:val="24"/>
              </w:rPr>
              <w:t>Iyer</w:t>
            </w:r>
            <w:proofErr w:type="spellEnd"/>
            <w:r>
              <w:rPr>
                <w:rFonts w:ascii="CMR12" w:hAnsi="CMR12" w:cs="CMR12"/>
                <w:sz w:val="24"/>
                <w:szCs w:val="24"/>
              </w:rPr>
              <w:t xml:space="preserve">, S. V., </w:t>
            </w:r>
            <w:r>
              <w:rPr>
                <w:rFonts w:ascii="CMTI12" w:hAnsi="CMTI12" w:cs="CMTI12"/>
                <w:sz w:val="24"/>
                <w:szCs w:val="24"/>
              </w:rPr>
              <w:t xml:space="preserve">Time optimal trajectory generation for a </w:t>
            </w:r>
            <w:proofErr w:type="spellStart"/>
            <w:r>
              <w:rPr>
                <w:rFonts w:ascii="CMTI12" w:hAnsi="CMTI12" w:cs="CMTI12"/>
                <w:sz w:val="24"/>
                <w:szCs w:val="24"/>
              </w:rPr>
              <w:t>di_erential</w:t>
            </w:r>
            <w:proofErr w:type="spellEnd"/>
            <w:r>
              <w:rPr>
                <w:rFonts w:ascii="CMTI12" w:hAnsi="CMTI12" w:cs="CMTI12"/>
                <w:sz w:val="24"/>
                <w:szCs w:val="24"/>
              </w:rPr>
              <w:t xml:space="preserve"> drive robot</w:t>
            </w:r>
            <w:r>
              <w:rPr>
                <w:rFonts w:ascii="CMR12" w:hAnsi="CMR12" w:cs="CMR12"/>
                <w:sz w:val="24"/>
                <w:szCs w:val="24"/>
              </w:rPr>
              <w:t>,</w:t>
            </w:r>
          </w:p>
          <w:p w14:paraId="233DD39B" w14:textId="146A7278" w:rsidR="002B7DCC" w:rsidRDefault="000B1C31" w:rsidP="000B1C31">
            <w:pPr>
              <w:autoSpaceDE w:val="0"/>
              <w:autoSpaceDN w:val="0"/>
              <w:adjustRightInd w:val="0"/>
              <w:rPr>
                <w:rFonts w:ascii="Helvetica" w:hAnsi="Helvetica"/>
                <w:color w:val="181817"/>
                <w:shd w:val="clear" w:color="auto" w:fill="FFFFFF"/>
              </w:rPr>
            </w:pPr>
            <w:r>
              <w:rPr>
                <w:rFonts w:ascii="CMR12" w:hAnsi="CMR12" w:cs="CMR12"/>
                <w:sz w:val="24"/>
                <w:szCs w:val="24"/>
              </w:rPr>
              <w:t xml:space="preserve">State University of New York at </w:t>
            </w:r>
            <w:proofErr w:type="spellStart"/>
            <w:r>
              <w:rPr>
                <w:rFonts w:ascii="CMR12" w:hAnsi="CMR12" w:cs="CMR12"/>
                <w:sz w:val="24"/>
                <w:szCs w:val="24"/>
              </w:rPr>
              <w:t>Bu_alo</w:t>
            </w:r>
            <w:proofErr w:type="spellEnd"/>
            <w:r>
              <w:rPr>
                <w:rFonts w:ascii="CMR12" w:hAnsi="CMR12" w:cs="CMR12"/>
                <w:sz w:val="24"/>
                <w:szCs w:val="24"/>
              </w:rPr>
              <w:t>, 2009</w:t>
            </w:r>
          </w:p>
        </w:tc>
      </w:tr>
      <w:tr w:rsidR="002B7DCC" w14:paraId="4B219F89" w14:textId="77777777" w:rsidTr="00712C61">
        <w:tc>
          <w:tcPr>
            <w:tcW w:w="1129" w:type="dxa"/>
          </w:tcPr>
          <w:p w14:paraId="42F63894" w14:textId="451646EF" w:rsidR="002B7DCC" w:rsidRDefault="007639C6">
            <w:r>
              <w:t>23</w:t>
            </w:r>
          </w:p>
        </w:tc>
        <w:tc>
          <w:tcPr>
            <w:tcW w:w="7887" w:type="dxa"/>
          </w:tcPr>
          <w:p w14:paraId="7AE55603" w14:textId="3965F1FE" w:rsidR="002B7DCC" w:rsidRPr="0020397E" w:rsidRDefault="007639C6" w:rsidP="007639C6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Q. Lin, R. Loxton and K. L. Teo, “The control parameterization method for nonlinear optimal control: a</w:t>
            </w:r>
            <w:r w:rsidR="0020397E">
              <w:rPr>
                <w:rFonts w:ascii="Times-Roman" w:hAnsi="Times-Roman" w:cs="Times-Roman"/>
                <w:sz w:val="19"/>
                <w:szCs w:val="19"/>
              </w:rPr>
              <w:t xml:space="preserve"> </w:t>
            </w:r>
            <w:r>
              <w:rPr>
                <w:rFonts w:ascii="Times-Roman" w:hAnsi="Times-Roman" w:cs="Times-Roman"/>
                <w:sz w:val="19"/>
                <w:szCs w:val="19"/>
              </w:rPr>
              <w:t xml:space="preserve">survey,”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J. Ind. </w:t>
            </w:r>
            <w:proofErr w:type="spellStart"/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Manag</w:t>
            </w:r>
            <w:proofErr w:type="spellEnd"/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Optim</w:t>
            </w:r>
            <w:proofErr w:type="spellEnd"/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10</w:t>
            </w:r>
            <w:r>
              <w:rPr>
                <w:rFonts w:ascii="Times-Roman" w:hAnsi="Times-Roman" w:cs="Times-Roman"/>
                <w:sz w:val="19"/>
                <w:szCs w:val="19"/>
              </w:rPr>
              <w:t>(1), 275–309 (2014).</w:t>
            </w:r>
          </w:p>
        </w:tc>
      </w:tr>
      <w:tr w:rsidR="002B7DCC" w14:paraId="3C4FE95A" w14:textId="77777777" w:rsidTr="00712C61">
        <w:tc>
          <w:tcPr>
            <w:tcW w:w="1129" w:type="dxa"/>
          </w:tcPr>
          <w:p w14:paraId="140FDDCB" w14:textId="639F1D65" w:rsidR="002B7DCC" w:rsidRDefault="007639C6">
            <w:r>
              <w:t>24</w:t>
            </w:r>
          </w:p>
        </w:tc>
        <w:tc>
          <w:tcPr>
            <w:tcW w:w="7887" w:type="dxa"/>
          </w:tcPr>
          <w:p w14:paraId="33391C83" w14:textId="77777777" w:rsidR="00543A99" w:rsidRDefault="00543A99" w:rsidP="00543A9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A. Albert, L.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Imsland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and J. Haugen, “Numerical optimal control mixing collocation with single shooting:</w:t>
            </w:r>
          </w:p>
          <w:p w14:paraId="3FBC77E2" w14:textId="3107A7BB" w:rsidR="002B7DCC" w:rsidRDefault="00543A99" w:rsidP="00543A99">
            <w:pPr>
              <w:autoSpaceDE w:val="0"/>
              <w:autoSpaceDN w:val="0"/>
              <w:adjustRightInd w:val="0"/>
              <w:rPr>
                <w:rFonts w:ascii="Helvetica" w:hAnsi="Helvetica"/>
                <w:color w:val="181817"/>
                <w:shd w:val="clear" w:color="auto" w:fill="FFFFFF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A case study,”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IFAC </w:t>
            </w:r>
            <w:proofErr w:type="spellStart"/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Papersonline</w:t>
            </w:r>
            <w:proofErr w:type="spellEnd"/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49</w:t>
            </w:r>
            <w:r>
              <w:rPr>
                <w:rFonts w:ascii="Times-Roman" w:hAnsi="Times-Roman" w:cs="Times-Roman"/>
                <w:sz w:val="19"/>
                <w:szCs w:val="19"/>
              </w:rPr>
              <w:t>(7), 290–295 (2016).</w:t>
            </w:r>
          </w:p>
        </w:tc>
      </w:tr>
      <w:tr w:rsidR="00543A99" w14:paraId="3CC3C98B" w14:textId="77777777" w:rsidTr="00712C61">
        <w:tc>
          <w:tcPr>
            <w:tcW w:w="1129" w:type="dxa"/>
          </w:tcPr>
          <w:p w14:paraId="7AFCB18E" w14:textId="2BC0F904" w:rsidR="00543A99" w:rsidRDefault="00543A99">
            <w:r>
              <w:t>25</w:t>
            </w:r>
          </w:p>
        </w:tc>
        <w:tc>
          <w:tcPr>
            <w:tcW w:w="7887" w:type="dxa"/>
          </w:tcPr>
          <w:p w14:paraId="2D3807E3" w14:textId="77777777" w:rsidR="00543A99" w:rsidRDefault="00543A99" w:rsidP="00543A9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E.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Drozdova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, S.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Hopfgarten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, E.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Lazutkin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and L. Pu, “Autonomous driving of a mobile robot using a</w:t>
            </w:r>
          </w:p>
          <w:p w14:paraId="4B349EFA" w14:textId="599355AC" w:rsidR="00543A99" w:rsidRDefault="00543A99" w:rsidP="00543A9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combined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multipleshooting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and collocation method,”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IFAC </w:t>
            </w:r>
            <w:proofErr w:type="spellStart"/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Papersonline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.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49</w:t>
            </w:r>
            <w:r>
              <w:rPr>
                <w:rFonts w:ascii="Times-Roman" w:hAnsi="Times-Roman" w:cs="Times-Roman"/>
                <w:sz w:val="19"/>
                <w:szCs w:val="19"/>
              </w:rPr>
              <w:t>(15), 193–198 (2016)</w:t>
            </w:r>
          </w:p>
        </w:tc>
      </w:tr>
      <w:tr w:rsidR="00543A99" w14:paraId="47678702" w14:textId="77777777" w:rsidTr="00712C61">
        <w:tc>
          <w:tcPr>
            <w:tcW w:w="1129" w:type="dxa"/>
          </w:tcPr>
          <w:p w14:paraId="11F4216F" w14:textId="20C7C07E" w:rsidR="00543A99" w:rsidRDefault="00543A99">
            <w:r>
              <w:t>26</w:t>
            </w:r>
          </w:p>
        </w:tc>
        <w:tc>
          <w:tcPr>
            <w:tcW w:w="7887" w:type="dxa"/>
          </w:tcPr>
          <w:p w14:paraId="718BEE24" w14:textId="77777777" w:rsidR="00543A99" w:rsidRDefault="00543A99" w:rsidP="00543A9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M. P. Kelly, “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Transcription Methods for Trajectory Optimization</w:t>
            </w:r>
            <w:r>
              <w:rPr>
                <w:rFonts w:ascii="Times-Roman" w:hAnsi="Times-Roman" w:cs="Times-Roman"/>
                <w:sz w:val="19"/>
                <w:szCs w:val="19"/>
              </w:rPr>
              <w:t>,” Tutorial (Cornell University, Ithaca, NY,</w:t>
            </w:r>
          </w:p>
          <w:p w14:paraId="5DB36CF3" w14:textId="203BC4A8" w:rsidR="00543A99" w:rsidRDefault="00543A99" w:rsidP="00543A99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2015)</w:t>
            </w:r>
          </w:p>
        </w:tc>
      </w:tr>
      <w:tr w:rsidR="00543A99" w14:paraId="3167A42C" w14:textId="77777777" w:rsidTr="00712C61">
        <w:tc>
          <w:tcPr>
            <w:tcW w:w="1129" w:type="dxa"/>
          </w:tcPr>
          <w:p w14:paraId="4770FED7" w14:textId="4161D54C" w:rsidR="00543A99" w:rsidRDefault="00543A99">
            <w:r>
              <w:t>27</w:t>
            </w:r>
          </w:p>
        </w:tc>
        <w:tc>
          <w:tcPr>
            <w:tcW w:w="7887" w:type="dxa"/>
          </w:tcPr>
          <w:p w14:paraId="54ED5F23" w14:textId="4069DE4A" w:rsidR="00543A99" w:rsidRPr="0020397E" w:rsidRDefault="00543A99" w:rsidP="00543A99">
            <w:pPr>
              <w:autoSpaceDE w:val="0"/>
              <w:autoSpaceDN w:val="0"/>
              <w:adjustRightInd w:val="0"/>
              <w:rPr>
                <w:rFonts w:ascii="Times-Italic" w:hAnsi="Times-Italic" w:cs="Times-Italic"/>
                <w:i/>
                <w:iCs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F.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Fahroo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and M. I. Ross, “Direct trajectory optimization by a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chebyshev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19"/>
                <w:szCs w:val="19"/>
              </w:rPr>
              <w:t>pseudospectral</w:t>
            </w:r>
            <w:proofErr w:type="spellEnd"/>
            <w:r>
              <w:rPr>
                <w:rFonts w:ascii="Times-Roman" w:hAnsi="Times-Roman" w:cs="Times-Roman"/>
                <w:sz w:val="19"/>
                <w:szCs w:val="19"/>
              </w:rPr>
              <w:t xml:space="preserve"> method,”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J</w:t>
            </w:r>
            <w:r w:rsidR="0020397E"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ournal of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 Guid</w:t>
            </w:r>
            <w:r w:rsidR="0020397E"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ance,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Control Dynam</w:t>
            </w:r>
            <w:r w:rsidR="0020397E"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ics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 xml:space="preserve"> </w:t>
            </w:r>
            <w:r>
              <w:rPr>
                <w:rFonts w:ascii="Times-Bold" w:hAnsi="Times-Bold" w:cs="Times-Bold"/>
                <w:b/>
                <w:bCs/>
                <w:sz w:val="19"/>
                <w:szCs w:val="19"/>
              </w:rPr>
              <w:t>25</w:t>
            </w:r>
            <w:r>
              <w:rPr>
                <w:rFonts w:ascii="Times-Roman" w:hAnsi="Times-Roman" w:cs="Times-Roman"/>
                <w:sz w:val="19"/>
                <w:szCs w:val="19"/>
              </w:rPr>
              <w:t>(1), 160–166 (2002).</w:t>
            </w:r>
          </w:p>
        </w:tc>
      </w:tr>
      <w:tr w:rsidR="00543A99" w14:paraId="7EFA2D93" w14:textId="77777777" w:rsidTr="00712C61">
        <w:tc>
          <w:tcPr>
            <w:tcW w:w="1129" w:type="dxa"/>
          </w:tcPr>
          <w:p w14:paraId="180C3CB2" w14:textId="363502AF" w:rsidR="00543A99" w:rsidRDefault="00543A99">
            <w:r>
              <w:t>28</w:t>
            </w:r>
          </w:p>
        </w:tc>
        <w:tc>
          <w:tcPr>
            <w:tcW w:w="7887" w:type="dxa"/>
          </w:tcPr>
          <w:p w14:paraId="7C042E8E" w14:textId="77777777" w:rsidR="009502F5" w:rsidRDefault="009502F5" w:rsidP="009502F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 xml:space="preserve">J. T. Betts, </w:t>
            </w:r>
            <w:r>
              <w:rPr>
                <w:rFonts w:ascii="Times-Italic" w:hAnsi="Times-Italic" w:cs="Times-Italic"/>
                <w:i/>
                <w:iCs/>
                <w:sz w:val="19"/>
                <w:szCs w:val="19"/>
              </w:rPr>
              <w:t>Practical Methods for Optimal Control and Estimation Using Nonlinear Programming</w:t>
            </w:r>
            <w:r>
              <w:rPr>
                <w:rFonts w:ascii="Times-Roman" w:hAnsi="Times-Roman" w:cs="Times-Roman"/>
                <w:sz w:val="19"/>
                <w:szCs w:val="19"/>
              </w:rPr>
              <w:t>, vol. 19</w:t>
            </w:r>
          </w:p>
          <w:p w14:paraId="28812F24" w14:textId="477AF300" w:rsidR="00543A99" w:rsidRDefault="009502F5" w:rsidP="009502F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>
              <w:rPr>
                <w:rFonts w:ascii="Times-Roman" w:hAnsi="Times-Roman" w:cs="Times-Roman"/>
                <w:sz w:val="19"/>
                <w:szCs w:val="19"/>
              </w:rPr>
              <w:t>(SIAM, Philadelphia, PA, 2010).</w:t>
            </w:r>
          </w:p>
        </w:tc>
      </w:tr>
      <w:tr w:rsidR="0020397E" w14:paraId="4320E52F" w14:textId="77777777" w:rsidTr="00712C61">
        <w:tc>
          <w:tcPr>
            <w:tcW w:w="1129" w:type="dxa"/>
          </w:tcPr>
          <w:p w14:paraId="1BCBDC2B" w14:textId="3BB99F9D" w:rsidR="0020397E" w:rsidRDefault="0020397E">
            <w:r>
              <w:t>29</w:t>
            </w:r>
          </w:p>
        </w:tc>
        <w:tc>
          <w:tcPr>
            <w:tcW w:w="7887" w:type="dxa"/>
          </w:tcPr>
          <w:p w14:paraId="76CA1F55" w14:textId="1AD6A109" w:rsidR="0020397E" w:rsidRDefault="0020397E" w:rsidP="009502F5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9"/>
                <w:szCs w:val="19"/>
              </w:rPr>
            </w:pPr>
            <w:r w:rsidRPr="0020397E">
              <w:rPr>
                <w:rFonts w:ascii="Times-Roman" w:hAnsi="Times-Roman" w:cs="Times-Roman"/>
                <w:sz w:val="19"/>
                <w:szCs w:val="19"/>
              </w:rPr>
              <w:t xml:space="preserve">Q. Gong, I. Michael Ross and F. </w:t>
            </w:r>
            <w:proofErr w:type="spellStart"/>
            <w:r w:rsidRPr="0020397E">
              <w:rPr>
                <w:rFonts w:ascii="Times-Roman" w:hAnsi="Times-Roman" w:cs="Times-Roman"/>
                <w:sz w:val="19"/>
                <w:szCs w:val="19"/>
              </w:rPr>
              <w:t>Fahroo</w:t>
            </w:r>
            <w:proofErr w:type="spellEnd"/>
            <w:r w:rsidRPr="0020397E">
              <w:rPr>
                <w:rFonts w:ascii="Times-Roman" w:hAnsi="Times-Roman" w:cs="Times-Roman"/>
                <w:sz w:val="19"/>
                <w:szCs w:val="19"/>
              </w:rPr>
              <w:t xml:space="preserve">, "A Chebyshev </w:t>
            </w:r>
            <w:proofErr w:type="spellStart"/>
            <w:r w:rsidRPr="0020397E">
              <w:rPr>
                <w:rFonts w:ascii="Times-Roman" w:hAnsi="Times-Roman" w:cs="Times-Roman"/>
                <w:sz w:val="19"/>
                <w:szCs w:val="19"/>
              </w:rPr>
              <w:t>pseudospectral</w:t>
            </w:r>
            <w:proofErr w:type="spellEnd"/>
            <w:r w:rsidRPr="0020397E">
              <w:rPr>
                <w:rFonts w:ascii="Times-Roman" w:hAnsi="Times-Roman" w:cs="Times-Roman"/>
                <w:sz w:val="19"/>
                <w:szCs w:val="19"/>
              </w:rPr>
              <w:t xml:space="preserve"> method for nonlinear constrained optimal control problems," Proceedings of the 48h IEEE Conference on Decision and Control (CDC) held jointly with 2009 28th Chinese Control Conference, Shanghai, 2009, pp. 5057-5062, </w:t>
            </w:r>
            <w:proofErr w:type="spellStart"/>
            <w:r w:rsidRPr="0020397E">
              <w:rPr>
                <w:rFonts w:ascii="Times-Roman" w:hAnsi="Times-Roman" w:cs="Times-Roman"/>
                <w:sz w:val="19"/>
                <w:szCs w:val="19"/>
              </w:rPr>
              <w:t>doi</w:t>
            </w:r>
            <w:proofErr w:type="spellEnd"/>
            <w:r w:rsidRPr="0020397E">
              <w:rPr>
                <w:rFonts w:ascii="Times-Roman" w:hAnsi="Times-Roman" w:cs="Times-Roman"/>
                <w:sz w:val="19"/>
                <w:szCs w:val="19"/>
              </w:rPr>
              <w:t>: 10.1109/CDC.2009.5400509.</w:t>
            </w:r>
          </w:p>
        </w:tc>
      </w:tr>
    </w:tbl>
    <w:p w14:paraId="4192D96C" w14:textId="77777777" w:rsidR="00AA77C7" w:rsidRDefault="00AA77C7"/>
    <w:sectPr w:rsidR="00AA7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8080000" w:usb2="00000010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2MzOzNDU1t7AwsTRQ0lEKTi0uzszPAykwrgUAGN3KFCwAAAA="/>
  </w:docVars>
  <w:rsids>
    <w:rsidRoot w:val="00712C61"/>
    <w:rsid w:val="000B1C31"/>
    <w:rsid w:val="0020397E"/>
    <w:rsid w:val="002B49FB"/>
    <w:rsid w:val="002B7DCC"/>
    <w:rsid w:val="002C25EE"/>
    <w:rsid w:val="00543A99"/>
    <w:rsid w:val="00712C61"/>
    <w:rsid w:val="00751DCC"/>
    <w:rsid w:val="007639C6"/>
    <w:rsid w:val="009502F5"/>
    <w:rsid w:val="00956299"/>
    <w:rsid w:val="00A27942"/>
    <w:rsid w:val="00AA3247"/>
    <w:rsid w:val="00AA77C7"/>
    <w:rsid w:val="00D70EE2"/>
    <w:rsid w:val="00D9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4F8B"/>
  <w15:chartTrackingRefBased/>
  <w15:docId w15:val="{2B16C316-65D4-471D-9432-72F0ADF5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MUAFIRA THASNI</dc:creator>
  <cp:keywords/>
  <dc:description/>
  <cp:lastModifiedBy>MUAFIRA THASNI</cp:lastModifiedBy>
  <cp:revision>1</cp:revision>
  <dcterms:created xsi:type="dcterms:W3CDTF">2021-01-17T18:33:00Z</dcterms:created>
  <dcterms:modified xsi:type="dcterms:W3CDTF">2021-01-19T17:35:00Z</dcterms:modified>
</cp:coreProperties>
</file>