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160"/>
        <w:jc w:val="center"/>
      </w:pPr>
      <w:r>
        <w:rPr>
          <w:rFonts w:ascii="Calibri" w:hAnsi="Calibri"/>
          <w:b/>
          <w:color w:val="666666"/>
          <w:sz w:val="22"/>
        </w:rPr>
        <w:t>KERNSCALE UG (HAFTUNGSBESCHRÄNKT) I. G.</w:t>
      </w:r>
    </w:p>
    <w:p>
      <w:pPr>
        <w:spacing w:after="120"/>
        <w:jc w:val="center"/>
      </w:pPr>
      <w:r>
        <w:rPr>
          <w:rFonts w:ascii="Calibri" w:hAnsi="Calibri"/>
          <w:b/>
          <w:color w:val="1F2328"/>
          <w:sz w:val="50"/>
        </w:rPr>
        <w:t>Unternehmens- und Entwicklungskonzept</w:t>
      </w:r>
    </w:p>
    <w:p>
      <w:pPr>
        <w:spacing w:after="440"/>
        <w:jc w:val="center"/>
      </w:pPr>
      <w:r>
        <w:rPr>
          <w:rFonts w:ascii="Calibri" w:hAnsi="Calibri"/>
          <w:color w:val="1F4D78"/>
          <w:sz w:val="28"/>
        </w:rPr>
        <w:t>Levial by Kernscale</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500"/>
        <w:gridCol w:w="6860"/>
      </w:tblGrid>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Dokument</w:t>
            </w:r>
          </w:p>
        </w:tc>
        <w:tc>
          <w:tcPr>
            <w:tcW w:type="dxa" w:w="6860"/>
            <w:tcMar>
              <w:top w:w="80" w:type="dxa"/>
              <w:start w:w="120" w:type="dxa"/>
              <w:bottom w:w="80" w:type="dxa"/>
              <w:end w:w="120" w:type="dxa"/>
            </w:tcMar>
            <w:vAlign w:val="center"/>
          </w:tcPr>
          <w:p>
            <w:pPr>
              <w:spacing w:after="0"/>
            </w:pPr>
            <w:r>
              <w:rPr>
                <w:rFonts w:ascii="Calibri" w:hAnsi="Calibri"/>
                <w:color w:val="1F2328"/>
                <w:sz w:val="20"/>
              </w:rPr>
              <w:t>Anlage zur Projektidee – Produkt, Markt, Umsetzung und Finanzierung</w:t>
            </w:r>
          </w:p>
        </w:tc>
      </w:tr>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Antragsteller</w:t>
            </w:r>
          </w:p>
        </w:tc>
        <w:tc>
          <w:tcPr>
            <w:tcW w:type="dxa" w:w="6860"/>
            <w:tcMar>
              <w:top w:w="80" w:type="dxa"/>
              <w:start w:w="120" w:type="dxa"/>
              <w:bottom w:w="80" w:type="dxa"/>
              <w:end w:w="120" w:type="dxa"/>
            </w:tcMar>
            <w:vAlign w:val="center"/>
          </w:tcPr>
          <w:p>
            <w:pPr>
              <w:spacing w:after="0"/>
            </w:pPr>
            <w:r>
              <w:rPr>
                <w:rFonts w:ascii="Calibri" w:hAnsi="Calibri"/>
                <w:color w:val="1F2328"/>
                <w:sz w:val="20"/>
              </w:rPr>
              <w:t>Jonas Knüppel</w:t>
            </w:r>
          </w:p>
        </w:tc>
      </w:tr>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Unternehmenssitz</w:t>
            </w:r>
          </w:p>
        </w:tc>
        <w:tc>
          <w:tcPr>
            <w:tcW w:type="dxa" w:w="6860"/>
            <w:tcMar>
              <w:top w:w="80" w:type="dxa"/>
              <w:start w:w="120" w:type="dxa"/>
              <w:bottom w:w="80" w:type="dxa"/>
              <w:end w:w="120" w:type="dxa"/>
            </w:tcMar>
            <w:vAlign w:val="center"/>
          </w:tcPr>
          <w:p>
            <w:pPr>
              <w:spacing w:after="0"/>
            </w:pPr>
            <w:r>
              <w:rPr>
                <w:rFonts w:ascii="Calibri" w:hAnsi="Calibri"/>
                <w:color w:val="1F2328"/>
                <w:sz w:val="20"/>
              </w:rPr>
              <w:t>Bahnhofstraße 17a, 17094 Burg Stargard</w:t>
            </w:r>
          </w:p>
        </w:tc>
      </w:tr>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Stand</w:t>
            </w:r>
          </w:p>
        </w:tc>
        <w:tc>
          <w:tcPr>
            <w:tcW w:type="dxa" w:w="6860"/>
            <w:tcMar>
              <w:top w:w="80" w:type="dxa"/>
              <w:start w:w="120" w:type="dxa"/>
              <w:bottom w:w="80" w:type="dxa"/>
              <w:end w:w="120" w:type="dxa"/>
            </w:tcMar>
            <w:vAlign w:val="center"/>
          </w:tcPr>
          <w:p>
            <w:pPr>
              <w:spacing w:after="0"/>
            </w:pPr>
            <w:r>
              <w:rPr>
                <w:rFonts w:ascii="Calibri" w:hAnsi="Calibri"/>
                <w:color w:val="1F2328"/>
                <w:sz w:val="20"/>
              </w:rPr>
              <w:t>16.08.2026</w:t>
            </w:r>
          </w:p>
        </w:tc>
      </w:tr>
    </w:tbl>
    <w:p>
      <w:pPr>
        <w:spacing w:before="360" w:after="160"/>
        <w:jc w:val="center"/>
      </w:pPr>
      <w:r>
        <w:rPr>
          <w:rFonts w:ascii="Calibri" w:hAnsi="Calibri"/>
          <w:i/>
          <w:color w:val="666666"/>
          <w:sz w:val="20"/>
        </w:rPr>
        <w:t>Arbeitsfassung – bestätigte Angaben und offene Entscheidungen sind ausdrücklich getrennt.</w:t>
      </w:r>
    </w:p>
    <w:p>
      <w:r>
        <w:br w:type="page"/>
      </w:r>
    </w:p>
    <w:p>
      <w:pPr>
        <w:pStyle w:val="Heading1"/>
      </w:pPr>
      <w:r>
        <w:rPr>
          <w:rFonts w:ascii="Calibri" w:hAnsi="Calibri"/>
          <w:b/>
          <w:color w:val="2E74B5"/>
          <w:sz w:val="32"/>
        </w:rPr>
        <w:t>1. Zusammenfassung des Vorhabens</w:t>
      </w:r>
    </w:p>
    <w:p>
      <w:r>
        <w:rPr>
          <w:rFonts w:ascii="Calibri" w:hAnsi="Calibri"/>
          <w:color w:val="1F2328"/>
          <w:sz w:val="22"/>
        </w:rPr>
        <w:t xml:space="preserve">Kernscale entwickelt </w:t>
      </w:r>
      <w:r>
        <w:rPr>
          <w:rFonts w:ascii="Calibri" w:hAnsi="Calibri"/>
          <w:b/>
          <w:color w:val="1F2328"/>
          <w:sz w:val="22"/>
        </w:rPr>
        <w:t>Levial by Kernscale</w:t>
      </w:r>
      <w:r>
        <w:rPr>
          <w:rFonts w:ascii="Calibri" w:hAnsi="Calibri"/>
          <w:color w:val="1F2328"/>
          <w:sz w:val="22"/>
        </w:rPr>
        <w:t xml:space="preserve">, eine betreute Softwareplattform für lokale kleine und mittlere Unternehmen, Dienstleister und kleinere E-Commerce-Unternehmen. Der Name steht für </w:t>
      </w:r>
      <w:r>
        <w:rPr>
          <w:rFonts w:ascii="Calibri" w:hAnsi="Calibri"/>
          <w:b/>
          <w:color w:val="1F2328"/>
          <w:sz w:val="22"/>
        </w:rPr>
        <w:t>Layered Evidence, Validated Intelligence, Actionable Learning</w:t>
      </w:r>
      <w:r>
        <w:rPr>
          <w:rFonts w:ascii="Calibri" w:hAnsi="Calibri"/>
          <w:color w:val="1F2328"/>
          <w:sz w:val="22"/>
        </w:rPr>
        <w:t xml:space="preserve"> und bezeichnet die Produktumsetzung des Kernscale Media Intelligence Loop. Die Plattform soll bislang getrennte Medien-, Marketing- und Leistungsinformationen in einem geschützten Kunden-Workspace zusammenführen. Daraus werden kanalübergreifende Signale, priorisierte Empfehlungen sowie kontextgebundene Strategien, Skripte und Medienvarianten abgeleitet. Nach menschlicher Prüfung und Umsetzung werden die Ergebnisse gemessen und als bestätigte Erkenntnisse für spätere Entscheidungen gespeichert.</w:t>
      </w:r>
    </w:p>
    <w:p>
      <w:r>
        <w:rPr>
          <w:rFonts w:ascii="Calibri" w:hAnsi="Calibri"/>
          <w:color w:val="1F2328"/>
          <w:sz w:val="22"/>
        </w:rPr>
        <w:t>Das Angebot verbindet Software mit fachlicher Betreuung. Es richtet sich besonders an Unternehmen, die mehrere digitale oder analoge Kontaktpunkte betreiben, aber kein eigenes Team für Datenintegration, Marketinganalyse, Medienproduktion und laufende Optimierung unterhalten können.</w:t>
      </w:r>
    </w:p>
    <w:p>
      <w:r>
        <w:rPr>
          <w:rFonts w:ascii="Calibri" w:hAnsi="Calibri"/>
          <w:color w:val="1F2328"/>
          <w:sz w:val="22"/>
        </w:rPr>
        <w:t>Kernscale beginnt nicht bei null. Im bestehenden Dashboard sind bereits eine mandantenfähige Workspace-Struktur, Datenquellen und Artefakte, regelbasierte Signale, Prüfpfade, eine Knowledge Base, ein Knowledge Graph, Empfehlungen und eine Decision Queue implementiert. Der vollständige Medien- und Ergebnisloop ist dagegen noch Gegenstand der Entwicklung. Insbesondere produktive Plattformverbindungen, kanalübergreifende KI-Analyse, kontextgebundene Generierung, Ergebnissnapshots und bestätigte Lernrecords fehlen noch.</w:t>
      </w:r>
    </w:p>
    <w:p>
      <w:pPr>
        <w:pStyle w:val="Heading1"/>
      </w:pPr>
      <w:r>
        <w:rPr>
          <w:rFonts w:ascii="Calibri" w:hAnsi="Calibri"/>
          <w:b/>
          <w:color w:val="2E74B5"/>
          <w:sz w:val="32"/>
        </w:rPr>
        <w:t>2. Unternehmen und Gründerteam</w:t>
      </w:r>
    </w:p>
    <w:p>
      <w:r>
        <w:rPr>
          <w:rFonts w:ascii="Calibri" w:hAnsi="Calibri"/>
          <w:color w:val="1F2328"/>
          <w:sz w:val="22"/>
        </w:rPr>
        <w:t>Die Kernscale UG (haftungsbeschränkt) i. G. wird von Jonas Knüppel und Linus Kern gemeinsam aufgebaut. Beide Gründer sind zu jeweils 50 Prozent beteiligt und Geschäftsführer.</w:t>
      </w:r>
    </w:p>
    <w:p>
      <w:pPr>
        <w:pStyle w:val="Heading2"/>
      </w:pPr>
      <w:r>
        <w:rPr>
          <w:rFonts w:ascii="Calibri" w:hAnsi="Calibri"/>
          <w:b/>
          <w:color w:val="2E74B5"/>
          <w:sz w:val="26"/>
        </w:rPr>
        <w:t>Jonas Knüppel – Technik, Produkt und Umsetzung</w:t>
      </w:r>
    </w:p>
    <w:p>
      <w:r>
        <w:rPr>
          <w:rFonts w:ascii="Calibri" w:hAnsi="Calibri"/>
          <w:color w:val="1F2328"/>
          <w:sz w:val="22"/>
        </w:rPr>
        <w:t>Jonas Knüppel verantwortet insbesondere:</w:t>
      </w:r>
    </w:p>
    <w:p>
      <w:pPr>
        <w:spacing w:before="0" w:after="80" w:line="290" w:lineRule="auto"/>
        <w:numPr>
          <w:ilvl w:val="0"/>
          <w:numId w:val="10"/>
        </w:numPr>
      </w:pPr>
      <w:r>
        <w:rPr>
          <w:rFonts w:ascii="Calibri" w:hAnsi="Calibri"/>
          <w:color w:val="1F2328"/>
          <w:sz w:val="22"/>
        </w:rPr>
        <w:t>technische Architektur und Produktentwicklung;</w:t>
      </w:r>
    </w:p>
    <w:p>
      <w:pPr>
        <w:spacing w:before="0" w:after="80" w:line="290" w:lineRule="auto"/>
        <w:numPr>
          <w:ilvl w:val="0"/>
          <w:numId w:val="10"/>
        </w:numPr>
      </w:pPr>
      <w:r>
        <w:rPr>
          <w:rFonts w:ascii="Calibri" w:hAnsi="Calibri"/>
          <w:color w:val="1F2328"/>
          <w:sz w:val="22"/>
        </w:rPr>
        <w:t>Dashboard, Benutzeroberfläche und Programmierung;</w:t>
      </w:r>
    </w:p>
    <w:p>
      <w:pPr>
        <w:spacing w:before="0" w:after="80" w:line="290" w:lineRule="auto"/>
        <w:numPr>
          <w:ilvl w:val="0"/>
          <w:numId w:val="10"/>
        </w:numPr>
      </w:pPr>
      <w:r>
        <w:rPr>
          <w:rFonts w:ascii="Calibri" w:hAnsi="Calibri"/>
          <w:color w:val="1F2328"/>
          <w:sz w:val="22"/>
        </w:rPr>
        <w:t>Datenintegrationen, Kontextmodell und Knowledge-Strukturen;</w:t>
      </w:r>
    </w:p>
    <w:p>
      <w:pPr>
        <w:spacing w:before="0" w:after="80" w:line="290" w:lineRule="auto"/>
        <w:numPr>
          <w:ilvl w:val="0"/>
          <w:numId w:val="10"/>
        </w:numPr>
      </w:pPr>
      <w:r>
        <w:rPr>
          <w:rFonts w:ascii="Calibri" w:hAnsi="Calibri"/>
          <w:color w:val="1F2328"/>
          <w:sz w:val="22"/>
        </w:rPr>
        <w:t>KI-gestützte Analyse- und Generierungsprozesse;</w:t>
      </w:r>
    </w:p>
    <w:p>
      <w:pPr>
        <w:spacing w:before="0" w:after="80" w:line="290" w:lineRule="auto"/>
        <w:numPr>
          <w:ilvl w:val="0"/>
          <w:numId w:val="10"/>
        </w:numPr>
      </w:pPr>
      <w:r>
        <w:rPr>
          <w:rFonts w:ascii="Calibri" w:hAnsi="Calibri"/>
          <w:color w:val="1F2328"/>
          <w:sz w:val="22"/>
        </w:rPr>
        <w:t>technische Qualität, Datenschutz und Mandantentrennung;</w:t>
      </w:r>
    </w:p>
    <w:p>
      <w:pPr>
        <w:spacing w:before="0" w:after="80" w:line="290" w:lineRule="auto"/>
        <w:numPr>
          <w:ilvl w:val="0"/>
          <w:numId w:val="10"/>
        </w:numPr>
      </w:pPr>
      <w:r>
        <w:rPr>
          <w:rFonts w:ascii="Calibri" w:hAnsi="Calibri"/>
          <w:color w:val="1F2328"/>
          <w:sz w:val="22"/>
        </w:rPr>
        <w:t>Analyse, Strategie, Design, Programmierung und Projektleitung in Kundenprojekten.</w:t>
      </w:r>
    </w:p>
    <w:p>
      <w:r>
        <w:rPr>
          <w:rFonts w:ascii="Calibri" w:hAnsi="Calibri"/>
          <w:color w:val="1F2328"/>
          <w:sz w:val="22"/>
        </w:rPr>
        <w:t>Jonas Knüppel erwarb 2026 am Sportgymnasium Neubrandenburg das Abitur mit der Abschlussnote 1,6. Seit August 2026 ist er offiziell selbstständig und arbeitet hauptberuflich an Kernscale. Er ist Antragsteller des Gründungsstipendiums und wesentlicher technischer Kompetenzträger des Vorhabens.</w:t>
      </w:r>
    </w:p>
    <w:p>
      <w:pPr>
        <w:pStyle w:val="Heading2"/>
      </w:pPr>
      <w:r>
        <w:rPr>
          <w:rFonts w:ascii="Calibri" w:hAnsi="Calibri"/>
          <w:b/>
          <w:color w:val="2E74B5"/>
          <w:sz w:val="26"/>
        </w:rPr>
        <w:t>Linus Kern – Markt, Medien und Kunden</w:t>
      </w:r>
    </w:p>
    <w:p>
      <w:r>
        <w:rPr>
          <w:rFonts w:ascii="Calibri" w:hAnsi="Calibri"/>
          <w:color w:val="1F2328"/>
          <w:sz w:val="22"/>
        </w:rPr>
        <w:t>Linus Kern verantwortet insbesondere:</w:t>
      </w:r>
    </w:p>
    <w:p>
      <w:pPr>
        <w:spacing w:before="0" w:after="80" w:line="290" w:lineRule="auto"/>
        <w:numPr>
          <w:ilvl w:val="0"/>
          <w:numId w:val="11"/>
        </w:numPr>
      </w:pPr>
      <w:r>
        <w:rPr>
          <w:rFonts w:ascii="Calibri" w:hAnsi="Calibri"/>
          <w:color w:val="1F2328"/>
          <w:sz w:val="22"/>
        </w:rPr>
        <w:t>Marken- und Medienstrategie;</w:t>
      </w:r>
    </w:p>
    <w:p>
      <w:pPr>
        <w:spacing w:before="0" w:after="80" w:line="290" w:lineRule="auto"/>
        <w:numPr>
          <w:ilvl w:val="0"/>
          <w:numId w:val="11"/>
        </w:numPr>
      </w:pPr>
      <w:r>
        <w:rPr>
          <w:rFonts w:ascii="Calibri" w:hAnsi="Calibri"/>
          <w:color w:val="1F2328"/>
          <w:sz w:val="22"/>
        </w:rPr>
        <w:t>Kunden-, Zielgruppen- und Kommunikationsanalyse;</w:t>
      </w:r>
    </w:p>
    <w:p>
      <w:pPr>
        <w:spacing w:before="0" w:after="80" w:line="290" w:lineRule="auto"/>
        <w:numPr>
          <w:ilvl w:val="0"/>
          <w:numId w:val="11"/>
        </w:numPr>
      </w:pPr>
      <w:r>
        <w:rPr>
          <w:rFonts w:ascii="Calibri" w:hAnsi="Calibri"/>
          <w:color w:val="1F2328"/>
          <w:sz w:val="22"/>
        </w:rPr>
        <w:t>Content- und Kanalkonzeption;</w:t>
      </w:r>
    </w:p>
    <w:p>
      <w:pPr>
        <w:spacing w:before="0" w:after="80" w:line="290" w:lineRule="auto"/>
        <w:numPr>
          <w:ilvl w:val="0"/>
          <w:numId w:val="11"/>
        </w:numPr>
      </w:pPr>
      <w:r>
        <w:rPr>
          <w:rFonts w:ascii="Calibri" w:hAnsi="Calibri"/>
          <w:color w:val="1F2328"/>
          <w:sz w:val="22"/>
        </w:rPr>
        <w:t>Kundengewinnung und laufende Betreuung;</w:t>
      </w:r>
    </w:p>
    <w:p>
      <w:pPr>
        <w:spacing w:before="0" w:after="80" w:line="290" w:lineRule="auto"/>
        <w:numPr>
          <w:ilvl w:val="0"/>
          <w:numId w:val="11"/>
        </w:numPr>
      </w:pPr>
      <w:r>
        <w:rPr>
          <w:rFonts w:ascii="Calibri" w:hAnsi="Calibri"/>
          <w:color w:val="1F2328"/>
          <w:sz w:val="22"/>
        </w:rPr>
        <w:t>wirtschaftliche Validierung und Pilotierung.</w:t>
      </w:r>
    </w:p>
    <w:p>
      <w:r>
        <w:rPr>
          <w:rFonts w:ascii="Calibri" w:hAnsi="Calibri"/>
          <w:color w:val="1F2328"/>
          <w:sz w:val="22"/>
        </w:rPr>
        <w:t>Produktstrategie, Geschäftsmodell, Finanzen und Unternehmensaufbau werden gemeinsam entschieden. Die fachliche Aufteilung verbindet technische Produktentwicklung mit markt- und medienbezogener Anwendungskompetenz.</w:t>
      </w:r>
    </w:p>
    <w:p>
      <w:pPr>
        <w:pStyle w:val="Heading1"/>
      </w:pPr>
      <w:r>
        <w:rPr>
          <w:rFonts w:ascii="Calibri" w:hAnsi="Calibri"/>
          <w:b/>
          <w:color w:val="2E74B5"/>
          <w:sz w:val="32"/>
        </w:rPr>
        <w:t>3. Ausgangssituation und Kundenproblem</w:t>
      </w:r>
    </w:p>
    <w:p>
      <w:r>
        <w:rPr>
          <w:rFonts w:ascii="Calibri" w:hAnsi="Calibri"/>
          <w:color w:val="1F2328"/>
          <w:sz w:val="22"/>
        </w:rPr>
        <w:t>Viele kleine Unternehmen betreiben Websites, Social-Media-Accounts, Werbekonten, Shops, Unternehmensprofile und teilweise auch physische Kontaktpunkte getrennt voneinander. Die dazugehörigen Daten und Inhalte liegen in einzelnen Plattformen, Dateien oder bei verschiedenen Dienstleistern. Dadurch entstehen Medienbrüche und Wissensverluste:</w:t>
      </w:r>
    </w:p>
    <w:p>
      <w:pPr>
        <w:spacing w:before="0" w:after="80" w:line="290" w:lineRule="auto"/>
        <w:numPr>
          <w:ilvl w:val="0"/>
          <w:numId w:val="12"/>
        </w:numPr>
      </w:pPr>
      <w:r>
        <w:rPr>
          <w:rFonts w:ascii="Calibri" w:hAnsi="Calibri"/>
          <w:color w:val="1F2328"/>
          <w:sz w:val="22"/>
        </w:rPr>
        <w:t>Markenbotschaften und Angebote sind über Kanäle hinweg nicht konsistent;</w:t>
      </w:r>
    </w:p>
    <w:p>
      <w:pPr>
        <w:spacing w:before="0" w:after="80" w:line="290" w:lineRule="auto"/>
        <w:numPr>
          <w:ilvl w:val="0"/>
          <w:numId w:val="12"/>
        </w:numPr>
      </w:pPr>
      <w:r>
        <w:rPr>
          <w:rFonts w:ascii="Calibri" w:hAnsi="Calibri"/>
          <w:color w:val="1F2328"/>
          <w:sz w:val="22"/>
        </w:rPr>
        <w:t>Aufmerksamkeit, Websitebesuch, Anfrage und Kauf werden getrennt ausgewertet;</w:t>
      </w:r>
    </w:p>
    <w:p>
      <w:pPr>
        <w:spacing w:before="0" w:after="80" w:line="290" w:lineRule="auto"/>
        <w:numPr>
          <w:ilvl w:val="0"/>
          <w:numId w:val="12"/>
        </w:numPr>
      </w:pPr>
      <w:r>
        <w:rPr>
          <w:rFonts w:ascii="Calibri" w:hAnsi="Calibri"/>
          <w:color w:val="1F2328"/>
          <w:sz w:val="22"/>
        </w:rPr>
        <w:t>Entscheidungen beruhen häufig auf Einzelkennzahlen oder subjektiven Einschätzungen;</w:t>
      </w:r>
    </w:p>
    <w:p>
      <w:pPr>
        <w:spacing w:before="0" w:after="80" w:line="290" w:lineRule="auto"/>
        <w:numPr>
          <w:ilvl w:val="0"/>
          <w:numId w:val="12"/>
        </w:numPr>
      </w:pPr>
      <w:r>
        <w:rPr>
          <w:rFonts w:ascii="Calibri" w:hAnsi="Calibri"/>
          <w:color w:val="1F2328"/>
          <w:sz w:val="22"/>
        </w:rPr>
        <w:t>Analyse, Abstimmung und Medienproduktion verursachen hohen manuellen Aufwand;</w:t>
      </w:r>
    </w:p>
    <w:p>
      <w:pPr>
        <w:spacing w:before="0" w:after="80" w:line="290" w:lineRule="auto"/>
        <w:numPr>
          <w:ilvl w:val="0"/>
          <w:numId w:val="12"/>
        </w:numPr>
      </w:pPr>
      <w:r>
        <w:rPr>
          <w:rFonts w:ascii="Calibri" w:hAnsi="Calibri"/>
          <w:color w:val="1F2328"/>
          <w:sz w:val="22"/>
        </w:rPr>
        <w:t>Erkenntnisse aus früheren Maßnahmen werden nicht strukturiert wiederverwendet;</w:t>
      </w:r>
    </w:p>
    <w:p>
      <w:pPr>
        <w:spacing w:before="0" w:after="80" w:line="290" w:lineRule="auto"/>
        <w:numPr>
          <w:ilvl w:val="0"/>
          <w:numId w:val="12"/>
        </w:numPr>
      </w:pPr>
      <w:r>
        <w:rPr>
          <w:rFonts w:ascii="Calibri" w:hAnsi="Calibri"/>
          <w:color w:val="1F2328"/>
          <w:sz w:val="22"/>
        </w:rPr>
        <w:t>kleine Unternehmen müssen mehrere Werkzeuge oder spezialisierte Dienstleister koordinieren.</w:t>
      </w:r>
    </w:p>
    <w:p>
      <w:r>
        <w:rPr>
          <w:rFonts w:ascii="Calibri" w:hAnsi="Calibri"/>
          <w:color w:val="1F2328"/>
          <w:sz w:val="22"/>
        </w:rPr>
        <w:t>Analytics-, Publishing-, CRM- und KI-Werkzeuge lösen jeweils Teile dieses Problems. Sie schaffen jedoch nicht automatisch einen gemeinsamen, kundenspezifischen Kontext. Leistungsfähige Enterprise-Systeme sind für kleine Unternehmen häufig zu komplex oder zu kostenintensiv. Agenturleistungen bieten persönliche Umsetzung, hinterlassen aber nicht zwangsläufig eine strukturierte, kundeneigene Lern- und Entscheidungsbasis.</w:t>
      </w:r>
    </w:p>
    <w:p>
      <w:pPr>
        <w:pStyle w:val="Heading1"/>
      </w:pPr>
      <w:r>
        <w:rPr>
          <w:rFonts w:ascii="Calibri" w:hAnsi="Calibri"/>
          <w:b/>
          <w:color w:val="2E74B5"/>
          <w:sz w:val="32"/>
        </w:rPr>
        <w:t>4. Produkt und Leistungsversprechen</w:t>
      </w:r>
    </w:p>
    <w:p>
      <w:r>
        <w:rPr>
          <w:rFonts w:ascii="Calibri" w:hAnsi="Calibri"/>
          <w:color w:val="1F2328"/>
          <w:sz w:val="22"/>
        </w:rPr>
        <w:t>Der Kernscale Media Intelligence Loop soll öffentliche sowie ausdrücklich freigegebene interne Daten in einem getrennten Kunden-Workspace verarbeiten. Der Zielprozess lautet:</w:t>
      </w:r>
    </w:p>
    <w:p>
      <w:pPr>
        <w:keepLines/>
        <w:spacing w:before="80" w:after="160" w:line="240" w:lineRule="auto"/>
        <w:ind w:left="259" w:right="259"/>
        <w:jc w:val="left"/>
        <w:shd w:fill="F4F6F9"/>
      </w:pPr>
      <w:r>
        <w:rPr>
          <w:rFonts w:ascii="Consolas" w:hAnsi="Consolas"/>
          <w:color w:val="1F2328"/>
          <w:sz w:val="17"/>
        </w:rPr>
        <w:t>Quellen und Medien</w:t>
        <w:br/>
        <w:t>-&gt; strukturierte Artefakte</w:t>
        <w:br/>
        <w:t>-&gt; kanalübergreifende Signale</w:t>
        <w:br/>
        <w:t>-&gt; Marken-, Angebots-, Zielgruppen- und Funnel-Kontext</w:t>
        <w:br/>
        <w:t>-&gt; priorisierte Empfehlungen</w:t>
        <w:br/>
        <w:t>-&gt; Strategien, Skripte und Medienvarianten</w:t>
        <w:br/>
        <w:t>-&gt; menschliche Prüfung und Umsetzung</w:t>
        <w:br/>
        <w:t>-&gt; Ergebnismessung</w:t>
        <w:br/>
        <w:t>-&gt; bestätigte Lernrecords</w:t>
        <w:br/>
        <w:t>-&gt; verbesserte nächste Maßnahme</w:t>
      </w:r>
    </w:p>
    <w:p>
      <w:r>
        <w:rPr>
          <w:rFonts w:ascii="Calibri" w:hAnsi="Calibri"/>
          <w:color w:val="1F2328"/>
          <w:sz w:val="22"/>
        </w:rPr>
        <w:t>Kunden sollen dadurch nicht nur ein Dashboard erhalten. Das Leistungsversprechen umfasst:</w:t>
      </w:r>
    </w:p>
    <w:p>
      <w:pPr>
        <w:spacing w:before="0" w:after="80" w:line="290" w:lineRule="auto"/>
        <w:numPr>
          <w:ilvl w:val="0"/>
          <w:numId w:val="13"/>
        </w:numPr>
      </w:pPr>
      <w:r>
        <w:rPr>
          <w:rFonts w:ascii="Calibri" w:hAnsi="Calibri"/>
          <w:b/>
          <w:color w:val="1F2328"/>
          <w:sz w:val="22"/>
        </w:rPr>
        <w:t>Zusammenführen:</w:t>
      </w:r>
      <w:r>
        <w:rPr>
          <w:rFonts w:ascii="Calibri" w:hAnsi="Calibri"/>
          <w:color w:val="1F2328"/>
          <w:sz w:val="22"/>
        </w:rPr>
        <w:t xml:space="preserve"> Relevante Informationen werden nachvollziehbar in einem Kunden-Workspace gebündelt.</w:t>
      </w:r>
    </w:p>
    <w:p>
      <w:pPr>
        <w:spacing w:before="0" w:after="80" w:line="290" w:lineRule="auto"/>
        <w:numPr>
          <w:ilvl w:val="0"/>
          <w:numId w:val="13"/>
        </w:numPr>
      </w:pPr>
      <w:r>
        <w:rPr>
          <w:rFonts w:ascii="Calibri" w:hAnsi="Calibri"/>
          <w:b/>
          <w:color w:val="1F2328"/>
          <w:sz w:val="22"/>
        </w:rPr>
        <w:t>Verstehen:</w:t>
      </w:r>
      <w:r>
        <w:rPr>
          <w:rFonts w:ascii="Calibri" w:hAnsi="Calibri"/>
          <w:color w:val="1F2328"/>
          <w:sz w:val="22"/>
        </w:rPr>
        <w:t xml:space="preserve"> Signale werden im Kontext von Marke, Angebot, Zielgruppe und Funnel bewertet.</w:t>
      </w:r>
    </w:p>
    <w:p>
      <w:pPr>
        <w:spacing w:before="0" w:after="80" w:line="290" w:lineRule="auto"/>
        <w:numPr>
          <w:ilvl w:val="0"/>
          <w:numId w:val="13"/>
        </w:numPr>
      </w:pPr>
      <w:r>
        <w:rPr>
          <w:rFonts w:ascii="Calibri" w:hAnsi="Calibri"/>
          <w:b/>
          <w:color w:val="1F2328"/>
          <w:sz w:val="22"/>
        </w:rPr>
        <w:t>Entscheiden:</w:t>
      </w:r>
      <w:r>
        <w:rPr>
          <w:rFonts w:ascii="Calibri" w:hAnsi="Calibri"/>
          <w:color w:val="1F2328"/>
          <w:sz w:val="22"/>
        </w:rPr>
        <w:t xml:space="preserve"> Empfehlungen werden nach Evidenz, Unsicherheit, erwartetem Einfluss und Dringlichkeit priorisiert.</w:t>
      </w:r>
    </w:p>
    <w:p>
      <w:pPr>
        <w:spacing w:before="0" w:after="80" w:line="290" w:lineRule="auto"/>
        <w:numPr>
          <w:ilvl w:val="0"/>
          <w:numId w:val="13"/>
        </w:numPr>
      </w:pPr>
      <w:r>
        <w:rPr>
          <w:rFonts w:ascii="Calibri" w:hAnsi="Calibri"/>
          <w:b/>
          <w:color w:val="1F2328"/>
          <w:sz w:val="22"/>
        </w:rPr>
        <w:t>Erstellen:</w:t>
      </w:r>
      <w:r>
        <w:rPr>
          <w:rFonts w:ascii="Calibri" w:hAnsi="Calibri"/>
          <w:color w:val="1F2328"/>
          <w:sz w:val="22"/>
        </w:rPr>
        <w:t xml:space="preserve"> Strategien, Skripte und Medienvarianten werden aus dem freigegebenen Kontext vorbereitet.</w:t>
      </w:r>
    </w:p>
    <w:p>
      <w:pPr>
        <w:spacing w:before="0" w:after="80" w:line="290" w:lineRule="auto"/>
        <w:numPr>
          <w:ilvl w:val="0"/>
          <w:numId w:val="13"/>
        </w:numPr>
      </w:pPr>
      <w:r>
        <w:rPr>
          <w:rFonts w:ascii="Calibri" w:hAnsi="Calibri"/>
          <w:b/>
          <w:color w:val="1F2328"/>
          <w:sz w:val="22"/>
        </w:rPr>
        <w:t>Prüfen:</w:t>
      </w:r>
      <w:r>
        <w:rPr>
          <w:rFonts w:ascii="Calibri" w:hAnsi="Calibri"/>
          <w:color w:val="1F2328"/>
          <w:sz w:val="22"/>
        </w:rPr>
        <w:t xml:space="preserve"> Kundenwirksame Inhalte und Entscheidungen bleiben menschlich kontrolliert.</w:t>
      </w:r>
    </w:p>
    <w:p>
      <w:pPr>
        <w:spacing w:before="0" w:after="80" w:line="290" w:lineRule="auto"/>
        <w:numPr>
          <w:ilvl w:val="0"/>
          <w:numId w:val="13"/>
        </w:numPr>
      </w:pPr>
      <w:r>
        <w:rPr>
          <w:rFonts w:ascii="Calibri" w:hAnsi="Calibri"/>
          <w:b/>
          <w:color w:val="1F2328"/>
          <w:sz w:val="22"/>
        </w:rPr>
        <w:t>Messen:</w:t>
      </w:r>
      <w:r>
        <w:rPr>
          <w:rFonts w:ascii="Calibri" w:hAnsi="Calibri"/>
          <w:color w:val="1F2328"/>
          <w:sz w:val="22"/>
        </w:rPr>
        <w:t xml:space="preserve"> Ausgangszustand, Maßnahme und Ergebnis werden miteinander verknüpft.</w:t>
      </w:r>
    </w:p>
    <w:p>
      <w:pPr>
        <w:spacing w:before="0" w:after="80" w:line="290" w:lineRule="auto"/>
        <w:numPr>
          <w:ilvl w:val="0"/>
          <w:numId w:val="13"/>
        </w:numPr>
      </w:pPr>
      <w:r>
        <w:rPr>
          <w:rFonts w:ascii="Calibri" w:hAnsi="Calibri"/>
          <w:b/>
          <w:color w:val="1F2328"/>
          <w:sz w:val="22"/>
        </w:rPr>
        <w:t>Lernen:</w:t>
      </w:r>
      <w:r>
        <w:rPr>
          <w:rFonts w:ascii="Calibri" w:hAnsi="Calibri"/>
          <w:color w:val="1F2328"/>
          <w:sz w:val="22"/>
        </w:rPr>
        <w:t xml:space="preserve"> Nur bestätigte Erkenntnisse werden für spätere Maßnahmen wiederverwendet.</w:t>
      </w:r>
    </w:p>
    <w:p>
      <w:pPr>
        <w:pStyle w:val="Heading1"/>
      </w:pPr>
      <w:r>
        <w:rPr>
          <w:rFonts w:ascii="Calibri" w:hAnsi="Calibri"/>
          <w:b/>
          <w:color w:val="2E74B5"/>
          <w:sz w:val="32"/>
        </w:rPr>
        <w:t>5. Innovationsgehalt</w:t>
      </w:r>
    </w:p>
    <w:p>
      <w:r>
        <w:rPr>
          <w:rFonts w:ascii="Calibri" w:hAnsi="Calibri"/>
          <w:color w:val="1F2328"/>
          <w:sz w:val="22"/>
        </w:rPr>
        <w:t>Der Innovationsanspruch beruht nicht allein auf generativer KI und nicht auf einer einzelnen neuen Analysefunktion. Kernscale entwickelt eine systemische Verbindung aus:</w:t>
      </w:r>
    </w:p>
    <w:p>
      <w:pPr>
        <w:spacing w:before="0" w:after="80" w:line="290" w:lineRule="auto"/>
        <w:numPr>
          <w:ilvl w:val="0"/>
          <w:numId w:val="14"/>
        </w:numPr>
      </w:pPr>
      <w:r>
        <w:rPr>
          <w:rFonts w:ascii="Calibri" w:hAnsi="Calibri"/>
          <w:color w:val="1F2328"/>
          <w:sz w:val="22"/>
        </w:rPr>
        <w:t>kanalübergreifender Kontextbasis;</w:t>
      </w:r>
    </w:p>
    <w:p>
      <w:pPr>
        <w:spacing w:before="0" w:after="80" w:line="290" w:lineRule="auto"/>
        <w:numPr>
          <w:ilvl w:val="0"/>
          <w:numId w:val="14"/>
        </w:numPr>
      </w:pPr>
      <w:r>
        <w:rPr>
          <w:rFonts w:ascii="Calibri" w:hAnsi="Calibri"/>
          <w:color w:val="1F2328"/>
          <w:sz w:val="22"/>
        </w:rPr>
        <w:t>Betrachtung des vollständigen Medien- und Leistungsfunnels;</w:t>
      </w:r>
    </w:p>
    <w:p>
      <w:pPr>
        <w:spacing w:before="0" w:after="80" w:line="290" w:lineRule="auto"/>
        <w:numPr>
          <w:ilvl w:val="0"/>
          <w:numId w:val="14"/>
        </w:numPr>
      </w:pPr>
      <w:r>
        <w:rPr>
          <w:rFonts w:ascii="Calibri" w:hAnsi="Calibri"/>
          <w:color w:val="1F2328"/>
          <w:sz w:val="22"/>
        </w:rPr>
        <w:t>evidenzgebundener Analyse und Empfehlung;</w:t>
      </w:r>
    </w:p>
    <w:p>
      <w:pPr>
        <w:spacing w:before="0" w:after="80" w:line="290" w:lineRule="auto"/>
        <w:numPr>
          <w:ilvl w:val="0"/>
          <w:numId w:val="14"/>
        </w:numPr>
      </w:pPr>
      <w:r>
        <w:rPr>
          <w:rFonts w:ascii="Calibri" w:hAnsi="Calibri"/>
          <w:color w:val="1F2328"/>
          <w:sz w:val="22"/>
        </w:rPr>
        <w:t>kontextgebundener Mediengenerierung;</w:t>
      </w:r>
    </w:p>
    <w:p>
      <w:pPr>
        <w:spacing w:before="0" w:after="80" w:line="290" w:lineRule="auto"/>
        <w:numPr>
          <w:ilvl w:val="0"/>
          <w:numId w:val="14"/>
        </w:numPr>
      </w:pPr>
      <w:r>
        <w:rPr>
          <w:rFonts w:ascii="Calibri" w:hAnsi="Calibri"/>
          <w:color w:val="1F2328"/>
          <w:sz w:val="22"/>
        </w:rPr>
        <w:t>menschlicher Freigabe;</w:t>
      </w:r>
    </w:p>
    <w:p>
      <w:pPr>
        <w:spacing w:before="0" w:after="80" w:line="290" w:lineRule="auto"/>
        <w:numPr>
          <w:ilvl w:val="0"/>
          <w:numId w:val="14"/>
        </w:numPr>
      </w:pPr>
      <w:r>
        <w:rPr>
          <w:rFonts w:ascii="Calibri" w:hAnsi="Calibri"/>
          <w:color w:val="1F2328"/>
          <w:sz w:val="22"/>
        </w:rPr>
        <w:t>dokumentierter Ergebnismessung;</w:t>
      </w:r>
    </w:p>
    <w:p>
      <w:pPr>
        <w:spacing w:before="0" w:after="80" w:line="290" w:lineRule="auto"/>
        <w:numPr>
          <w:ilvl w:val="0"/>
          <w:numId w:val="14"/>
        </w:numPr>
      </w:pPr>
      <w:r>
        <w:rPr>
          <w:rFonts w:ascii="Calibri" w:hAnsi="Calibri"/>
          <w:color w:val="1F2328"/>
          <w:sz w:val="22"/>
        </w:rPr>
        <w:t>bestätigten, wiederverwendbaren Lernrecords;</w:t>
      </w:r>
    </w:p>
    <w:p>
      <w:pPr>
        <w:spacing w:before="0" w:after="80" w:line="290" w:lineRule="auto"/>
        <w:numPr>
          <w:ilvl w:val="0"/>
          <w:numId w:val="14"/>
        </w:numPr>
      </w:pPr>
      <w:r>
        <w:rPr>
          <w:rFonts w:ascii="Calibri" w:hAnsi="Calibri"/>
          <w:color w:val="1F2328"/>
          <w:sz w:val="22"/>
        </w:rPr>
        <w:t>betreuter Einführung für kleine Unternehmen.</w:t>
      </w:r>
    </w:p>
    <w:p>
      <w:r>
        <w:rPr>
          <w:rFonts w:ascii="Calibri" w:hAnsi="Calibri"/>
          <w:color w:val="1F2328"/>
          <w:sz w:val="22"/>
        </w:rPr>
        <w:t>Die angestrebte Beweiskette lautet:</w:t>
      </w:r>
    </w:p>
    <w:p>
      <w:pPr>
        <w:keepLines/>
        <w:spacing w:before="80" w:after="160" w:line="240" w:lineRule="auto"/>
        <w:ind w:left="259" w:right="259"/>
        <w:jc w:val="left"/>
        <w:shd w:fill="F4F6F9"/>
      </w:pPr>
      <w:r>
        <w:rPr>
          <w:rFonts w:ascii="Consolas" w:hAnsi="Consolas"/>
          <w:color w:val="1F2328"/>
          <w:sz w:val="17"/>
        </w:rPr>
        <w:t>Ausgangsproblem -&gt; Ausgangszustand -&gt; Empfehlung -&gt; freigegebene Maßnahme</w:t>
        <w:br/>
        <w:t>-&gt; veränderter Zustand -&gt; Ergebnis -&gt; bestätigte Erkenntnis</w:t>
      </w:r>
    </w:p>
    <w:p>
      <w:r>
        <w:rPr>
          <w:rFonts w:ascii="Calibri" w:hAnsi="Calibri"/>
          <w:color w:val="1F2328"/>
          <w:sz w:val="22"/>
        </w:rPr>
        <w:t>Der besondere Produktwert entsteht damit nicht aus möglichst vielen automatisch erzeugten Inhalten, sondern aus der nachvollziehbaren Verbindung von Datenherkunft, Entscheidung, Umsetzung und Ergebnis. Gegenüber günstigen Werkzeugkombinationen soll Kernscale Integrations- und Koordinationsaufwand reduzieren. Gegenüber Agenturleistungen soll es Wissen dauerhaft strukturiert verfügbar machen. Gegenüber Enterprise-Plattformen soll es durch betreutes Onboarding und einen begrenzten, verständlichen Funktionsumfang für kleine Unternehmen zugänglich werden.</w:t>
      </w:r>
    </w:p>
    <w:p>
      <w:pPr>
        <w:pStyle w:val="Heading1"/>
      </w:pPr>
      <w:r>
        <w:rPr>
          <w:rFonts w:ascii="Calibri" w:hAnsi="Calibri"/>
          <w:b/>
          <w:color w:val="2E74B5"/>
          <w:sz w:val="32"/>
        </w:rPr>
        <w:t>6. Aktueller Entwicklungsstand</w:t>
      </w:r>
    </w:p>
    <w:p>
      <w:r>
        <w:rPr>
          <w:rFonts w:ascii="Calibri" w:hAnsi="Calibri"/>
          <w:color w:val="1F2328"/>
          <w:sz w:val="22"/>
        </w:rPr>
        <w:t>Die Analyse des bestehenden Kernscale-Dashboard-Repositories belegt folgende technische Vorleistungen:</w:t>
      </w:r>
    </w:p>
    <w:p>
      <w:pPr>
        <w:spacing w:before="0" w:after="80" w:line="290" w:lineRule="auto"/>
        <w:numPr>
          <w:ilvl w:val="0"/>
          <w:numId w:val="15"/>
        </w:numPr>
      </w:pPr>
      <w:r>
        <w:rPr>
          <w:rFonts w:ascii="Calibri" w:hAnsi="Calibri"/>
          <w:color w:val="1F2328"/>
          <w:sz w:val="22"/>
        </w:rPr>
        <w:t>workspace-basierte Mandantentrennung mit Mitgliedschaften und Berechtigungen;</w:t>
      </w:r>
    </w:p>
    <w:p>
      <w:pPr>
        <w:spacing w:before="0" w:after="80" w:line="290" w:lineRule="auto"/>
        <w:numPr>
          <w:ilvl w:val="0"/>
          <w:numId w:val="15"/>
        </w:numPr>
      </w:pPr>
      <w:r>
        <w:rPr>
          <w:rFonts w:ascii="Calibri" w:hAnsi="Calibri"/>
          <w:color w:val="1F2328"/>
          <w:sz w:val="22"/>
        </w:rPr>
        <w:t>Modelle und reale Produktoberfläche für Quellen und Datenartefakte;</w:t>
      </w:r>
    </w:p>
    <w:p>
      <w:pPr>
        <w:spacing w:before="0" w:after="80" w:line="290" w:lineRule="auto"/>
        <w:numPr>
          <w:ilvl w:val="0"/>
          <w:numId w:val="15"/>
        </w:numPr>
      </w:pPr>
      <w:r>
        <w:rPr>
          <w:rFonts w:ascii="Calibri" w:hAnsi="Calibri"/>
          <w:color w:val="1F2328"/>
          <w:sz w:val="22"/>
        </w:rPr>
        <w:t>regelbasierte Signalerkennung mit Schwellenwerten und Schweregraden;</w:t>
      </w:r>
    </w:p>
    <w:p>
      <w:pPr>
        <w:spacing w:before="0" w:after="80" w:line="290" w:lineRule="auto"/>
        <w:numPr>
          <w:ilvl w:val="0"/>
          <w:numId w:val="15"/>
        </w:numPr>
      </w:pPr>
      <w:r>
        <w:rPr>
          <w:rFonts w:ascii="Calibri" w:hAnsi="Calibri"/>
          <w:color w:val="1F2328"/>
          <w:sz w:val="22"/>
        </w:rPr>
        <w:t>menschliche Annahme, Ablehnung und Archivierung von Signalen;</w:t>
      </w:r>
    </w:p>
    <w:p>
      <w:pPr>
        <w:spacing w:before="0" w:after="80" w:line="290" w:lineRule="auto"/>
        <w:numPr>
          <w:ilvl w:val="0"/>
          <w:numId w:val="15"/>
        </w:numPr>
      </w:pPr>
      <w:r>
        <w:rPr>
          <w:rFonts w:ascii="Calibri" w:hAnsi="Calibri"/>
          <w:color w:val="1F2328"/>
          <w:sz w:val="22"/>
        </w:rPr>
        <w:t>Promotion akzeptierter Signale in eine Knowledge Base mit Herkunftsnachweis;</w:t>
      </w:r>
    </w:p>
    <w:p>
      <w:pPr>
        <w:spacing w:before="0" w:after="80" w:line="290" w:lineRule="auto"/>
        <w:numPr>
          <w:ilvl w:val="0"/>
          <w:numId w:val="15"/>
        </w:numPr>
      </w:pPr>
      <w:r>
        <w:rPr>
          <w:rFonts w:ascii="Calibri" w:hAnsi="Calibri"/>
          <w:color w:val="1F2328"/>
          <w:sz w:val="22"/>
        </w:rPr>
        <w:t>Knowledge Graph und vorbereitete Graph-Synchronisation;</w:t>
      </w:r>
    </w:p>
    <w:p>
      <w:pPr>
        <w:spacing w:before="0" w:after="80" w:line="290" w:lineRule="auto"/>
        <w:numPr>
          <w:ilvl w:val="0"/>
          <w:numId w:val="15"/>
        </w:numPr>
      </w:pPr>
      <w:r>
        <w:rPr>
          <w:rFonts w:ascii="Calibri" w:hAnsi="Calibri"/>
          <w:color w:val="1F2328"/>
          <w:sz w:val="22"/>
        </w:rPr>
        <w:t>Empfehlungen mit Evidenz, Unsicherheit, Sensitivität und Wirkungseinschätzung;</w:t>
      </w:r>
    </w:p>
    <w:p>
      <w:pPr>
        <w:spacing w:before="0" w:after="80" w:line="290" w:lineRule="auto"/>
        <w:numPr>
          <w:ilvl w:val="0"/>
          <w:numId w:val="15"/>
        </w:numPr>
      </w:pPr>
      <w:r>
        <w:rPr>
          <w:rFonts w:ascii="Calibri" w:hAnsi="Calibri"/>
          <w:color w:val="1F2328"/>
          <w:sz w:val="22"/>
        </w:rPr>
        <w:t>Decision Queue für prüf- und freigabepflichtige Vorgänge;</w:t>
      </w:r>
    </w:p>
    <w:p>
      <w:pPr>
        <w:spacing w:before="0" w:after="80" w:line="290" w:lineRule="auto"/>
        <w:numPr>
          <w:ilvl w:val="0"/>
          <w:numId w:val="15"/>
        </w:numPr>
      </w:pPr>
      <w:r>
        <w:rPr>
          <w:rFonts w:ascii="Calibri" w:hAnsi="Calibri"/>
          <w:color w:val="1F2328"/>
          <w:sz w:val="22"/>
        </w:rPr>
        <w:t>operative Grundlagen für Kunden, Aufgaben, Dateien und Kommunikation.</w:t>
      </w:r>
    </w:p>
    <w:p>
      <w:r>
        <w:rPr>
          <w:rFonts w:ascii="Calibri" w:hAnsi="Calibri"/>
          <w:color w:val="1F2328"/>
          <w:sz w:val="22"/>
        </w:rPr>
        <w:t>Der aktuell belegte Ablauf ist:</w:t>
      </w:r>
    </w:p>
    <w:p>
      <w:pPr>
        <w:keepLines/>
        <w:spacing w:before="80" w:after="160" w:line="240" w:lineRule="auto"/>
        <w:ind w:left="259" w:right="259"/>
        <w:jc w:val="left"/>
        <w:shd w:fill="F4F6F9"/>
      </w:pPr>
      <w:r>
        <w:rPr>
          <w:rFonts w:ascii="Consolas" w:hAnsi="Consolas"/>
          <w:color w:val="1F2328"/>
          <w:sz w:val="17"/>
        </w:rPr>
        <w:t>Quelle -&gt; Artefakt -&gt; regelbasiertes Signal -&gt; menschliche Prüfung</w:t>
        <w:br/>
        <w:t>-&gt; Wissensentwurf -&gt; Empfehlung -&gt; Entscheidung</w:t>
      </w:r>
    </w:p>
    <w:p>
      <w:r>
        <w:rPr>
          <w:rFonts w:ascii="Calibri" w:hAnsi="Calibri"/>
          <w:color w:val="1F2328"/>
          <w:sz w:val="22"/>
        </w:rPr>
        <w:t>Provider-Namen im Datenmodell sind noch kein Nachweis produktiver Schnittstellen. Die Social-, Search-, Ads-, Agenten- und Workflow-Bereiche sind teilweise nur als Oberflächenstruktur oder Platzhalter angelegt. Kennzahlen auf der Startseite sind teilweise illustrative Beispieldaten. Diese Funktionen werden in externen Unterlagen nicht als fertiggestellt dargestellt.</w:t>
      </w:r>
    </w:p>
    <w:p>
      <w:pPr>
        <w:pStyle w:val="Heading1"/>
      </w:pPr>
      <w:r>
        <w:rPr>
          <w:rFonts w:ascii="Calibri" w:hAnsi="Calibri"/>
          <w:b/>
          <w:color w:val="2E74B5"/>
          <w:sz w:val="32"/>
        </w:rPr>
        <w:t>7. Entwicklungsplan ohne Zeitzuordnung</w:t>
      </w:r>
    </w:p>
    <w:p>
      <w:pPr>
        <w:pStyle w:val="Heading2"/>
      </w:pPr>
      <w:r>
        <w:rPr>
          <w:rFonts w:ascii="Calibri" w:hAnsi="Calibri"/>
          <w:b/>
          <w:color w:val="2E74B5"/>
          <w:sz w:val="26"/>
        </w:rPr>
        <w:t>Arbeitspaket A – Produktive Datenquellen</w:t>
      </w:r>
    </w:p>
    <w:p>
      <w:r>
        <w:rPr>
          <w:rFonts w:ascii="Calibri" w:hAnsi="Calibri"/>
          <w:color w:val="1F2328"/>
          <w:sz w:val="22"/>
        </w:rPr>
        <w:t>Ziel ist eine belastbare Aufnahme ausgewählter öffentlicher und kundenseitig autorisierter Daten. Dazu gehören modulare Schnittstellen, strukturierte Importe, Synchronisationsstatus, Herkunftsnachweise und Fehlerbehandlung.</w:t>
      </w:r>
    </w:p>
    <w:p>
      <w:r>
        <w:rPr>
          <w:rFonts w:ascii="Calibri" w:hAnsi="Calibri"/>
          <w:b/>
          <w:color w:val="1F2328"/>
          <w:sz w:val="22"/>
        </w:rPr>
        <w:t>Abnahmekriterien:</w:t>
      </w:r>
      <w:r>
        <w:rPr>
          <w:rFonts w:ascii="Calibri" w:hAnsi="Calibri"/>
          <w:color w:val="1F2328"/>
          <w:sz w:val="22"/>
        </w:rPr>
        <w:t xml:space="preserve"> Ein Kunde kann mindestens die priorisierten Startquellen verbinden oder strukturiert importieren; jeder Datensatz besitzt Workspace-Zuordnung, Herkunft, Aktualitätsstatus und nachvollziehbaren Sync-Fehlerzustand.</w:t>
      </w:r>
    </w:p>
    <w:p>
      <w:pPr>
        <w:pStyle w:val="Heading2"/>
      </w:pPr>
      <w:r>
        <w:rPr>
          <w:rFonts w:ascii="Calibri" w:hAnsi="Calibri"/>
          <w:b/>
          <w:color w:val="2E74B5"/>
          <w:sz w:val="26"/>
        </w:rPr>
        <w:t>Arbeitspaket B – Marken- und Funnel-Kontext</w:t>
      </w:r>
    </w:p>
    <w:p>
      <w:r>
        <w:rPr>
          <w:rFonts w:ascii="Calibri" w:hAnsi="Calibri"/>
          <w:color w:val="1F2328"/>
          <w:sz w:val="22"/>
        </w:rPr>
        <w:t>Marke, Angebote, Zielgruppen, Kanäle, Funnelstufen, Tonalität, Einschränkungen und relevante Geschäftsziele werden als versionierter, freigabefähiger Kontext abgebildet.</w:t>
      </w:r>
    </w:p>
    <w:p>
      <w:r>
        <w:rPr>
          <w:rFonts w:ascii="Calibri" w:hAnsi="Calibri"/>
          <w:b/>
          <w:color w:val="1F2328"/>
          <w:sz w:val="22"/>
        </w:rPr>
        <w:t>Abnahmekriterien:</w:t>
      </w:r>
      <w:r>
        <w:rPr>
          <w:rFonts w:ascii="Calibri" w:hAnsi="Calibri"/>
          <w:color w:val="1F2328"/>
          <w:sz w:val="22"/>
        </w:rPr>
        <w:t xml:space="preserve"> Empfehlungen und Generierungen können auf konkrete freigegebene Kontextelemente verweisen; Änderungen und Konflikte bleiben nachvollziehbar.</w:t>
      </w:r>
    </w:p>
    <w:p>
      <w:pPr>
        <w:pStyle w:val="Heading2"/>
      </w:pPr>
      <w:r>
        <w:rPr>
          <w:rFonts w:ascii="Calibri" w:hAnsi="Calibri"/>
          <w:b/>
          <w:color w:val="2E74B5"/>
          <w:sz w:val="26"/>
        </w:rPr>
        <w:t>Arbeitspaket C – Kanalübergreifende Analyse</w:t>
      </w:r>
    </w:p>
    <w:p>
      <w:r>
        <w:rPr>
          <w:rFonts w:ascii="Calibri" w:hAnsi="Calibri"/>
          <w:color w:val="1F2328"/>
          <w:sz w:val="22"/>
        </w:rPr>
        <w:t>Die bisherige regelbasierte Erkennung wird um Datenqualität, vergleichbare Kennzahlen, kanalübergreifende Muster und KI-gestützte Auswertung erweitert.</w:t>
      </w:r>
    </w:p>
    <w:p>
      <w:r>
        <w:rPr>
          <w:rFonts w:ascii="Calibri" w:hAnsi="Calibri"/>
          <w:b/>
          <w:color w:val="1F2328"/>
          <w:sz w:val="22"/>
        </w:rPr>
        <w:t>Abnahmekriterien:</w:t>
      </w:r>
      <w:r>
        <w:rPr>
          <w:rFonts w:ascii="Calibri" w:hAnsi="Calibri"/>
          <w:color w:val="1F2328"/>
          <w:sz w:val="22"/>
        </w:rPr>
        <w:t xml:space="preserve"> Jedes Signal nennt Quelle, Evidenz, Unsicherheit und betroffene Funnelstufe; fehlende oder widersprüchliche Daten werden sichtbar und nicht als sichere Erkenntnis behandelt.</w:t>
      </w:r>
    </w:p>
    <w:p>
      <w:pPr>
        <w:pStyle w:val="Heading2"/>
      </w:pPr>
      <w:r>
        <w:rPr>
          <w:rFonts w:ascii="Calibri" w:hAnsi="Calibri"/>
          <w:b/>
          <w:color w:val="2E74B5"/>
          <w:sz w:val="26"/>
        </w:rPr>
        <w:t>Arbeitspaket D – Strategie- und Mediengenerierung</w:t>
      </w:r>
    </w:p>
    <w:p>
      <w:r>
        <w:rPr>
          <w:rFonts w:ascii="Calibri" w:hAnsi="Calibri"/>
          <w:color w:val="1F2328"/>
          <w:sz w:val="22"/>
        </w:rPr>
        <w:t>Aus freigegebenem Kontext und akzeptierten Signalen entstehen Strategien, Skripte, Varianten und Produktionsaufträge. Generierte Inhalte bleiben Entwürfe.</w:t>
      </w:r>
    </w:p>
    <w:p>
      <w:r>
        <w:rPr>
          <w:rFonts w:ascii="Calibri" w:hAnsi="Calibri"/>
          <w:b/>
          <w:color w:val="1F2328"/>
          <w:sz w:val="22"/>
        </w:rPr>
        <w:t>Abnahmekriterien:</w:t>
      </w:r>
      <w:r>
        <w:rPr>
          <w:rFonts w:ascii="Calibri" w:hAnsi="Calibri"/>
          <w:color w:val="1F2328"/>
          <w:sz w:val="22"/>
        </w:rPr>
        <w:t xml:space="preserve"> Jede Ausgabe ist mit Kontext und Empfehlung verknüpft, versioniert und vor externer Nutzung freigabepflichtig.</w:t>
      </w:r>
    </w:p>
    <w:p>
      <w:pPr>
        <w:pStyle w:val="Heading2"/>
      </w:pPr>
      <w:r>
        <w:rPr>
          <w:rFonts w:ascii="Calibri" w:hAnsi="Calibri"/>
          <w:b/>
          <w:color w:val="2E74B5"/>
          <w:sz w:val="26"/>
        </w:rPr>
        <w:t>Arbeitspaket E – Umsetzung und Ergebnismessung</w:t>
      </w:r>
    </w:p>
    <w:p>
      <w:r>
        <w:rPr>
          <w:rFonts w:ascii="Calibri" w:hAnsi="Calibri"/>
          <w:color w:val="1F2328"/>
          <w:sz w:val="22"/>
        </w:rPr>
        <w:t>Ausgangszustand, Maßnahme, Messfenster und Ergebnis werden strukturiert miteinander verknüpft. Neben Leistungskennzahlen werden alternative Erklärungen und Datenlücken dokumentiert.</w:t>
      </w:r>
    </w:p>
    <w:p>
      <w:r>
        <w:rPr>
          <w:rFonts w:ascii="Calibri" w:hAnsi="Calibri"/>
          <w:b/>
          <w:color w:val="1F2328"/>
          <w:sz w:val="22"/>
        </w:rPr>
        <w:t>Abnahmekriterien:</w:t>
      </w:r>
      <w:r>
        <w:rPr>
          <w:rFonts w:ascii="Calibri" w:hAnsi="Calibri"/>
          <w:color w:val="1F2328"/>
          <w:sz w:val="22"/>
        </w:rPr>
        <w:t xml:space="preserve"> Für Pilotmaßnahmen existieren nachvollziehbare Vorher-/Nachher-Snapshots sowie eine dokumentierte Bewertung, ohne Scheinkausalität als gesicherten Effekt auszugeben.</w:t>
      </w:r>
    </w:p>
    <w:p>
      <w:pPr>
        <w:pStyle w:val="Heading2"/>
      </w:pPr>
      <w:r>
        <w:rPr>
          <w:rFonts w:ascii="Calibri" w:hAnsi="Calibri"/>
          <w:b/>
          <w:color w:val="2E74B5"/>
          <w:sz w:val="26"/>
        </w:rPr>
        <w:t>Arbeitspaket F – Bestätigter Lernloop</w:t>
      </w:r>
    </w:p>
    <w:p>
      <w:r>
        <w:rPr>
          <w:rFonts w:ascii="Calibri" w:hAnsi="Calibri"/>
          <w:color w:val="1F2328"/>
          <w:sz w:val="22"/>
        </w:rPr>
        <w:t>Ergebnisse werden nicht automatisch zu Wissen. Erst nach menschlicher Bewertung können sie als bestätigte Lernrecords in spätere Analysen einfließen.</w:t>
      </w:r>
    </w:p>
    <w:p>
      <w:r>
        <w:rPr>
          <w:rFonts w:ascii="Calibri" w:hAnsi="Calibri"/>
          <w:b/>
          <w:color w:val="1F2328"/>
          <w:sz w:val="22"/>
        </w:rPr>
        <w:t>Abnahmekriterien:</w:t>
      </w:r>
      <w:r>
        <w:rPr>
          <w:rFonts w:ascii="Calibri" w:hAnsi="Calibri"/>
          <w:color w:val="1F2328"/>
          <w:sz w:val="22"/>
        </w:rPr>
        <w:t xml:space="preserve"> Ein Lernrecord verknüpft Ausgangslage, Maßnahme, Ergebnis, Evidenz, Unsicherheit, Gültigkeitsbereich, Freigabe und Herkunft; widersprechende spätere Ergebnisse können ergänzt werden.</w:t>
      </w:r>
    </w:p>
    <w:p>
      <w:pPr>
        <w:pStyle w:val="Heading2"/>
      </w:pPr>
      <w:r>
        <w:rPr>
          <w:rFonts w:ascii="Calibri" w:hAnsi="Calibri"/>
          <w:b/>
          <w:color w:val="2E74B5"/>
          <w:sz w:val="26"/>
        </w:rPr>
        <w:t>Arbeitspaket G – Kundenverständliche Produktoberflächen</w:t>
      </w:r>
    </w:p>
    <w:p>
      <w:r>
        <w:rPr>
          <w:rFonts w:ascii="Calibri" w:hAnsi="Calibri"/>
          <w:color w:val="1F2328"/>
          <w:sz w:val="22"/>
        </w:rPr>
        <w:t>Die vorhandenen Shell-Seiten werden zu produktiven Social-, Search-, Ads-, AI- und Workflow-Oberflächen weiterentwickelt. Der Fokus liegt auf Priorisierung und Handlung, nicht auf möglichst vielen Diagrammen.</w:t>
      </w:r>
    </w:p>
    <w:p>
      <w:r>
        <w:rPr>
          <w:rFonts w:ascii="Calibri" w:hAnsi="Calibri"/>
          <w:b/>
          <w:color w:val="1F2328"/>
          <w:sz w:val="22"/>
        </w:rPr>
        <w:t>Abnahmekriterien:</w:t>
      </w:r>
      <w:r>
        <w:rPr>
          <w:rFonts w:ascii="Calibri" w:hAnsi="Calibri"/>
          <w:color w:val="1F2328"/>
          <w:sz w:val="22"/>
        </w:rPr>
        <w:t xml:space="preserve"> Kunden können Quellenzustand, wichtigste Signale, offene Entscheidungen, umgesetzte Maßnahmen und bestätigte Erkenntnisse ohne technische Detailkenntnisse nachvollziehen.</w:t>
      </w:r>
    </w:p>
    <w:p>
      <w:pPr>
        <w:pStyle w:val="Heading2"/>
      </w:pPr>
      <w:r>
        <w:rPr>
          <w:rFonts w:ascii="Calibri" w:hAnsi="Calibri"/>
          <w:b/>
          <w:color w:val="2E74B5"/>
          <w:sz w:val="26"/>
        </w:rPr>
        <w:t>Sachliche Abhängigkeiten</w:t>
      </w:r>
    </w:p>
    <w:p>
      <w:r>
        <w:rPr>
          <w:rFonts w:ascii="Calibri" w:hAnsi="Calibri"/>
          <w:color w:val="1F2328"/>
          <w:sz w:val="22"/>
        </w:rPr>
        <w:t>Die Datenquellen und das Kontextmodell bilden die Grundlage für Analyse und Generierung. Freigabeworkflows müssen vor kundenwirksamer Automatisierung bestehen. Ergebnismessung ist Voraussetzung für den bestätigten Lernloop. Konkrete Entwicklungszeiträume werden erst nach Auswahl der Startintegrationen und Pilotkunden ergänzt.</w:t>
      </w:r>
    </w:p>
    <w:p>
      <w:pPr>
        <w:pStyle w:val="Heading1"/>
      </w:pPr>
      <w:r>
        <w:rPr>
          <w:rFonts w:ascii="Calibri" w:hAnsi="Calibri"/>
          <w:b/>
          <w:color w:val="2E74B5"/>
          <w:sz w:val="32"/>
        </w:rPr>
        <w:t>8. Zielkunden und Markteintritt</w:t>
      </w:r>
    </w:p>
    <w:p>
      <w:r>
        <w:rPr>
          <w:rFonts w:ascii="Calibri" w:hAnsi="Calibri"/>
          <w:color w:val="1F2328"/>
          <w:sz w:val="22"/>
        </w:rPr>
        <w:t>Die erste Zielgruppe umfasst:</w:t>
      </w:r>
    </w:p>
    <w:p>
      <w:pPr>
        <w:spacing w:before="0" w:after="80" w:line="290" w:lineRule="auto"/>
        <w:numPr>
          <w:ilvl w:val="0"/>
          <w:numId w:val="16"/>
        </w:numPr>
      </w:pPr>
      <w:r>
        <w:rPr>
          <w:rFonts w:ascii="Calibri" w:hAnsi="Calibri"/>
          <w:color w:val="1F2328"/>
          <w:sz w:val="22"/>
        </w:rPr>
        <w:t>lokale und physische Dienstleistungsunternehmen mit mehreren Kontaktpunkten;</w:t>
      </w:r>
    </w:p>
    <w:p>
      <w:pPr>
        <w:spacing w:before="0" w:after="80" w:line="290" w:lineRule="auto"/>
        <w:numPr>
          <w:ilvl w:val="0"/>
          <w:numId w:val="16"/>
        </w:numPr>
      </w:pPr>
      <w:r>
        <w:rPr>
          <w:rFonts w:ascii="Calibri" w:hAnsi="Calibri"/>
          <w:color w:val="1F2328"/>
          <w:sz w:val="22"/>
        </w:rPr>
        <w:t>kleine Unternehmen ohne eigenes Marketing- oder Datenteam;</w:t>
      </w:r>
    </w:p>
    <w:p>
      <w:pPr>
        <w:spacing w:before="0" w:after="80" w:line="290" w:lineRule="auto"/>
        <w:numPr>
          <w:ilvl w:val="0"/>
          <w:numId w:val="16"/>
        </w:numPr>
      </w:pPr>
      <w:r>
        <w:rPr>
          <w:rFonts w:ascii="Calibri" w:hAnsi="Calibri"/>
          <w:color w:val="1F2328"/>
          <w:sz w:val="22"/>
        </w:rPr>
        <w:t>kleinere E-Commerce-Unternehmen mit getrennten Shop-, Social-, Werbe- und Webdaten;</w:t>
      </w:r>
    </w:p>
    <w:p>
      <w:pPr>
        <w:spacing w:before="0" w:after="80" w:line="290" w:lineRule="auto"/>
        <w:numPr>
          <w:ilvl w:val="0"/>
          <w:numId w:val="16"/>
        </w:numPr>
      </w:pPr>
      <w:r>
        <w:rPr>
          <w:rFonts w:ascii="Calibri" w:hAnsi="Calibri"/>
          <w:color w:val="1F2328"/>
          <w:sz w:val="22"/>
        </w:rPr>
        <w:t>Unternehmen mit wiederkehrendem Analyse-, Content- und Optimierungsbedarf;</w:t>
      </w:r>
    </w:p>
    <w:p>
      <w:pPr>
        <w:spacing w:before="0" w:after="80" w:line="290" w:lineRule="auto"/>
        <w:numPr>
          <w:ilvl w:val="0"/>
          <w:numId w:val="16"/>
        </w:numPr>
      </w:pPr>
      <w:r>
        <w:rPr>
          <w:rFonts w:ascii="Calibri" w:hAnsi="Calibri"/>
          <w:color w:val="1F2328"/>
          <w:sz w:val="22"/>
        </w:rPr>
        <w:t>Kunden, die kontrollierten Datenzugang und menschliche Freigabe akzeptieren.</w:t>
      </w:r>
    </w:p>
    <w:p>
      <w:r>
        <w:rPr>
          <w:rFonts w:ascii="Calibri" w:hAnsi="Calibri"/>
          <w:color w:val="1F2328"/>
          <w:sz w:val="22"/>
        </w:rPr>
        <w:t>Der Markteintritt erfolgt über vorhandene Dienstleistungskompetenz und direkte Kundenbeziehungen. Kernscale hat bereits Leistungen für vier zahlende Kunden aus lokalen beziehungsweise physischen Dienstleistungsbereichen und dem E-Commerce-Umfeld erbracht. Diese Kunden kauften Websites, Accounts und verwandte Leistungen, nicht den fertigen Media Intelligence Loop.</w:t>
      </w:r>
    </w:p>
    <w:p>
      <w:r>
        <w:rPr>
          <w:rFonts w:ascii="Calibri" w:hAnsi="Calibri"/>
          <w:color w:val="1F2328"/>
          <w:sz w:val="22"/>
        </w:rPr>
        <w:t>Der geplante Vertriebsweg besteht aus:</w:t>
      </w:r>
    </w:p>
    <w:p>
      <w:pPr>
        <w:spacing w:before="0" w:after="80" w:line="290" w:lineRule="auto"/>
        <w:numPr>
          <w:ilvl w:val="0"/>
          <w:numId w:val="17"/>
        </w:numPr>
      </w:pPr>
      <w:r>
        <w:rPr>
          <w:rFonts w:ascii="Calibri" w:hAnsi="Calibri"/>
          <w:color w:val="1F2328"/>
          <w:sz w:val="22"/>
        </w:rPr>
        <w:t>direkter Ansprache, Empfehlungen und vorhandenen Kontakten;</w:t>
      </w:r>
    </w:p>
    <w:p>
      <w:pPr>
        <w:spacing w:before="0" w:after="80" w:line="290" w:lineRule="auto"/>
        <w:numPr>
          <w:ilvl w:val="0"/>
          <w:numId w:val="17"/>
        </w:numPr>
      </w:pPr>
      <w:r>
        <w:rPr>
          <w:rFonts w:ascii="Calibri" w:hAnsi="Calibri"/>
          <w:color w:val="1F2328"/>
          <w:sz w:val="22"/>
        </w:rPr>
        <w:t>Einstiegsanalyse und Auswahl der wichtigsten Datenquellen;</w:t>
      </w:r>
    </w:p>
    <w:p>
      <w:pPr>
        <w:spacing w:before="0" w:after="80" w:line="290" w:lineRule="auto"/>
        <w:numPr>
          <w:ilvl w:val="0"/>
          <w:numId w:val="17"/>
        </w:numPr>
      </w:pPr>
      <w:r>
        <w:rPr>
          <w:rFonts w:ascii="Calibri" w:hAnsi="Calibri"/>
          <w:color w:val="1F2328"/>
          <w:sz w:val="22"/>
        </w:rPr>
        <w:t>betreuter Einrichtung und Dokumentation des Ausgangsproblems;</w:t>
      </w:r>
    </w:p>
    <w:p>
      <w:pPr>
        <w:spacing w:before="0" w:after="80" w:line="290" w:lineRule="auto"/>
        <w:numPr>
          <w:ilvl w:val="0"/>
          <w:numId w:val="17"/>
        </w:numPr>
      </w:pPr>
      <w:r>
        <w:rPr>
          <w:rFonts w:ascii="Calibri" w:hAnsi="Calibri"/>
          <w:color w:val="1F2328"/>
          <w:sz w:val="22"/>
        </w:rPr>
        <w:t>Pilotmaßnahme mit menschlicher Freigabe und Messziel;</w:t>
      </w:r>
    </w:p>
    <w:p>
      <w:pPr>
        <w:spacing w:before="0" w:after="80" w:line="290" w:lineRule="auto"/>
        <w:numPr>
          <w:ilvl w:val="0"/>
          <w:numId w:val="17"/>
        </w:numPr>
      </w:pPr>
      <w:r>
        <w:rPr>
          <w:rFonts w:ascii="Calibri" w:hAnsi="Calibri"/>
          <w:color w:val="1F2328"/>
          <w:sz w:val="22"/>
        </w:rPr>
        <w:t>Auswertung von Nutzung, Ergebnis und Zahlungsbereitschaft;</w:t>
      </w:r>
    </w:p>
    <w:p>
      <w:pPr>
        <w:spacing w:before="0" w:after="80" w:line="290" w:lineRule="auto"/>
        <w:numPr>
          <w:ilvl w:val="0"/>
          <w:numId w:val="17"/>
        </w:numPr>
      </w:pPr>
      <w:r>
        <w:rPr>
          <w:rFonts w:ascii="Calibri" w:hAnsi="Calibri"/>
          <w:color w:val="1F2328"/>
          <w:sz w:val="22"/>
        </w:rPr>
        <w:t>Überführung in Plattform- und Betreuungsvertrag;</w:t>
      </w:r>
    </w:p>
    <w:p>
      <w:pPr>
        <w:spacing w:before="0" w:after="80" w:line="290" w:lineRule="auto"/>
        <w:numPr>
          <w:ilvl w:val="0"/>
          <w:numId w:val="17"/>
        </w:numPr>
      </w:pPr>
      <w:r>
        <w:rPr>
          <w:rFonts w:ascii="Calibri" w:hAnsi="Calibri"/>
          <w:color w:val="1F2328"/>
          <w:sz w:val="22"/>
        </w:rPr>
        <w:t>Nutzung ausschließlich freigegebener, anonymisierter Fallbeispiele für weiteren Vertrieb.</w:t>
      </w:r>
    </w:p>
    <w:p>
      <w:pPr>
        <w:pStyle w:val="Heading1"/>
      </w:pPr>
      <w:r>
        <w:rPr>
          <w:rFonts w:ascii="Calibri" w:hAnsi="Calibri"/>
          <w:b/>
          <w:color w:val="2E74B5"/>
          <w:sz w:val="32"/>
        </w:rPr>
        <w:t>9. Geschäfts- und Erlösmodell</w:t>
      </w:r>
    </w:p>
    <w:p>
      <w:r>
        <w:rPr>
          <w:rFonts w:ascii="Calibri" w:hAnsi="Calibri"/>
          <w:color w:val="1F2328"/>
          <w:sz w:val="22"/>
        </w:rPr>
        <w:t>Kernscale positioniert sich zwischen klassischer Agentur und komplexem Self-Service-SaaS. Geplant sind fünf Erlösbausteine:</w:t>
      </w:r>
    </w:p>
    <w:p>
      <w:pPr>
        <w:spacing w:before="0" w:after="80" w:line="290" w:lineRule="auto"/>
        <w:numPr>
          <w:ilvl w:val="0"/>
          <w:numId w:val="18"/>
        </w:numPr>
      </w:pPr>
      <w:r>
        <w:rPr>
          <w:rFonts w:ascii="Calibri" w:hAnsi="Calibri"/>
          <w:color w:val="1F2328"/>
          <w:sz w:val="22"/>
        </w:rPr>
        <w:t>einmalige Analyse- und Einrichtungspauschale;</w:t>
      </w:r>
    </w:p>
    <w:p>
      <w:pPr>
        <w:spacing w:before="0" w:after="80" w:line="290" w:lineRule="auto"/>
        <w:numPr>
          <w:ilvl w:val="0"/>
          <w:numId w:val="18"/>
        </w:numPr>
      </w:pPr>
      <w:r>
        <w:rPr>
          <w:rFonts w:ascii="Calibri" w:hAnsi="Calibri"/>
          <w:color w:val="1F2328"/>
          <w:sz w:val="22"/>
        </w:rPr>
        <w:t>monatliche Plattformgebühr;</w:t>
      </w:r>
    </w:p>
    <w:p>
      <w:pPr>
        <w:spacing w:before="0" w:after="80" w:line="290" w:lineRule="auto"/>
        <w:numPr>
          <w:ilvl w:val="0"/>
          <w:numId w:val="18"/>
        </w:numPr>
      </w:pPr>
      <w:r>
        <w:rPr>
          <w:rFonts w:ascii="Calibri" w:hAnsi="Calibri"/>
          <w:color w:val="1F2328"/>
          <w:sz w:val="22"/>
        </w:rPr>
        <w:t>monatliche Betreuungs- und Optimierungspauschale;</w:t>
      </w:r>
    </w:p>
    <w:p>
      <w:pPr>
        <w:spacing w:before="0" w:after="80" w:line="290" w:lineRule="auto"/>
        <w:numPr>
          <w:ilvl w:val="0"/>
          <w:numId w:val="18"/>
        </w:numPr>
      </w:pPr>
      <w:r>
        <w:rPr>
          <w:rFonts w:ascii="Calibri" w:hAnsi="Calibri"/>
          <w:color w:val="1F2328"/>
          <w:sz w:val="22"/>
        </w:rPr>
        <w:t>optionale Produktionsleistungen für Websites, Accounts und Medien;</w:t>
      </w:r>
    </w:p>
    <w:p>
      <w:pPr>
        <w:spacing w:before="0" w:after="80" w:line="290" w:lineRule="auto"/>
        <w:numPr>
          <w:ilvl w:val="0"/>
          <w:numId w:val="18"/>
        </w:numPr>
      </w:pPr>
      <w:r>
        <w:rPr>
          <w:rFonts w:ascii="Calibri" w:hAnsi="Calibri"/>
          <w:color w:val="1F2328"/>
          <w:sz w:val="22"/>
        </w:rPr>
        <w:t>nutzungsabhängige Weiterberechnung besonders hoher KI-, Agenten- oder Tokenkosten.</w:t>
      </w:r>
    </w:p>
    <w:p>
      <w:r>
        <w:rPr>
          <w:rFonts w:ascii="Calibri" w:hAnsi="Calibri"/>
          <w:color w:val="1F2328"/>
          <w:sz w:val="22"/>
        </w:rPr>
        <w:t>Die Kombination erlaubt einen betreuten Einstieg und anschließend wiederkehrende Erlöse. Standardisierbare Daten-, Analyse-, Freigabe- und Reportingprozesse sollen verhindern, dass Unternehmenswachstum ausschließlich proportional zu manuellen Agenturstunden erfolgt.</w:t>
      </w:r>
    </w:p>
    <w:p>
      <w:r>
        <w:rPr>
          <w:rFonts w:ascii="Calibri" w:hAnsi="Calibri"/>
          <w:color w:val="1F2328"/>
          <w:sz w:val="22"/>
        </w:rPr>
        <w:t xml:space="preserve">Das bestätigte wirtschaftliche Ziel beträgt </w:t>
      </w:r>
      <w:r>
        <w:rPr>
          <w:rFonts w:ascii="Calibri" w:hAnsi="Calibri"/>
          <w:b/>
          <w:color w:val="1F2328"/>
          <w:sz w:val="22"/>
        </w:rPr>
        <w:t>10.000 Euro Monatsumsatz bis Ende 2026</w:t>
      </w:r>
      <w:r>
        <w:rPr>
          <w:rFonts w:ascii="Calibri" w:hAnsi="Calibri"/>
          <w:color w:val="1F2328"/>
          <w:sz w:val="22"/>
        </w:rPr>
        <w:t>. Dabei handelt es sich um ein Ziel und nicht um bereits erzielten Umsatz. Ob der Zielwert netto oder brutto gemeint ist, wird vor Einreichung verbindlich festgelegt.</w:t>
      </w:r>
    </w:p>
    <w:p>
      <w:pPr>
        <w:pStyle w:val="Heading1"/>
      </w:pPr>
      <w:r>
        <w:rPr>
          <w:rFonts w:ascii="Calibri" w:hAnsi="Calibri"/>
          <w:b/>
          <w:color w:val="2E74B5"/>
          <w:sz w:val="32"/>
        </w:rPr>
        <w:t>10. Leistungserbringung und Betrieb</w:t>
      </w:r>
    </w:p>
    <w:p>
      <w:r>
        <w:rPr>
          <w:rFonts w:ascii="Calibri" w:hAnsi="Calibri"/>
          <w:color w:val="1F2328"/>
          <w:sz w:val="22"/>
        </w:rPr>
        <w:t>Der Kundenprozess soll folgende Schritte umfassen:</w:t>
      </w:r>
    </w:p>
    <w:p>
      <w:pPr>
        <w:spacing w:before="0" w:after="80" w:line="290" w:lineRule="auto"/>
        <w:numPr>
          <w:ilvl w:val="0"/>
          <w:numId w:val="19"/>
        </w:numPr>
      </w:pPr>
      <w:r>
        <w:rPr>
          <w:rFonts w:ascii="Calibri" w:hAnsi="Calibri"/>
          <w:color w:val="1F2328"/>
          <w:sz w:val="22"/>
        </w:rPr>
        <w:t>Prüfung von Bedarf, Kanälen, Datenzugängen und Erwartungen;</w:t>
      </w:r>
    </w:p>
    <w:p>
      <w:pPr>
        <w:spacing w:before="0" w:after="80" w:line="290" w:lineRule="auto"/>
        <w:numPr>
          <w:ilvl w:val="0"/>
          <w:numId w:val="19"/>
        </w:numPr>
      </w:pPr>
      <w:r>
        <w:rPr>
          <w:rFonts w:ascii="Calibri" w:hAnsi="Calibri"/>
          <w:color w:val="1F2328"/>
          <w:sz w:val="22"/>
        </w:rPr>
        <w:t>Vereinbarung von Zweck, Rollen, Freigaben und Messgrößen;</w:t>
      </w:r>
    </w:p>
    <w:p>
      <w:pPr>
        <w:spacing w:before="0" w:after="80" w:line="290" w:lineRule="auto"/>
        <w:numPr>
          <w:ilvl w:val="0"/>
          <w:numId w:val="19"/>
        </w:numPr>
      </w:pPr>
      <w:r>
        <w:rPr>
          <w:rFonts w:ascii="Calibri" w:hAnsi="Calibri"/>
          <w:color w:val="1F2328"/>
          <w:sz w:val="22"/>
        </w:rPr>
        <w:t>Einrichtung eines getrennten Kunden-Workspaces;</w:t>
      </w:r>
    </w:p>
    <w:p>
      <w:pPr>
        <w:spacing w:before="0" w:after="80" w:line="290" w:lineRule="auto"/>
        <w:numPr>
          <w:ilvl w:val="0"/>
          <w:numId w:val="19"/>
        </w:numPr>
      </w:pPr>
      <w:r>
        <w:rPr>
          <w:rFonts w:ascii="Calibri" w:hAnsi="Calibri"/>
          <w:color w:val="1F2328"/>
          <w:sz w:val="22"/>
        </w:rPr>
        <w:t>Aufnahme beziehungsweise Verbindung priorisierter Quellen;</w:t>
      </w:r>
    </w:p>
    <w:p>
      <w:pPr>
        <w:spacing w:before="0" w:after="80" w:line="290" w:lineRule="auto"/>
        <w:numPr>
          <w:ilvl w:val="0"/>
          <w:numId w:val="19"/>
        </w:numPr>
      </w:pPr>
      <w:r>
        <w:rPr>
          <w:rFonts w:ascii="Calibri" w:hAnsi="Calibri"/>
          <w:color w:val="1F2328"/>
          <w:sz w:val="22"/>
        </w:rPr>
        <w:t>Aufbau und Kundenfreigabe des Marken- und Geschäftskontexts;</w:t>
      </w:r>
    </w:p>
    <w:p>
      <w:pPr>
        <w:spacing w:before="0" w:after="80" w:line="290" w:lineRule="auto"/>
        <w:numPr>
          <w:ilvl w:val="0"/>
          <w:numId w:val="19"/>
        </w:numPr>
      </w:pPr>
      <w:r>
        <w:rPr>
          <w:rFonts w:ascii="Calibri" w:hAnsi="Calibri"/>
          <w:color w:val="1F2328"/>
          <w:sz w:val="22"/>
        </w:rPr>
        <w:t>Erzeugung und Prüfung erster Signale und Empfehlungen;</w:t>
      </w:r>
    </w:p>
    <w:p>
      <w:pPr>
        <w:spacing w:before="0" w:after="80" w:line="290" w:lineRule="auto"/>
        <w:numPr>
          <w:ilvl w:val="0"/>
          <w:numId w:val="19"/>
        </w:numPr>
      </w:pPr>
      <w:r>
        <w:rPr>
          <w:rFonts w:ascii="Calibri" w:hAnsi="Calibri"/>
          <w:color w:val="1F2328"/>
          <w:sz w:val="22"/>
        </w:rPr>
        <w:t>Umsetzung ausgewählter Maßnahmen durch Kunde oder Kernscale;</w:t>
      </w:r>
    </w:p>
    <w:p>
      <w:pPr>
        <w:spacing w:before="0" w:after="80" w:line="290" w:lineRule="auto"/>
        <w:numPr>
          <w:ilvl w:val="0"/>
          <w:numId w:val="19"/>
        </w:numPr>
      </w:pPr>
      <w:r>
        <w:rPr>
          <w:rFonts w:ascii="Calibri" w:hAnsi="Calibri"/>
          <w:color w:val="1F2328"/>
          <w:sz w:val="22"/>
        </w:rPr>
        <w:t>Ergebnisbewertung und Entscheidung über einen Lernrecord;</w:t>
      </w:r>
    </w:p>
    <w:p>
      <w:pPr>
        <w:spacing w:before="0" w:after="80" w:line="290" w:lineRule="auto"/>
        <w:numPr>
          <w:ilvl w:val="0"/>
          <w:numId w:val="19"/>
        </w:numPr>
      </w:pPr>
      <w:r>
        <w:rPr>
          <w:rFonts w:ascii="Calibri" w:hAnsi="Calibri"/>
          <w:color w:val="1F2328"/>
          <w:sz w:val="22"/>
        </w:rPr>
        <w:t>laufende Optimierung und Erweiterung.</w:t>
      </w:r>
    </w:p>
    <w:p>
      <w:r>
        <w:rPr>
          <w:rFonts w:ascii="Calibri" w:hAnsi="Calibri"/>
          <w:color w:val="1F2328"/>
          <w:sz w:val="22"/>
        </w:rPr>
        <w:t>Kernscale übernimmt je nach Vertrag Plattformbetrieb, Analyse, Strategie, technische Umsetzung und optionale Medienproduktion. Kunden behalten die fachliche Kontrolle über externe Veröffentlichungen, Kampagnen und die Verwendung interner Daten.</w:t>
      </w:r>
    </w:p>
    <w:p>
      <w:pPr>
        <w:pStyle w:val="Heading1"/>
      </w:pPr>
      <w:r>
        <w:rPr>
          <w:rFonts w:ascii="Calibri" w:hAnsi="Calibri"/>
          <w:b/>
          <w:color w:val="2E74B5"/>
          <w:sz w:val="32"/>
        </w:rPr>
        <w:t>11. Daten, Qualität und Governance</w:t>
      </w:r>
    </w:p>
    <w:p>
      <w:r>
        <w:rPr>
          <w:rFonts w:ascii="Calibri" w:hAnsi="Calibri"/>
          <w:color w:val="1F2328"/>
          <w:sz w:val="22"/>
        </w:rPr>
        <w:t>Für das Zielprodukt gelten folgende Grundsätze:</w:t>
      </w:r>
    </w:p>
    <w:p>
      <w:pPr>
        <w:spacing w:before="0" w:after="80" w:line="290" w:lineRule="auto"/>
        <w:numPr>
          <w:ilvl w:val="0"/>
          <w:numId w:val="20"/>
        </w:numPr>
      </w:pPr>
      <w:r>
        <w:rPr>
          <w:rFonts w:ascii="Calibri" w:hAnsi="Calibri"/>
          <w:color w:val="1F2328"/>
          <w:sz w:val="22"/>
        </w:rPr>
        <w:t>Verarbeitung nur öffentlicher oder ausdrücklich freigegebener Daten;</w:t>
      </w:r>
    </w:p>
    <w:p>
      <w:pPr>
        <w:spacing w:before="0" w:after="80" w:line="290" w:lineRule="auto"/>
        <w:numPr>
          <w:ilvl w:val="0"/>
          <w:numId w:val="20"/>
        </w:numPr>
      </w:pPr>
      <w:r>
        <w:rPr>
          <w:rFonts w:ascii="Calibri" w:hAnsi="Calibri"/>
          <w:color w:val="1F2328"/>
          <w:sz w:val="22"/>
        </w:rPr>
        <w:t>strikte Workspace-Zuordnung und rollenbasierte Zugriffe;</w:t>
      </w:r>
    </w:p>
    <w:p>
      <w:pPr>
        <w:spacing w:before="0" w:after="80" w:line="290" w:lineRule="auto"/>
        <w:numPr>
          <w:ilvl w:val="0"/>
          <w:numId w:val="20"/>
        </w:numPr>
      </w:pPr>
      <w:r>
        <w:rPr>
          <w:rFonts w:ascii="Calibri" w:hAnsi="Calibri"/>
          <w:color w:val="1F2328"/>
          <w:sz w:val="22"/>
        </w:rPr>
        <w:t>keine organisationsübergreifende Nutzung identifizierbarer Kundendaten ohne Rechtsgrundlage;</w:t>
      </w:r>
    </w:p>
    <w:p>
      <w:pPr>
        <w:spacing w:before="0" w:after="80" w:line="290" w:lineRule="auto"/>
        <w:numPr>
          <w:ilvl w:val="0"/>
          <w:numId w:val="20"/>
        </w:numPr>
      </w:pPr>
      <w:r>
        <w:rPr>
          <w:rFonts w:ascii="Calibri" w:hAnsi="Calibri"/>
          <w:color w:val="1F2328"/>
          <w:sz w:val="22"/>
        </w:rPr>
        <w:t>geschützte und widerrufbare Verbindungsdaten;</w:t>
      </w:r>
    </w:p>
    <w:p>
      <w:pPr>
        <w:spacing w:before="0" w:after="80" w:line="290" w:lineRule="auto"/>
        <w:numPr>
          <w:ilvl w:val="0"/>
          <w:numId w:val="20"/>
        </w:numPr>
      </w:pPr>
      <w:r>
        <w:rPr>
          <w:rFonts w:ascii="Calibri" w:hAnsi="Calibri"/>
          <w:color w:val="1F2328"/>
          <w:sz w:val="22"/>
        </w:rPr>
        <w:t>Herkunfts-, Aktualitäts- und Qualitätsinformationen für importierte Daten;</w:t>
      </w:r>
    </w:p>
    <w:p>
      <w:pPr>
        <w:spacing w:before="0" w:after="80" w:line="290" w:lineRule="auto"/>
        <w:numPr>
          <w:ilvl w:val="0"/>
          <w:numId w:val="20"/>
        </w:numPr>
      </w:pPr>
      <w:r>
        <w:rPr>
          <w:rFonts w:ascii="Calibri" w:hAnsi="Calibri"/>
          <w:color w:val="1F2328"/>
          <w:sz w:val="22"/>
        </w:rPr>
        <w:t>Trennung von Rohdaten, KI-Entwürfen, akzeptierten Signalen und bestätigtem Wissen;</w:t>
      </w:r>
    </w:p>
    <w:p>
      <w:pPr>
        <w:spacing w:before="0" w:after="80" w:line="290" w:lineRule="auto"/>
        <w:numPr>
          <w:ilvl w:val="0"/>
          <w:numId w:val="20"/>
        </w:numPr>
      </w:pPr>
      <w:r>
        <w:rPr>
          <w:rFonts w:ascii="Calibri" w:hAnsi="Calibri"/>
          <w:color w:val="1F2328"/>
          <w:sz w:val="22"/>
        </w:rPr>
        <w:t>menschliche Freigabe vor kundenwirksamen Aktionen;</w:t>
      </w:r>
    </w:p>
    <w:p>
      <w:pPr>
        <w:spacing w:before="0" w:after="80" w:line="290" w:lineRule="auto"/>
        <w:numPr>
          <w:ilvl w:val="0"/>
          <w:numId w:val="20"/>
        </w:numPr>
      </w:pPr>
      <w:r>
        <w:rPr>
          <w:rFonts w:ascii="Calibri" w:hAnsi="Calibri"/>
          <w:color w:val="1F2328"/>
          <w:sz w:val="22"/>
        </w:rPr>
        <w:t>Lösch-, Export-, Protokollierungs- und Berechtigungskonzepte;</w:t>
      </w:r>
    </w:p>
    <w:p>
      <w:pPr>
        <w:spacing w:before="0" w:after="80" w:line="290" w:lineRule="auto"/>
        <w:numPr>
          <w:ilvl w:val="0"/>
          <w:numId w:val="20"/>
        </w:numPr>
      </w:pPr>
      <w:r>
        <w:rPr>
          <w:rFonts w:ascii="Calibri" w:hAnsi="Calibri"/>
          <w:color w:val="1F2328"/>
          <w:sz w:val="22"/>
        </w:rPr>
        <w:t>transparente Kennzeichnung von Unsicherheit, Datenlücken und alternativen Erklärungen.</w:t>
      </w:r>
    </w:p>
    <w:p>
      <w:r>
        <w:rPr>
          <w:rFonts w:ascii="Calibri" w:hAnsi="Calibri"/>
          <w:color w:val="1F2328"/>
          <w:sz w:val="22"/>
        </w:rPr>
        <w:t>Die vorhandene Workspace- und Decision-Queue-Architektur ist eine geeignete Grundlage. Produktive Sicherheit und Datenschutzkonformität müssen dennoch durch Konfiguration, Tests, Dokumentation und gegebenenfalls externe Prüfung nachgewiesen werden.</w:t>
      </w:r>
    </w:p>
    <w:p>
      <w:pPr>
        <w:pStyle w:val="Heading1"/>
      </w:pPr>
      <w:r>
        <w:rPr>
          <w:rFonts w:ascii="Calibri" w:hAnsi="Calibri"/>
          <w:b/>
          <w:color w:val="2E74B5"/>
          <w:sz w:val="32"/>
        </w:rPr>
        <w:t>12. Finanzierungsgrundlage</w:t>
      </w:r>
    </w:p>
    <w:p>
      <w:r>
        <w:rPr>
          <w:rFonts w:ascii="Calibri" w:hAnsi="Calibri"/>
          <w:color w:val="1F2328"/>
          <w:sz w:val="22"/>
        </w:rPr>
        <w:t>Aktuell bekannte betriebliche Kosten:</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4467"/>
        <w:gridCol w:w="2978"/>
        <w:gridCol w:w="1915"/>
      </w:tblGrid>
      <w:tr>
        <w:trPr>
          <w:cantSplit w:val="true"/>
          <w:tblHeader w:val="true"/>
        </w:trPr>
        <w:tc>
          <w:tcPr>
            <w:tcW w:type="dxa" w:w="4467"/>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Kostenblock</w:t>
            </w:r>
          </w:p>
        </w:tc>
        <w:tc>
          <w:tcPr>
            <w:tcW w:type="dxa" w:w="2978"/>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Einordnung</w:t>
            </w:r>
          </w:p>
        </w:tc>
        <w:tc>
          <w:tcPr>
            <w:tcW w:type="dxa" w:w="1915"/>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Monatlicher Ansatz</w:t>
            </w:r>
          </w:p>
        </w:tc>
      </w:tr>
      <w:tr>
        <w:trPr>
          <w:cantSplit w:val="true"/>
        </w:trPr>
        <w:tc>
          <w:tcPr>
            <w:tcW w:type="dxa" w:w="446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grundlegende betriebliche Fixkosten</w:t>
            </w:r>
          </w:p>
        </w:tc>
        <w:tc>
          <w:tcPr>
            <w:tcW w:type="dxa" w:w="2978"/>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bestätigt</w:t>
            </w:r>
          </w:p>
        </w:tc>
        <w:tc>
          <w:tcPr>
            <w:tcW w:type="dxa" w:w="191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200 €</w:t>
            </w:r>
          </w:p>
        </w:tc>
      </w:tr>
      <w:tr>
        <w:trPr>
          <w:cantSplit w:val="true"/>
        </w:trPr>
        <w:tc>
          <w:tcPr>
            <w:tcW w:type="dxa" w:w="446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KI-, Agenten- und Tokenkosten</w:t>
            </w:r>
          </w:p>
        </w:tc>
        <w:tc>
          <w:tcPr>
            <w:tcW w:type="dxa" w:w="2978"/>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nutzungsabhängige Obergrenze</w:t>
            </w:r>
          </w:p>
        </w:tc>
        <w:tc>
          <w:tcPr>
            <w:tcW w:type="dxa" w:w="191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bis ca. 2.000 €</w:t>
            </w:r>
          </w:p>
        </w:tc>
      </w:tr>
      <w:tr>
        <w:trPr>
          <w:cantSplit w:val="true"/>
        </w:trPr>
        <w:tc>
          <w:tcPr>
            <w:tcW w:type="dxa" w:w="446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rechnerische Betriebskosten bei voller Ausschöpfung</w:t>
            </w:r>
          </w:p>
        </w:tc>
        <w:tc>
          <w:tcPr>
            <w:tcW w:type="dxa" w:w="2978"/>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vorläufige Obergrenze</w:t>
            </w:r>
          </w:p>
        </w:tc>
        <w:tc>
          <w:tcPr>
            <w:tcW w:type="dxa" w:w="191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ca. 2.200 €</w:t>
            </w:r>
          </w:p>
        </w:tc>
      </w:tr>
    </w:tbl>
    <w:p>
      <w:pPr>
        <w:spacing w:before="80" w:after="80"/>
      </w:pPr>
    </w:p>
    <w:p>
      <w:r>
        <w:rPr>
          <w:rFonts w:ascii="Calibri" w:hAnsi="Calibri"/>
          <w:color w:val="1F2328"/>
          <w:sz w:val="22"/>
        </w:rPr>
        <w:t>Die variablen KI-Kosten sollen pro Kunde und Leistungstreiber erfasst und bei hohem Verbrauch weiterberechnet werden. Das Gründungsstipendium ist als personenbezogene Sicherung des Lebensunterhalts einzuordnen und nicht als Kundenumsatz des Unternehmens.</w:t>
      </w:r>
    </w:p>
    <w:p>
      <w:r>
        <w:rPr>
          <w:rFonts w:ascii="Calibri" w:hAnsi="Calibri"/>
          <w:color w:val="1F2328"/>
          <w:sz w:val="22"/>
        </w:rPr>
        <w:t>Für eine einreichungsfähige Finanzplanung fehlen noch insbesondere bestätigte Preise, Ist-Umsätze, verfügbare Liquidität, Stammkapital, Gründungs- und Beratungskosten, Geschäftsführervergütung beziehungsweise Entnahmen sowie Steuer- und Sozialversicherungsannahmen. Diese Werte werden nicht geschätzt, sondern in einer gemeinsamen Annahmentabelle freigegeben.</w:t>
      </w:r>
    </w:p>
    <w:p>
      <w:pPr>
        <w:pStyle w:val="Heading1"/>
      </w:pPr>
      <w:r>
        <w:rPr>
          <w:rFonts w:ascii="Calibri" w:hAnsi="Calibri"/>
          <w:b/>
          <w:color w:val="2E74B5"/>
          <w:sz w:val="32"/>
        </w:rPr>
        <w:t>13. Wirtschaftliche und regionale Wirkung</w:t>
      </w:r>
    </w:p>
    <w:p>
      <w:r>
        <w:rPr>
          <w:rFonts w:ascii="Calibri" w:hAnsi="Calibri"/>
          <w:color w:val="1F2328"/>
          <w:sz w:val="22"/>
        </w:rPr>
        <w:t>Der Sitz in Burg Stargard ermöglicht einen regionalen Markteintritt und persönliche Betreuung von Unternehmen in Mecklenburg-Vorpommern. Kleine Unternehmen sollen Zugang zu datenübergreifender Medienanalyse und KI-gestützten Prozessen erhalten, ohne selbst mehrere Spezialwerkzeuge und Fachkräfte koordinieren zu müssen.</w:t>
      </w:r>
    </w:p>
    <w:p>
      <w:r>
        <w:rPr>
          <w:rFonts w:ascii="Calibri" w:hAnsi="Calibri"/>
          <w:color w:val="1F2328"/>
          <w:sz w:val="22"/>
        </w:rPr>
        <w:t>Mit wachsendem Kundenbestand können zusätzliche Aufgaben in Softwareentwicklung, Datenintegration, Medienproduktion und Kundenbetreuung entstehen. Konkrete Beschäftigungszahlen werden erst angegeben, wenn Umsatz-, Auslastungs- und Kapazitätsplanung dies belastbar zulassen.</w:t>
      </w:r>
    </w:p>
    <w:p>
      <w:r>
        <w:rPr>
          <w:rFonts w:ascii="Calibri" w:hAnsi="Calibri"/>
          <w:color w:val="1F2328"/>
          <w:sz w:val="22"/>
        </w:rPr>
        <w:t>Die Softwarebasis soll eine spätere überregionale Skalierung ermöglichen. Wiederholbare Workspaces, Datenmodelle und Betreuungsprozesse sollen den manuellen Anteil pro Kunde schrittweise reduzieren, ohne die menschliche Prüfung abzuschaffen.</w:t>
      </w:r>
    </w:p>
    <w:p>
      <w:pPr>
        <w:pStyle w:val="Heading1"/>
      </w:pPr>
      <w:r>
        <w:rPr>
          <w:rFonts w:ascii="Calibri" w:hAnsi="Calibri"/>
          <w:b/>
          <w:color w:val="2E74B5"/>
          <w:sz w:val="32"/>
        </w:rPr>
        <w:t>14. Risiken und Gegenmaßnahmen</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700"/>
        <w:gridCol w:w="6660"/>
      </w:tblGrid>
      <w:tr>
        <w:trPr>
          <w:cantSplit w:val="true"/>
          <w:tblHeader w:val="true"/>
        </w:trPr>
        <w:tc>
          <w:tcPr>
            <w:tcW w:type="dxa" w:w="2700"/>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Risiko</w:t>
            </w:r>
          </w:p>
        </w:tc>
        <w:tc>
          <w:tcPr>
            <w:tcW w:type="dxa" w:w="6660"/>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Gegenmaßnahme</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zu breiter Integrationsumfang</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Startquellen nach Kundenbedarf, API-Stabilität und wirtschaftlichem Nutzen priorisieren</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Änderungen externer Plattform-APIs</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modulare Adapter, strukturierte Importe, Fehlerprotokolle und begrenzte Abhängigkeiten</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unvollständige oder widersprüchliche Daten</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Datenqualitätsstatus, Herkunftsnachweise und menschliche Prüfung</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fehlerhafte KI-Ausgaben</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Evidenzbindung, Unsicherheitsangaben, Versionierung und Freigabepflicht</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Scheinkausalität bei Ergebnissen</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Baseline, Messfenster, alternative Erklärungen und überprüfbare Lernentscheidung</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zu komplexes Onboarding</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betreute Einrichtung und schrittweise Freigabe nur relevanter Quellen</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Datenschutz- oder Mandantentrennungsfehler</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Workspace-Isolation, Berechtigungstests, Auditlogs und dokumentierte Löschprozesse</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Kunden kaufen nur Einzelprojekte</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klarer Übergang von Setup und Pilot zu Plattform- und Betreuungsvertrag</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variable KI-Kosten belasten die Marge</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Verbrauchsmessung, kundenspezifische Limits und nutzungsabhängige Abrechnung</w:t>
            </w:r>
          </w:p>
        </w:tc>
      </w:tr>
    </w:tbl>
    <w:p>
      <w:pPr>
        <w:spacing w:before="80" w:after="80"/>
      </w:pPr>
    </w:p>
    <w:p>
      <w:pPr>
        <w:pStyle w:val="Heading1"/>
      </w:pPr>
      <w:r>
        <w:rPr>
          <w:rFonts w:ascii="Calibri" w:hAnsi="Calibri"/>
          <w:b/>
          <w:color w:val="2E74B5"/>
          <w:sz w:val="32"/>
        </w:rPr>
        <w:t>15. Erfolgskriterien und Validierung</w:t>
      </w:r>
    </w:p>
    <w:p>
      <w:r>
        <w:rPr>
          <w:rFonts w:ascii="Calibri" w:hAnsi="Calibri"/>
          <w:color w:val="1F2328"/>
          <w:sz w:val="22"/>
        </w:rPr>
        <w:t>Das Vorhaben wird nicht allein an fertiggestellten Funktionen bewertet. Für Pilotkunden sollen mindestens folgende Nachweise erhoben werden:</w:t>
      </w:r>
    </w:p>
    <w:p>
      <w:pPr>
        <w:spacing w:before="0" w:after="80" w:line="290" w:lineRule="auto"/>
        <w:numPr>
          <w:ilvl w:val="0"/>
          <w:numId w:val="21"/>
        </w:numPr>
      </w:pPr>
      <w:r>
        <w:rPr>
          <w:rFonts w:ascii="Calibri" w:hAnsi="Calibri"/>
          <w:color w:val="1F2328"/>
          <w:sz w:val="22"/>
        </w:rPr>
        <w:t>zuverlässige und nachvollziehbare Datenaufnahme;</w:t>
      </w:r>
    </w:p>
    <w:p>
      <w:pPr>
        <w:spacing w:before="0" w:after="80" w:line="290" w:lineRule="auto"/>
        <w:numPr>
          <w:ilvl w:val="0"/>
          <w:numId w:val="21"/>
        </w:numPr>
      </w:pPr>
      <w:r>
        <w:rPr>
          <w:rFonts w:ascii="Calibri" w:hAnsi="Calibri"/>
          <w:color w:val="1F2328"/>
          <w:sz w:val="22"/>
        </w:rPr>
        <w:t>Vollständigkeit und Verständlichkeit des Marken- und Funnel-Kontexts;</w:t>
      </w:r>
    </w:p>
    <w:p>
      <w:pPr>
        <w:spacing w:before="0" w:after="80" w:line="290" w:lineRule="auto"/>
        <w:numPr>
          <w:ilvl w:val="0"/>
          <w:numId w:val="21"/>
        </w:numPr>
      </w:pPr>
      <w:r>
        <w:rPr>
          <w:rFonts w:ascii="Calibri" w:hAnsi="Calibri"/>
          <w:color w:val="1F2328"/>
          <w:sz w:val="22"/>
        </w:rPr>
        <w:t>Anteil akzeptierter gegenüber verworfenen Signalen und Empfehlungen;</w:t>
      </w:r>
    </w:p>
    <w:p>
      <w:pPr>
        <w:spacing w:before="0" w:after="80" w:line="290" w:lineRule="auto"/>
        <w:numPr>
          <w:ilvl w:val="0"/>
          <w:numId w:val="21"/>
        </w:numPr>
      </w:pPr>
      <w:r>
        <w:rPr>
          <w:rFonts w:ascii="Calibri" w:hAnsi="Calibri"/>
          <w:color w:val="1F2328"/>
          <w:sz w:val="22"/>
        </w:rPr>
        <w:t>Zeitaufwand für Analyse, Abstimmung und Produktion vor und nach Nutzung;</w:t>
      </w:r>
    </w:p>
    <w:p>
      <w:pPr>
        <w:spacing w:before="0" w:after="80" w:line="290" w:lineRule="auto"/>
        <w:numPr>
          <w:ilvl w:val="0"/>
          <w:numId w:val="21"/>
        </w:numPr>
      </w:pPr>
      <w:r>
        <w:rPr>
          <w:rFonts w:ascii="Calibri" w:hAnsi="Calibri"/>
          <w:color w:val="1F2328"/>
          <w:sz w:val="22"/>
        </w:rPr>
        <w:t>Zahl und Qualität tatsächlich umgesetzter Maßnahmen;</w:t>
      </w:r>
    </w:p>
    <w:p>
      <w:pPr>
        <w:spacing w:before="0" w:after="80" w:line="290" w:lineRule="auto"/>
        <w:numPr>
          <w:ilvl w:val="0"/>
          <w:numId w:val="21"/>
        </w:numPr>
      </w:pPr>
      <w:r>
        <w:rPr>
          <w:rFonts w:ascii="Calibri" w:hAnsi="Calibri"/>
          <w:color w:val="1F2328"/>
          <w:sz w:val="22"/>
        </w:rPr>
        <w:t>ausgewählte Anfrage-, Buchungs-, Kauf- oder Leistungskennzahlen;</w:t>
      </w:r>
    </w:p>
    <w:p>
      <w:pPr>
        <w:spacing w:before="0" w:after="80" w:line="290" w:lineRule="auto"/>
        <w:numPr>
          <w:ilvl w:val="0"/>
          <w:numId w:val="21"/>
        </w:numPr>
      </w:pPr>
      <w:r>
        <w:rPr>
          <w:rFonts w:ascii="Calibri" w:hAnsi="Calibri"/>
          <w:color w:val="1F2328"/>
          <w:sz w:val="22"/>
        </w:rPr>
        <w:t>dokumentierte Datenlücken und alternative Erklärungen;</w:t>
      </w:r>
    </w:p>
    <w:p>
      <w:pPr>
        <w:spacing w:before="0" w:after="80" w:line="290" w:lineRule="auto"/>
        <w:numPr>
          <w:ilvl w:val="0"/>
          <w:numId w:val="21"/>
        </w:numPr>
      </w:pPr>
      <w:r>
        <w:rPr>
          <w:rFonts w:ascii="Calibri" w:hAnsi="Calibri"/>
          <w:color w:val="1F2328"/>
          <w:sz w:val="22"/>
        </w:rPr>
        <w:t>fortgesetzte Nutzung und Zahlungsbereitschaft;</w:t>
      </w:r>
    </w:p>
    <w:p>
      <w:pPr>
        <w:spacing w:before="0" w:after="80" w:line="290" w:lineRule="auto"/>
        <w:numPr>
          <w:ilvl w:val="0"/>
          <w:numId w:val="21"/>
        </w:numPr>
      </w:pPr>
      <w:r>
        <w:rPr>
          <w:rFonts w:ascii="Calibri" w:hAnsi="Calibri"/>
          <w:color w:val="1F2328"/>
          <w:sz w:val="22"/>
        </w:rPr>
        <w:t>Freigabe bestätigter Lernrecords;</w:t>
      </w:r>
    </w:p>
    <w:p>
      <w:pPr>
        <w:spacing w:before="0" w:after="80" w:line="290" w:lineRule="auto"/>
        <w:numPr>
          <w:ilvl w:val="0"/>
          <w:numId w:val="21"/>
        </w:numPr>
      </w:pPr>
      <w:r>
        <w:rPr>
          <w:rFonts w:ascii="Calibri" w:hAnsi="Calibri"/>
          <w:color w:val="1F2328"/>
          <w:sz w:val="22"/>
        </w:rPr>
        <w:t>Gründe für Erweiterung, Fortführung oder Kündigung.</w:t>
      </w:r>
    </w:p>
    <w:p>
      <w:r>
        <w:rPr>
          <w:rFonts w:ascii="Calibri" w:hAnsi="Calibri"/>
          <w:color w:val="1F2328"/>
          <w:sz w:val="22"/>
        </w:rPr>
        <w:t>Die vier bestehenden Kunden belegen Marktzugang und Zahlungsbereitschaft für digitale Dienstleistungen. Die Nachfrage nach dem vollständigen Produkt muss separat durch Pilotvereinbarungen, reale Nutzung, Ergebnismessung und kommerzielle Fortführung validiert werden.</w:t>
      </w:r>
    </w:p>
    <w:p>
      <w:pPr>
        <w:pStyle w:val="Heading1"/>
      </w:pPr>
      <w:r>
        <w:rPr>
          <w:rFonts w:ascii="Calibri" w:hAnsi="Calibri"/>
          <w:b/>
          <w:color w:val="2E74B5"/>
          <w:sz w:val="32"/>
        </w:rPr>
        <w:t>16. Offene Entscheidungen vor Einreichung</w:t>
      </w:r>
    </w:p>
    <w:p>
      <w:pPr>
        <w:spacing w:before="0" w:after="80" w:line="290" w:lineRule="auto"/>
        <w:numPr>
          <w:ilvl w:val="0"/>
          <w:numId w:val="22"/>
        </w:numPr>
      </w:pPr>
      <w:r>
        <w:rPr>
          <w:rFonts w:ascii="Calibri" w:hAnsi="Calibri"/>
          <w:color w:val="1F2328"/>
          <w:sz w:val="22"/>
        </w:rPr>
        <w:t>Auswahl der direkten Startintegrationen und der importbasierten Quellen;</w:t>
      </w:r>
    </w:p>
    <w:p>
      <w:pPr>
        <w:spacing w:before="0" w:after="80" w:line="290" w:lineRule="auto"/>
        <w:numPr>
          <w:ilvl w:val="0"/>
          <w:numId w:val="22"/>
        </w:numPr>
      </w:pPr>
      <w:r>
        <w:rPr>
          <w:rFonts w:ascii="Calibri" w:hAnsi="Calibri"/>
          <w:color w:val="1F2328"/>
          <w:sz w:val="22"/>
        </w:rPr>
        <w:t>konkrete Entwicklungszeiträume und Meilensteine;</w:t>
      </w:r>
    </w:p>
    <w:p>
      <w:pPr>
        <w:spacing w:before="0" w:after="80" w:line="290" w:lineRule="auto"/>
        <w:numPr>
          <w:ilvl w:val="0"/>
          <w:numId w:val="22"/>
        </w:numPr>
      </w:pPr>
      <w:r>
        <w:rPr>
          <w:rFonts w:ascii="Calibri" w:hAnsi="Calibri"/>
          <w:color w:val="1F2328"/>
          <w:sz w:val="22"/>
        </w:rPr>
        <w:t>Netto- oder Bruttoeinordnung des Umsatzziels;</w:t>
      </w:r>
    </w:p>
    <w:p>
      <w:pPr>
        <w:spacing w:before="0" w:after="80" w:line="290" w:lineRule="auto"/>
        <w:numPr>
          <w:ilvl w:val="0"/>
          <w:numId w:val="22"/>
        </w:numPr>
      </w:pPr>
      <w:r>
        <w:rPr>
          <w:rFonts w:ascii="Calibri" w:hAnsi="Calibri"/>
          <w:color w:val="1F2328"/>
          <w:sz w:val="22"/>
        </w:rPr>
        <w:t>Preise für Setup, Plattform, Betreuung, Produktion und Mehrverbrauch;</w:t>
      </w:r>
    </w:p>
    <w:p>
      <w:pPr>
        <w:spacing w:before="0" w:after="80" w:line="290" w:lineRule="auto"/>
        <w:numPr>
          <w:ilvl w:val="0"/>
          <w:numId w:val="22"/>
        </w:numPr>
      </w:pPr>
      <w:r>
        <w:rPr>
          <w:rFonts w:ascii="Calibri" w:hAnsi="Calibri"/>
          <w:color w:val="1F2328"/>
          <w:sz w:val="22"/>
        </w:rPr>
        <w:t>Ist-Umsätze und Belege der vier bestehenden Kunden;</w:t>
      </w:r>
    </w:p>
    <w:p>
      <w:pPr>
        <w:spacing w:before="0" w:after="80" w:line="290" w:lineRule="auto"/>
        <w:numPr>
          <w:ilvl w:val="0"/>
          <w:numId w:val="22"/>
        </w:numPr>
      </w:pPr>
      <w:r>
        <w:rPr>
          <w:rFonts w:ascii="Calibri" w:hAnsi="Calibri"/>
          <w:color w:val="1F2328"/>
          <w:sz w:val="22"/>
        </w:rPr>
        <w:t>verfügbares Kapital, Liquidität und vollständige private sowie betriebliche Kosten;</w:t>
      </w:r>
    </w:p>
    <w:p>
      <w:pPr>
        <w:spacing w:before="0" w:after="80" w:line="290" w:lineRule="auto"/>
        <w:numPr>
          <w:ilvl w:val="0"/>
          <w:numId w:val="22"/>
        </w:numPr>
      </w:pPr>
      <w:r>
        <w:rPr>
          <w:rFonts w:ascii="Calibri" w:hAnsi="Calibri"/>
          <w:color w:val="1F2328"/>
          <w:sz w:val="22"/>
        </w:rPr>
        <w:t>Auswahl und Umfang der ersten Pilotkunden;</w:t>
      </w:r>
    </w:p>
    <w:p>
      <w:pPr>
        <w:spacing w:before="0" w:after="80" w:line="290" w:lineRule="auto"/>
        <w:numPr>
          <w:ilvl w:val="0"/>
          <w:numId w:val="22"/>
        </w:numPr>
      </w:pPr>
      <w:r>
        <w:rPr>
          <w:rFonts w:ascii="Calibri" w:hAnsi="Calibri"/>
          <w:color w:val="1F2328"/>
          <w:sz w:val="22"/>
        </w:rPr>
        <w:t>fachliche Stellungnahme einer geeigneten externen Einrichtung;</w:t>
      </w:r>
    </w:p>
    <w:p>
      <w:pPr>
        <w:spacing w:before="0" w:after="80" w:line="290" w:lineRule="auto"/>
        <w:numPr>
          <w:ilvl w:val="0"/>
          <w:numId w:val="22"/>
        </w:numPr>
      </w:pPr>
      <w:r>
        <w:rPr>
          <w:rFonts w:ascii="Calibri" w:hAnsi="Calibri"/>
          <w:color w:val="1F2328"/>
          <w:sz w:val="22"/>
        </w:rPr>
        <w:t>Bestätigung der Gesellschafts- und Registerunterlagen;</w:t>
      </w:r>
    </w:p>
    <w:p>
      <w:pPr>
        <w:spacing w:before="0" w:after="80" w:line="290" w:lineRule="auto"/>
        <w:numPr>
          <w:ilvl w:val="0"/>
          <w:numId w:val="22"/>
        </w:numPr>
      </w:pPr>
      <w:r>
        <w:rPr>
          <w:rFonts w:ascii="Calibri" w:hAnsi="Calibri"/>
          <w:color w:val="1F2328"/>
          <w:sz w:val="22"/>
        </w:rPr>
        <w:t>schriftliche Klärung mit der GSA, falls mehrere Teammitglieder für dasselbe Vorhaben Förderung beantragen sollen.</w:t>
      </w:r>
    </w:p>
    <w:p>
      <w:r>
        <w:rPr>
          <w:rFonts w:ascii="Calibri" w:hAnsi="Calibri"/>
          <w:color w:val="1F2328"/>
          <w:sz w:val="22"/>
        </w:rPr>
        <w:t>Diese Punkte sind kein versteckter Teil der Prognose. Sie bilden die kontrollierte Abschlussliste für die einreichungsfähige Fassung.</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rPr>
          <w:rFonts w:ascii="Calibri" w:hAnsi="Calibri"/>
          <w:b/>
          <w:color w:val="2E74B5"/>
          <w:sz w:val="32"/>
        </w:rPr>
        <w:t>Anlage: Finanzierungs- und Finanzmodell</w:t>
      </w:r>
    </w:p>
    <w:p>
      <w:pPr>
        <w:pStyle w:val="Heading1"/>
      </w:pPr>
      <w:r>
        <w:rPr>
          <w:rFonts w:ascii="Calibri" w:hAnsi="Calibri"/>
          <w:b/>
          <w:color w:val="2E74B5"/>
          <w:sz w:val="32"/>
        </w:rPr>
        <w:t>1. Zweck und Abgrenzung</w:t>
      </w:r>
    </w:p>
    <w:p>
      <w:r>
        <w:rPr>
          <w:rFonts w:ascii="Calibri" w:hAnsi="Calibri"/>
          <w:color w:val="1F2328"/>
          <w:sz w:val="22"/>
        </w:rPr>
        <w:t>Das Finanzmodell soll Investitions-, Umsatz-, Ertrags-, Liquiditäts- und Finanzierungsplanung konsistent aus einer gemeinsamen Annahmentabelle ableiten. Es enthält derzeit nur vom Nutzer bestätigte Werte. Fehlende Beträge werden nicht geschätzt.</w:t>
      </w:r>
    </w:p>
    <w:p>
      <w:r>
        <w:rPr>
          <w:rFonts w:ascii="Calibri" w:hAnsi="Calibri"/>
          <w:color w:val="1F2328"/>
          <w:sz w:val="22"/>
        </w:rPr>
        <w:t>Das GSA-Gründungsstipendium dient der persönlichen Sicherung des Lebensunterhalts des Antragstellers. Es ist weder Kundenumsatz noch betrieblicher Produkterlös der Kernscale UG (haftungsbeschränkt) i. G. Private Lebenshaltung und Unternehmensfinanzen werden deshalb getrennt geplant.</w:t>
      </w:r>
    </w:p>
    <w:p>
      <w:pPr>
        <w:pStyle w:val="Heading1"/>
      </w:pPr>
      <w:r>
        <w:rPr>
          <w:rFonts w:ascii="Calibri" w:hAnsi="Calibri"/>
          <w:b/>
          <w:color w:val="2E74B5"/>
          <w:sz w:val="32"/>
        </w:rPr>
        <w:t>2. Bestätigte wirtschaftliche Angaben</w:t>
      </w:r>
    </w:p>
    <w:tbl>
      <w:tblPr>
        <w:tblW w:type="dxa" w:w="9361"/>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3607"/>
        <w:gridCol w:w="2147"/>
        <w:gridCol w:w="3607"/>
      </w:tblGrid>
      <w:tr>
        <w:trPr>
          <w:cantSplit w:val="true"/>
          <w:tblHeader w:val="true"/>
        </w:trPr>
        <w:tc>
          <w:tcPr>
            <w:tcW w:type="dxa" w:w="3607"/>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Kennzahl</w:t>
            </w:r>
          </w:p>
        </w:tc>
        <w:tc>
          <w:tcPr>
            <w:tcW w:type="dxa" w:w="2147"/>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Bestätigter Wert</w:t>
            </w:r>
          </w:p>
        </w:tc>
        <w:tc>
          <w:tcPr>
            <w:tcW w:type="dxa" w:w="3607"/>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Einordnung</w:t>
            </w:r>
          </w:p>
        </w:tc>
      </w:tr>
      <w:tr>
        <w:trPr>
          <w:cantSplit w:val="true"/>
        </w:trPr>
        <w:tc>
          <w:tcPr>
            <w:tcW w:type="dxa" w:w="360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grundlegende betriebliche Fixkosten</w:t>
            </w:r>
          </w:p>
        </w:tc>
        <w:tc>
          <w:tcPr>
            <w:tcW w:type="dxa" w:w="214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200 € pro Monat</w:t>
            </w:r>
          </w:p>
        </w:tc>
        <w:tc>
          <w:tcPr>
            <w:tcW w:type="dxa" w:w="360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wiederkehrende Grundlast</w:t>
            </w:r>
          </w:p>
        </w:tc>
      </w:tr>
      <w:tr>
        <w:trPr>
          <w:cantSplit w:val="true"/>
        </w:trPr>
        <w:tc>
          <w:tcPr>
            <w:tcW w:type="dxa" w:w="360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KI-, Agenten- und Tokenkosten</w:t>
            </w:r>
          </w:p>
        </w:tc>
        <w:tc>
          <w:tcPr>
            <w:tcW w:type="dxa" w:w="214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bis ca. 2.000 € pro Monat</w:t>
            </w:r>
          </w:p>
        </w:tc>
        <w:tc>
          <w:tcPr>
            <w:tcW w:type="dxa" w:w="360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nutzungsabhängige betriebliche Obergrenze</w:t>
            </w:r>
          </w:p>
        </w:tc>
      </w:tr>
      <w:tr>
        <w:trPr>
          <w:cantSplit w:val="true"/>
        </w:trPr>
        <w:tc>
          <w:tcPr>
            <w:tcW w:type="dxa" w:w="360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rechnerische Betriebskosten bei vollständiger Ausschöpfung</w:t>
            </w:r>
          </w:p>
        </w:tc>
        <w:tc>
          <w:tcPr>
            <w:tcW w:type="dxa" w:w="214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ca. 2.200 € pro Monat</w:t>
            </w:r>
          </w:p>
        </w:tc>
        <w:tc>
          <w:tcPr>
            <w:tcW w:type="dxa" w:w="360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Obergrenze, kein angenommener Regelmonat</w:t>
            </w:r>
          </w:p>
        </w:tc>
      </w:tr>
      <w:tr>
        <w:trPr>
          <w:cantSplit w:val="true"/>
        </w:trPr>
        <w:tc>
          <w:tcPr>
            <w:tcW w:type="dxa" w:w="360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Umsatzziel bis Ende 2026</w:t>
            </w:r>
          </w:p>
        </w:tc>
        <w:tc>
          <w:tcPr>
            <w:tcW w:type="dxa" w:w="214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10.000 € pro Monat</w:t>
            </w:r>
          </w:p>
        </w:tc>
        <w:tc>
          <w:tcPr>
            <w:tcW w:type="dxa" w:w="360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Zielwert, kein Ist-Umsatz; netto/brutto noch offen</w:t>
            </w:r>
          </w:p>
        </w:tc>
      </w:tr>
      <w:tr>
        <w:trPr>
          <w:cantSplit w:val="true"/>
        </w:trPr>
        <w:tc>
          <w:tcPr>
            <w:tcW w:type="dxa" w:w="360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zahlende Bestandskunden</w:t>
            </w:r>
          </w:p>
        </w:tc>
        <w:tc>
          <w:tcPr>
            <w:tcW w:type="dxa" w:w="214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4</w:t>
            </w:r>
          </w:p>
        </w:tc>
        <w:tc>
          <w:tcPr>
            <w:tcW w:type="dxa" w:w="360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Dienstleistungen, noch nicht der vollständige Media Intelligence Loop</w:t>
            </w:r>
          </w:p>
        </w:tc>
      </w:tr>
    </w:tbl>
    <w:p>
      <w:pPr>
        <w:spacing w:before="80" w:after="80"/>
      </w:pPr>
    </w:p>
    <w:p>
      <w:r>
        <w:rPr>
          <w:rFonts w:ascii="Calibri" w:hAnsi="Calibri"/>
          <w:color w:val="1F2328"/>
          <w:sz w:val="22"/>
        </w:rPr>
        <w:t>Die variablen KI-Kosten skalieren mit Kundenzahl, Analyseumfang, Agentenläufen, Mediengenerierung sowie dem Einsatz externer oder lokal betriebener Modelle. Sie werden nicht als unveränderliche Fixkosten behandelt.</w:t>
      </w:r>
    </w:p>
    <w:p>
      <w:pPr>
        <w:pStyle w:val="Heading1"/>
      </w:pPr>
      <w:r>
        <w:rPr>
          <w:rFonts w:ascii="Calibri" w:hAnsi="Calibri"/>
          <w:b/>
          <w:color w:val="2E74B5"/>
          <w:sz w:val="32"/>
        </w:rPr>
        <w:t>3. Erlösarchitektur</w:t>
      </w:r>
    </w:p>
    <w:p>
      <w:r>
        <w:rPr>
          <w:rFonts w:ascii="Calibri" w:hAnsi="Calibri"/>
          <w:color w:val="1F2328"/>
          <w:sz w:val="22"/>
        </w:rPr>
        <w:t>Das geplante Erlösmodell besteht aus fünf voneinander trennbaren Komponenten:</w:t>
      </w:r>
    </w:p>
    <w:p>
      <w:pPr>
        <w:spacing w:before="0" w:after="80" w:line="290" w:lineRule="auto"/>
        <w:numPr>
          <w:ilvl w:val="0"/>
          <w:numId w:val="23"/>
        </w:numPr>
      </w:pPr>
      <w:r>
        <w:rPr>
          <w:rFonts w:ascii="Calibri" w:hAnsi="Calibri"/>
          <w:b/>
          <w:color w:val="1F2328"/>
          <w:sz w:val="22"/>
        </w:rPr>
        <w:t>Analyse und Einrichtung:</w:t>
      </w:r>
      <w:r>
        <w:rPr>
          <w:rFonts w:ascii="Calibri" w:hAnsi="Calibri"/>
          <w:color w:val="1F2328"/>
          <w:sz w:val="22"/>
        </w:rPr>
        <w:t xml:space="preserve"> einmaliger Betrag für Ausgangsanalyse, Workspace, Quellen, Kontext und Messkonzept.</w:t>
      </w:r>
    </w:p>
    <w:p>
      <w:pPr>
        <w:spacing w:before="0" w:after="80" w:line="290" w:lineRule="auto"/>
        <w:numPr>
          <w:ilvl w:val="0"/>
          <w:numId w:val="23"/>
        </w:numPr>
      </w:pPr>
      <w:r>
        <w:rPr>
          <w:rFonts w:ascii="Calibri" w:hAnsi="Calibri"/>
          <w:b/>
          <w:color w:val="1F2328"/>
          <w:sz w:val="22"/>
        </w:rPr>
        <w:t>Plattformnutzung:</w:t>
      </w:r>
      <w:r>
        <w:rPr>
          <w:rFonts w:ascii="Calibri" w:hAnsi="Calibri"/>
          <w:color w:val="1F2328"/>
          <w:sz w:val="22"/>
        </w:rPr>
        <w:t xml:space="preserve"> monatlicher Betrag für Softwarezugang, Datenhaltung, Workflows und Reporting.</w:t>
      </w:r>
    </w:p>
    <w:p>
      <w:pPr>
        <w:spacing w:before="0" w:after="80" w:line="290" w:lineRule="auto"/>
        <w:numPr>
          <w:ilvl w:val="0"/>
          <w:numId w:val="23"/>
        </w:numPr>
      </w:pPr>
      <w:r>
        <w:rPr>
          <w:rFonts w:ascii="Calibri" w:hAnsi="Calibri"/>
          <w:b/>
          <w:color w:val="1F2328"/>
          <w:sz w:val="22"/>
        </w:rPr>
        <w:t>Betreuung und Optimierung:</w:t>
      </w:r>
      <w:r>
        <w:rPr>
          <w:rFonts w:ascii="Calibri" w:hAnsi="Calibri"/>
          <w:color w:val="1F2328"/>
          <w:sz w:val="22"/>
        </w:rPr>
        <w:t xml:space="preserve"> monatlicher Betrag für Analyse, Priorisierung, Reviews und laufende Weiterentwicklung.</w:t>
      </w:r>
    </w:p>
    <w:p>
      <w:pPr>
        <w:spacing w:before="0" w:after="80" w:line="290" w:lineRule="auto"/>
        <w:numPr>
          <w:ilvl w:val="0"/>
          <w:numId w:val="23"/>
        </w:numPr>
      </w:pPr>
      <w:r>
        <w:rPr>
          <w:rFonts w:ascii="Calibri" w:hAnsi="Calibri"/>
          <w:b/>
          <w:color w:val="1F2328"/>
          <w:sz w:val="22"/>
        </w:rPr>
        <w:t>Optionale Produktion:</w:t>
      </w:r>
      <w:r>
        <w:rPr>
          <w:rFonts w:ascii="Calibri" w:hAnsi="Calibri"/>
          <w:color w:val="1F2328"/>
          <w:sz w:val="22"/>
        </w:rPr>
        <w:t xml:space="preserve"> projektbezogene Erlöse für Websites, Accounts, Medien und technische Umsetzung.</w:t>
      </w:r>
    </w:p>
    <w:p>
      <w:pPr>
        <w:spacing w:before="0" w:after="80" w:line="290" w:lineRule="auto"/>
        <w:numPr>
          <w:ilvl w:val="0"/>
          <w:numId w:val="23"/>
        </w:numPr>
      </w:pPr>
      <w:r>
        <w:rPr>
          <w:rFonts w:ascii="Calibri" w:hAnsi="Calibri"/>
          <w:b/>
          <w:color w:val="1F2328"/>
          <w:sz w:val="22"/>
        </w:rPr>
        <w:t>Nutzungsabhängiger Mehrverbrauch:</w:t>
      </w:r>
      <w:r>
        <w:rPr>
          <w:rFonts w:ascii="Calibri" w:hAnsi="Calibri"/>
          <w:color w:val="1F2328"/>
          <w:sz w:val="22"/>
        </w:rPr>
        <w:t xml:space="preserve"> Weiterberechnung außergewöhnlich hoher KI-, Agenten-, Medien- oder Datenkosten.</w:t>
      </w:r>
    </w:p>
    <w:p>
      <w:r>
        <w:rPr>
          <w:rFonts w:ascii="Calibri" w:hAnsi="Calibri"/>
          <w:color w:val="1F2328"/>
          <w:sz w:val="22"/>
        </w:rPr>
        <w:t>Die Preislogik soll wiederkehrende Plattform- und Betreuungserlöse ermöglichen, ohne hohe variable Kosten pauschal aus einer niedrigen Grundgebühr zu finanzieren.</w:t>
      </w:r>
    </w:p>
    <w:p>
      <w:pPr>
        <w:pStyle w:val="Heading1"/>
      </w:pPr>
      <w:r>
        <w:rPr>
          <w:rFonts w:ascii="Calibri" w:hAnsi="Calibri"/>
          <w:b/>
          <w:color w:val="2E74B5"/>
          <w:sz w:val="32"/>
        </w:rPr>
        <w:t>4. Gemeinsame Annahmentabelle</w:t>
      </w:r>
    </w:p>
    <w:p>
      <w:r>
        <w:rPr>
          <w:rFonts w:ascii="Calibri" w:hAnsi="Calibri"/>
          <w:color w:val="1F2328"/>
          <w:sz w:val="22"/>
        </w:rPr>
        <w:t>Vor der Berechnung von Szenarien müssen folgende Werte bestätigt werden:</w:t>
      </w:r>
    </w:p>
    <w:tbl>
      <w:tblPr>
        <w:tblW w:type="dxa" w:w="9368"/>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3151"/>
        <w:gridCol w:w="1575"/>
        <w:gridCol w:w="1250"/>
        <w:gridCol w:w="3392"/>
      </w:tblGrid>
      <w:tr>
        <w:trPr>
          <w:cantSplit w:val="true"/>
          <w:tblHeader w:val="true"/>
        </w:trPr>
        <w:tc>
          <w:tcPr>
            <w:tcW w:type="dxa" w:w="3151"/>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Annahme</w:t>
            </w:r>
          </w:p>
        </w:tc>
        <w:tc>
          <w:tcPr>
            <w:tcW w:type="dxa" w:w="1575"/>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Einheit</w:t>
            </w:r>
          </w:p>
        </w:tc>
        <w:tc>
          <w:tcPr>
            <w:tcW w:type="dxa" w:w="1250"/>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Status</w:t>
            </w:r>
          </w:p>
        </w:tc>
        <w:tc>
          <w:tcPr>
            <w:tcW w:type="dxa" w:w="3392"/>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Benötigter Nachweis oder Entscheidung</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Umsatzziel netto oder brutto</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 pro Monat</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verbindliche steuerliche Einordnung</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Setup-Preis</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 pro Neukunde</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Preisentscheidung und Pilotvalidierung</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Plattformpreis</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 pro Kunde/Monat</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Preisentscheidung</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Betreuungspreis</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 pro Kunde/Monat</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Leistungsumfang und Kapazität</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optionale Produktion</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 pro Auftrag</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bisherige Angebote/Rechnungen und Zielpreise</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durchschnittlicher KI-Verbrauch</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 pro Kunde/Monat</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Nutzungsdaten oder begründete Limits</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erwartete Kundenzahl</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Kunden</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Vertriebsszenarien</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monatliche Kündigungsquote</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Prozent</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zunächst konservative Planannahme</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Zahlungsziel und Zahlungsausfall</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Tage/Prozent</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Vertrags- und Liquiditätsannahme</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Ist-Umsatz der vier Kunden</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Rechnungen beziehungsweise BWA</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Stammkapital und freie Liquidität</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Gesellschafts- und Banknachweis</w:t>
            </w:r>
          </w:p>
        </w:tc>
      </w:tr>
      <w:tr>
        <w:trPr>
          <w:cantSplit w:val="true"/>
        </w:trPr>
        <w:tc>
          <w:tcPr>
            <w:tcW w:type="dxa" w:w="315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Geschäftsführervergütung/Entnahmen</w:t>
            </w:r>
          </w:p>
        </w:tc>
        <w:tc>
          <w:tcPr>
            <w:tcW w:type="dxa" w:w="157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 pro Monat</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33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persönliche und steuerliche Planung</w:t>
            </w:r>
          </w:p>
        </w:tc>
      </w:tr>
    </w:tbl>
    <w:p>
      <w:pPr>
        <w:spacing w:before="80" w:after="80"/>
      </w:pPr>
    </w:p>
    <w:p>
      <w:r>
        <w:rPr>
          <w:rFonts w:ascii="Calibri" w:hAnsi="Calibri"/>
          <w:color w:val="1F2328"/>
          <w:sz w:val="22"/>
        </w:rPr>
        <w:t>Ohne diese Werte kann das bestätigte Umsatzziel nicht seriös in Kundenzahl, Auslastung, Ertrag und Liquidität übersetzt werden.</w:t>
      </w:r>
    </w:p>
    <w:p>
      <w:pPr>
        <w:pStyle w:val="Heading1"/>
      </w:pPr>
      <w:r>
        <w:rPr>
          <w:rFonts w:ascii="Calibri" w:hAnsi="Calibri"/>
          <w:b/>
          <w:color w:val="2E74B5"/>
          <w:sz w:val="32"/>
        </w:rPr>
        <w:t>5. Betriebliche Kostenstruktur</w:t>
      </w:r>
    </w:p>
    <w:p>
      <w:pPr>
        <w:pStyle w:val="Heading2"/>
      </w:pPr>
      <w:r>
        <w:rPr>
          <w:rFonts w:ascii="Calibri" w:hAnsi="Calibri"/>
          <w:b/>
          <w:color w:val="2E74B5"/>
          <w:sz w:val="26"/>
        </w:rPr>
        <w:t>5.1 Bekannte Grundlast</w:t>
      </w:r>
    </w:p>
    <w:p>
      <w:r>
        <w:rPr>
          <w:rFonts w:ascii="Calibri" w:hAnsi="Calibri"/>
          <w:color w:val="1F2328"/>
          <w:sz w:val="22"/>
        </w:rPr>
        <w:t>Die bestätigte Grundlast beträgt 200 Euro monatlich. Vor Fertigstellung ist zu klären, welche Einzelpositionen darin enthalten sind, damit Kosten nicht doppelt angesetzt oder ausgelassen werden.</w:t>
      </w:r>
    </w:p>
    <w:p>
      <w:pPr>
        <w:pStyle w:val="Heading2"/>
      </w:pPr>
      <w:r>
        <w:rPr>
          <w:rFonts w:ascii="Calibri" w:hAnsi="Calibri"/>
          <w:b/>
          <w:color w:val="2E74B5"/>
          <w:sz w:val="26"/>
        </w:rPr>
        <w:t>5.2 Nutzungsabhängige Produktkosten</w:t>
      </w:r>
    </w:p>
    <w:p>
      <w:r>
        <w:rPr>
          <w:rFonts w:ascii="Calibri" w:hAnsi="Calibri"/>
          <w:color w:val="1F2328"/>
          <w:sz w:val="22"/>
        </w:rPr>
        <w:t>Der variable Block von bis zu 2.000 Euro wird mindestens nach folgenden Leistungstreibern getrennt:</w:t>
      </w:r>
    </w:p>
    <w:p>
      <w:pPr>
        <w:spacing w:before="0" w:after="80" w:line="290" w:lineRule="auto"/>
        <w:numPr>
          <w:ilvl w:val="0"/>
          <w:numId w:val="24"/>
        </w:numPr>
      </w:pPr>
      <w:r>
        <w:rPr>
          <w:rFonts w:ascii="Calibri" w:hAnsi="Calibri"/>
          <w:color w:val="1F2328"/>
          <w:sz w:val="22"/>
        </w:rPr>
        <w:t>Sprachmodell- und Agenten-Tokens;</w:t>
      </w:r>
    </w:p>
    <w:p>
      <w:pPr>
        <w:spacing w:before="0" w:after="80" w:line="290" w:lineRule="auto"/>
        <w:numPr>
          <w:ilvl w:val="0"/>
          <w:numId w:val="24"/>
        </w:numPr>
      </w:pPr>
      <w:r>
        <w:rPr>
          <w:rFonts w:ascii="Calibri" w:hAnsi="Calibri"/>
          <w:color w:val="1F2328"/>
          <w:sz w:val="22"/>
        </w:rPr>
        <w:t>Bild-, Video- oder Audiogenerierung;</w:t>
      </w:r>
    </w:p>
    <w:p>
      <w:pPr>
        <w:spacing w:before="0" w:after="80" w:line="290" w:lineRule="auto"/>
        <w:numPr>
          <w:ilvl w:val="0"/>
          <w:numId w:val="24"/>
        </w:numPr>
      </w:pPr>
      <w:r>
        <w:rPr>
          <w:rFonts w:ascii="Calibri" w:hAnsi="Calibri"/>
          <w:color w:val="1F2328"/>
          <w:sz w:val="22"/>
        </w:rPr>
        <w:t>externe Analyse-, Daten- und Suchschnittstellen;</w:t>
      </w:r>
    </w:p>
    <w:p>
      <w:pPr>
        <w:spacing w:before="0" w:after="80" w:line="290" w:lineRule="auto"/>
        <w:numPr>
          <w:ilvl w:val="0"/>
          <w:numId w:val="24"/>
        </w:numPr>
      </w:pPr>
      <w:r>
        <w:rPr>
          <w:rFonts w:ascii="Calibri" w:hAnsi="Calibri"/>
          <w:color w:val="1F2328"/>
          <w:sz w:val="22"/>
        </w:rPr>
        <w:t>Automatisierungs- und Ausführungsdienste;</w:t>
      </w:r>
    </w:p>
    <w:p>
      <w:pPr>
        <w:spacing w:before="0" w:after="80" w:line="290" w:lineRule="auto"/>
        <w:numPr>
          <w:ilvl w:val="0"/>
          <w:numId w:val="24"/>
        </w:numPr>
      </w:pPr>
      <w:r>
        <w:rPr>
          <w:rFonts w:ascii="Calibri" w:hAnsi="Calibri"/>
          <w:color w:val="1F2328"/>
          <w:sz w:val="22"/>
        </w:rPr>
        <w:t>Speicher, Übertragung und rechenintensive Verarbeitung;</w:t>
      </w:r>
    </w:p>
    <w:p>
      <w:pPr>
        <w:spacing w:before="0" w:after="80" w:line="290" w:lineRule="auto"/>
        <w:numPr>
          <w:ilvl w:val="0"/>
          <w:numId w:val="24"/>
        </w:numPr>
      </w:pPr>
      <w:r>
        <w:rPr>
          <w:rFonts w:ascii="Calibri" w:hAnsi="Calibri"/>
          <w:color w:val="1F2328"/>
          <w:sz w:val="22"/>
        </w:rPr>
        <w:t>lokal betriebene KI-Infrastruktur, sofern tatsächlich eingesetzt;</w:t>
      </w:r>
    </w:p>
    <w:p>
      <w:pPr>
        <w:spacing w:before="0" w:after="80" w:line="290" w:lineRule="auto"/>
        <w:numPr>
          <w:ilvl w:val="0"/>
          <w:numId w:val="24"/>
        </w:numPr>
      </w:pPr>
      <w:r>
        <w:rPr>
          <w:rFonts w:ascii="Calibri" w:hAnsi="Calibri"/>
          <w:color w:val="1F2328"/>
          <w:sz w:val="22"/>
        </w:rPr>
        <w:t>kundenspezifischer Mehrverbrauch.</w:t>
      </w:r>
    </w:p>
    <w:p>
      <w:r>
        <w:rPr>
          <w:rFonts w:ascii="Calibri" w:hAnsi="Calibri"/>
          <w:color w:val="1F2328"/>
          <w:sz w:val="22"/>
        </w:rPr>
        <w:t>Für jeden Kunden soll später gelten:</w:t>
      </w:r>
    </w:p>
    <w:p>
      <w:pPr>
        <w:keepLines/>
        <w:spacing w:before="80" w:after="160" w:line="240" w:lineRule="auto"/>
        <w:ind w:left="259" w:right="259"/>
        <w:jc w:val="left"/>
        <w:shd w:fill="F4F6F9"/>
      </w:pPr>
      <w:r>
        <w:rPr>
          <w:rFonts w:ascii="Consolas" w:hAnsi="Consolas"/>
          <w:color w:val="1F2328"/>
          <w:sz w:val="17"/>
        </w:rPr>
        <w:t>Deckungsbeitrag Kunde</w:t>
        <w:br/>
        <w:t>= Setup- und wiederkehrende Erlöse</w:t>
        <w:br/>
        <w:t>- direkt zurechenbare Produktion</w:t>
        <w:br/>
        <w:t>- KI-/Agenten-/Datenverbrauch</w:t>
        <w:br/>
        <w:t>- sonstige direkt zurechenbare Fremdkosten</w:t>
      </w:r>
    </w:p>
    <w:p>
      <w:pPr>
        <w:pStyle w:val="Heading2"/>
      </w:pPr>
      <w:r>
        <w:rPr>
          <w:rFonts w:ascii="Calibri" w:hAnsi="Calibri"/>
          <w:b/>
          <w:color w:val="2E74B5"/>
          <w:sz w:val="26"/>
        </w:rPr>
        <w:t>5.3 Noch zu erfassende Unternehmensausgaben</w:t>
      </w:r>
    </w:p>
    <w:p>
      <w:pPr>
        <w:spacing w:before="0" w:after="80" w:line="290" w:lineRule="auto"/>
        <w:numPr>
          <w:ilvl w:val="0"/>
          <w:numId w:val="25"/>
        </w:numPr>
      </w:pPr>
      <w:r>
        <w:rPr>
          <w:rFonts w:ascii="Calibri" w:hAnsi="Calibri"/>
          <w:color w:val="1F2328"/>
          <w:sz w:val="22"/>
        </w:rPr>
        <w:t>Gründung, Notar und Register;</w:t>
      </w:r>
    </w:p>
    <w:p>
      <w:pPr>
        <w:spacing w:before="0" w:after="80" w:line="290" w:lineRule="auto"/>
        <w:numPr>
          <w:ilvl w:val="0"/>
          <w:numId w:val="25"/>
        </w:numPr>
      </w:pPr>
      <w:r>
        <w:rPr>
          <w:rFonts w:ascii="Calibri" w:hAnsi="Calibri"/>
          <w:color w:val="1F2328"/>
          <w:sz w:val="22"/>
        </w:rPr>
        <w:t>Stammkapital und verfügbare Liquidität;</w:t>
      </w:r>
    </w:p>
    <w:p>
      <w:pPr>
        <w:spacing w:before="0" w:after="80" w:line="290" w:lineRule="auto"/>
        <w:numPr>
          <w:ilvl w:val="0"/>
          <w:numId w:val="25"/>
        </w:numPr>
      </w:pPr>
      <w:r>
        <w:rPr>
          <w:rFonts w:ascii="Calibri" w:hAnsi="Calibri"/>
          <w:color w:val="1F2328"/>
          <w:sz w:val="22"/>
        </w:rPr>
        <w:t>Hosting, Domains, E-Mail, Speicher und Backups;</w:t>
      </w:r>
    </w:p>
    <w:p>
      <w:pPr>
        <w:spacing w:before="0" w:after="80" w:line="290" w:lineRule="auto"/>
        <w:numPr>
          <w:ilvl w:val="0"/>
          <w:numId w:val="25"/>
        </w:numPr>
      </w:pPr>
      <w:r>
        <w:rPr>
          <w:rFonts w:ascii="Calibri" w:hAnsi="Calibri"/>
          <w:color w:val="1F2328"/>
          <w:sz w:val="22"/>
        </w:rPr>
        <w:t>Softwarelizenzen und Schnittstellen;</w:t>
      </w:r>
    </w:p>
    <w:p>
      <w:pPr>
        <w:spacing w:before="0" w:after="80" w:line="290" w:lineRule="auto"/>
        <w:numPr>
          <w:ilvl w:val="0"/>
          <w:numId w:val="25"/>
        </w:numPr>
      </w:pPr>
      <w:r>
        <w:rPr>
          <w:rFonts w:ascii="Calibri" w:hAnsi="Calibri"/>
          <w:color w:val="1F2328"/>
          <w:sz w:val="22"/>
        </w:rPr>
        <w:t>Buchhaltung, Steuerberatung und Jahresabschluss;</w:t>
      </w:r>
    </w:p>
    <w:p>
      <w:pPr>
        <w:spacing w:before="0" w:after="80" w:line="290" w:lineRule="auto"/>
        <w:numPr>
          <w:ilvl w:val="0"/>
          <w:numId w:val="25"/>
        </w:numPr>
      </w:pPr>
      <w:r>
        <w:rPr>
          <w:rFonts w:ascii="Calibri" w:hAnsi="Calibri"/>
          <w:color w:val="1F2328"/>
          <w:sz w:val="22"/>
        </w:rPr>
        <w:t>Versicherungen, Kammerbeiträge und Bankkosten;</w:t>
      </w:r>
    </w:p>
    <w:p>
      <w:pPr>
        <w:spacing w:before="0" w:after="80" w:line="290" w:lineRule="auto"/>
        <w:numPr>
          <w:ilvl w:val="0"/>
          <w:numId w:val="25"/>
        </w:numPr>
      </w:pPr>
      <w:r>
        <w:rPr>
          <w:rFonts w:ascii="Calibri" w:hAnsi="Calibri"/>
          <w:color w:val="1F2328"/>
          <w:sz w:val="22"/>
        </w:rPr>
        <w:t>Datenschutz, Recht und mögliche externe Sicherheitsprüfung;</w:t>
      </w:r>
    </w:p>
    <w:p>
      <w:pPr>
        <w:spacing w:before="0" w:after="80" w:line="290" w:lineRule="auto"/>
        <w:numPr>
          <w:ilvl w:val="0"/>
          <w:numId w:val="25"/>
        </w:numPr>
      </w:pPr>
      <w:r>
        <w:rPr>
          <w:rFonts w:ascii="Calibri" w:hAnsi="Calibri"/>
          <w:color w:val="1F2328"/>
          <w:sz w:val="22"/>
        </w:rPr>
        <w:t>Vertrieb, Reisen, Werbung und Pilotkosten;</w:t>
      </w:r>
    </w:p>
    <w:p>
      <w:pPr>
        <w:spacing w:before="0" w:after="80" w:line="290" w:lineRule="auto"/>
        <w:numPr>
          <w:ilvl w:val="0"/>
          <w:numId w:val="25"/>
        </w:numPr>
      </w:pPr>
      <w:r>
        <w:rPr>
          <w:rFonts w:ascii="Calibri" w:hAnsi="Calibri"/>
          <w:color w:val="1F2328"/>
          <w:sz w:val="22"/>
        </w:rPr>
        <w:t>Hardware und Arbeitsmittel;</w:t>
      </w:r>
    </w:p>
    <w:p>
      <w:pPr>
        <w:spacing w:before="0" w:after="80" w:line="290" w:lineRule="auto"/>
        <w:numPr>
          <w:ilvl w:val="0"/>
          <w:numId w:val="25"/>
        </w:numPr>
      </w:pPr>
      <w:r>
        <w:rPr>
          <w:rFonts w:ascii="Calibri" w:hAnsi="Calibri"/>
          <w:color w:val="1F2328"/>
          <w:sz w:val="22"/>
        </w:rPr>
        <w:t>Geschäftsführervergütung beziehungsweise Entnahmen;</w:t>
      </w:r>
    </w:p>
    <w:p>
      <w:pPr>
        <w:spacing w:before="0" w:after="80" w:line="290" w:lineRule="auto"/>
        <w:numPr>
          <w:ilvl w:val="0"/>
          <w:numId w:val="25"/>
        </w:numPr>
      </w:pPr>
      <w:r>
        <w:rPr>
          <w:rFonts w:ascii="Calibri" w:hAnsi="Calibri"/>
          <w:color w:val="1F2328"/>
          <w:sz w:val="22"/>
        </w:rPr>
        <w:t>Umsatzsteuer, Ertragsteuern und Zahlungszeitpunkte.</w:t>
      </w:r>
    </w:p>
    <w:p>
      <w:pPr>
        <w:pStyle w:val="Heading1"/>
      </w:pPr>
      <w:r>
        <w:rPr>
          <w:rFonts w:ascii="Calibri" w:hAnsi="Calibri"/>
          <w:b/>
          <w:color w:val="2E74B5"/>
          <w:sz w:val="32"/>
        </w:rPr>
        <w:t>6. Investitionsplan</w:t>
      </w:r>
    </w:p>
    <w:p>
      <w:r>
        <w:rPr>
          <w:rFonts w:ascii="Calibri" w:hAnsi="Calibri"/>
          <w:color w:val="1F2328"/>
          <w:sz w:val="22"/>
        </w:rPr>
        <w:t>Der Investitionsplan wird nach Nachweis in folgende Gruppen gegliedert:</w:t>
      </w:r>
    </w:p>
    <w:tbl>
      <w:tblPr>
        <w:tblW w:type="dxa" w:w="9362"/>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069"/>
        <w:gridCol w:w="3678"/>
        <w:gridCol w:w="1250"/>
        <w:gridCol w:w="2365"/>
      </w:tblGrid>
      <w:tr>
        <w:trPr>
          <w:cantSplit w:val="true"/>
          <w:tblHeader w:val="true"/>
        </w:trPr>
        <w:tc>
          <w:tcPr>
            <w:tcW w:type="dxa" w:w="2069"/>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Investitionsgruppe</w:t>
            </w:r>
          </w:p>
        </w:tc>
        <w:tc>
          <w:tcPr>
            <w:tcW w:type="dxa" w:w="3678"/>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Inhalt</w:t>
            </w:r>
          </w:p>
        </w:tc>
        <w:tc>
          <w:tcPr>
            <w:tcW w:type="dxa" w:w="1250"/>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Betrag</w:t>
            </w:r>
          </w:p>
        </w:tc>
        <w:tc>
          <w:tcPr>
            <w:tcW w:type="dxa" w:w="2365"/>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Finanzierung</w:t>
            </w:r>
          </w:p>
        </w:tc>
      </w:tr>
      <w:tr>
        <w:trPr>
          <w:cantSplit w:val="true"/>
        </w:trPr>
        <w:tc>
          <w:tcPr>
            <w:tcW w:type="dxa" w:w="2069"/>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Gründung und Recht</w:t>
            </w:r>
          </w:p>
        </w:tc>
        <w:tc>
          <w:tcPr>
            <w:tcW w:type="dxa" w:w="3678"/>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Notar, Register, Verträge</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236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Eigenmittel/offen</w:t>
            </w:r>
          </w:p>
        </w:tc>
      </w:tr>
      <w:tr>
        <w:trPr>
          <w:cantSplit w:val="true"/>
        </w:trPr>
        <w:tc>
          <w:tcPr>
            <w:tcW w:type="dxa" w:w="2069"/>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Produktentwicklung</w:t>
            </w:r>
          </w:p>
        </w:tc>
        <w:tc>
          <w:tcPr>
            <w:tcW w:type="dxa" w:w="3678"/>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benötigte Fremdleistungen, Tools oder Hardware</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236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Eigenmittel/Umsatz/offen</w:t>
            </w:r>
          </w:p>
        </w:tc>
      </w:tr>
      <w:tr>
        <w:trPr>
          <w:cantSplit w:val="true"/>
        </w:trPr>
        <w:tc>
          <w:tcPr>
            <w:tcW w:type="dxa" w:w="2069"/>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Infrastruktur</w:t>
            </w:r>
          </w:p>
        </w:tc>
        <w:tc>
          <w:tcPr>
            <w:tcW w:type="dxa" w:w="3678"/>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Hosting, Speicher, Sicherheit, Backups</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236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laufender Betrieb/offen</w:t>
            </w:r>
          </w:p>
        </w:tc>
      </w:tr>
      <w:tr>
        <w:trPr>
          <w:cantSplit w:val="true"/>
        </w:trPr>
        <w:tc>
          <w:tcPr>
            <w:tcW w:type="dxa" w:w="2069"/>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Markteintritt</w:t>
            </w:r>
          </w:p>
        </w:tc>
        <w:tc>
          <w:tcPr>
            <w:tcW w:type="dxa" w:w="3678"/>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Pilotierung, Vertriebsmaterial, Reisen</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236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Eigenmittel/Umsatz/offen</w:t>
            </w:r>
          </w:p>
        </w:tc>
      </w:tr>
      <w:tr>
        <w:trPr>
          <w:cantSplit w:val="true"/>
        </w:trPr>
        <w:tc>
          <w:tcPr>
            <w:tcW w:type="dxa" w:w="2069"/>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Betriebsmittelreserve</w:t>
            </w:r>
          </w:p>
        </w:tc>
        <w:tc>
          <w:tcPr>
            <w:tcW w:type="dxa" w:w="3678"/>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Puffer für Zahlungsziele und variable Nutzung</w:t>
            </w:r>
          </w:p>
        </w:tc>
        <w:tc>
          <w:tcPr>
            <w:tcW w:type="dxa" w:w="125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offen</w:t>
            </w:r>
          </w:p>
        </w:tc>
        <w:tc>
          <w:tcPr>
            <w:tcW w:type="dxa" w:w="2365"/>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Eigenmittel/offen</w:t>
            </w:r>
          </w:p>
        </w:tc>
      </w:tr>
    </w:tbl>
    <w:p>
      <w:pPr>
        <w:spacing w:before="80" w:after="80"/>
      </w:pPr>
    </w:p>
    <w:p>
      <w:r>
        <w:rPr>
          <w:rFonts w:ascii="Calibri" w:hAnsi="Calibri"/>
          <w:color w:val="1F2328"/>
          <w:sz w:val="22"/>
        </w:rPr>
        <w:t>Eigene Entwicklungszeit wird in der Tätigkeits- und Kapazitätsplanung dargestellt. Sie darf nicht zugleich als tatsächlich ausgezahlte betriebliche Ausgabe behandelt werden, wenn keine entsprechende Zahlung erfolgt.</w:t>
      </w:r>
    </w:p>
    <w:p>
      <w:pPr>
        <w:pStyle w:val="Heading1"/>
      </w:pPr>
      <w:r>
        <w:rPr>
          <w:rFonts w:ascii="Calibri" w:hAnsi="Calibri"/>
          <w:b/>
          <w:color w:val="2E74B5"/>
          <w:sz w:val="32"/>
        </w:rPr>
        <w:t>7. Umsatzplanung</w:t>
      </w:r>
    </w:p>
    <w:p>
      <w:r>
        <w:rPr>
          <w:rFonts w:ascii="Calibri" w:hAnsi="Calibri"/>
          <w:color w:val="1F2328"/>
          <w:sz w:val="22"/>
        </w:rPr>
        <w:t>Der Umsatz wird später aus Kundenbewegungen und Erlösbausteinen berechnet:</w:t>
      </w:r>
    </w:p>
    <w:p>
      <w:pPr>
        <w:keepLines/>
        <w:spacing w:before="80" w:after="160" w:line="240" w:lineRule="auto"/>
        <w:ind w:left="259" w:right="259"/>
        <w:jc w:val="left"/>
        <w:shd w:fill="F4F6F9"/>
      </w:pPr>
      <w:r>
        <w:rPr>
          <w:rFonts w:ascii="Consolas" w:hAnsi="Consolas"/>
          <w:color w:val="1F2328"/>
          <w:sz w:val="17"/>
        </w:rPr>
        <w:t>Monatsumsatz</w:t>
        <w:br/>
        <w:t>= neue Kunden × Setup-Preis</w:t>
        <w:br/>
        <w:t>+ aktive Kunden × Plattformpreis</w:t>
        <w:br/>
        <w:t>+ aktive Betreuungskunden × Betreuungspreis</w:t>
        <w:br/>
        <w:t>+ Produktionsaufträge</w:t>
        <w:br/>
        <w:t>+ weiterberechneter Mehrverbrauch</w:t>
        <w:br/>
        <w:t>- Gutschriften und erwartete Ausfälle</w:t>
      </w:r>
    </w:p>
    <w:p>
      <w:r>
        <w:rPr>
          <w:rFonts w:ascii="Calibri" w:hAnsi="Calibri"/>
          <w:color w:val="1F2328"/>
          <w:sz w:val="22"/>
        </w:rPr>
        <w:t>Das bestätigte Ziel von 10.000 Euro Monatsumsatz bis Ende 2026 wird erst als plausibel bezeichnet, wenn Preis, benötigte Kundenzahl, Vertriebskapazität, Lieferkapazität und Zahlungszeitpunkt zusammenpassen.</w:t>
      </w:r>
    </w:p>
    <w:p>
      <w:pPr>
        <w:pStyle w:val="Heading1"/>
      </w:pPr>
      <w:r>
        <w:rPr>
          <w:rFonts w:ascii="Calibri" w:hAnsi="Calibri"/>
          <w:b/>
          <w:color w:val="2E74B5"/>
          <w:sz w:val="32"/>
        </w:rPr>
        <w:t>8. Szenarienstruktur</w:t>
      </w:r>
    </w:p>
    <w:p>
      <w:r>
        <w:rPr>
          <w:rFonts w:ascii="Calibri" w:hAnsi="Calibri"/>
          <w:color w:val="1F2328"/>
          <w:sz w:val="22"/>
        </w:rPr>
        <w:t>Die endgültige Planung erhält drei Szenarien aus derselben Annahmentabelle:</w:t>
      </w:r>
    </w:p>
    <w:tbl>
      <w:tblPr>
        <w:tblW w:type="dxa" w:w="9361"/>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217"/>
        <w:gridCol w:w="1971"/>
        <w:gridCol w:w="2381"/>
        <w:gridCol w:w="2792"/>
      </w:tblGrid>
      <w:tr>
        <w:trPr>
          <w:cantSplit w:val="true"/>
          <w:tblHeader w:val="true"/>
        </w:trPr>
        <w:tc>
          <w:tcPr>
            <w:tcW w:type="dxa" w:w="2217"/>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Dimension</w:t>
            </w:r>
          </w:p>
        </w:tc>
        <w:tc>
          <w:tcPr>
            <w:tcW w:type="dxa" w:w="1971"/>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Negativszenario</w:t>
            </w:r>
          </w:p>
        </w:tc>
        <w:tc>
          <w:tcPr>
            <w:tcW w:type="dxa" w:w="2381"/>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Basisszenario</w:t>
            </w:r>
          </w:p>
        </w:tc>
        <w:tc>
          <w:tcPr>
            <w:tcW w:type="dxa" w:w="2792"/>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Wachstumsszenario</w:t>
            </w:r>
          </w:p>
        </w:tc>
      </w:tr>
      <w:tr>
        <w:trPr>
          <w:cantSplit w:val="true"/>
        </w:trPr>
        <w:tc>
          <w:tcPr>
            <w:tcW w:type="dxa" w:w="221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Neukunden und aktive Kunden</w:t>
            </w:r>
          </w:p>
        </w:tc>
        <w:tc>
          <w:tcPr>
            <w:tcW w:type="dxa" w:w="197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unter Plan</w:t>
            </w:r>
          </w:p>
        </w:tc>
        <w:tc>
          <w:tcPr>
            <w:tcW w:type="dxa" w:w="238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realistisch erreichbar</w:t>
            </w:r>
          </w:p>
        </w:tc>
        <w:tc>
          <w:tcPr>
            <w:tcW w:type="dxa" w:w="27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über Plan bei belegter Nachfrage</w:t>
            </w:r>
          </w:p>
        </w:tc>
      </w:tr>
      <w:tr>
        <w:trPr>
          <w:cantSplit w:val="true"/>
        </w:trPr>
        <w:tc>
          <w:tcPr>
            <w:tcW w:type="dxa" w:w="221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Preise</w:t>
            </w:r>
          </w:p>
        </w:tc>
        <w:tc>
          <w:tcPr>
            <w:tcW w:type="dxa" w:w="197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Preisdruck/Rabatte</w:t>
            </w:r>
          </w:p>
        </w:tc>
        <w:tc>
          <w:tcPr>
            <w:tcW w:type="dxa" w:w="238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bestätigte Zielpreise</w:t>
            </w:r>
          </w:p>
        </w:tc>
        <w:tc>
          <w:tcPr>
            <w:tcW w:type="dxa" w:w="27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höherwertige Pakete/Mehrleistungen</w:t>
            </w:r>
          </w:p>
        </w:tc>
      </w:tr>
      <w:tr>
        <w:trPr>
          <w:cantSplit w:val="true"/>
        </w:trPr>
        <w:tc>
          <w:tcPr>
            <w:tcW w:type="dxa" w:w="221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KI-Verbrauch</w:t>
            </w:r>
          </w:p>
        </w:tc>
        <w:tc>
          <w:tcPr>
            <w:tcW w:type="dxa" w:w="197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hoher Verbrauch je Kunde</w:t>
            </w:r>
          </w:p>
        </w:tc>
        <w:tc>
          <w:tcPr>
            <w:tcW w:type="dxa" w:w="238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kontrollierter Verbrauch</w:t>
            </w:r>
          </w:p>
        </w:tc>
        <w:tc>
          <w:tcPr>
            <w:tcW w:type="dxa" w:w="27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Skaleneffekte und Limits</w:t>
            </w:r>
          </w:p>
        </w:tc>
      </w:tr>
      <w:tr>
        <w:trPr>
          <w:cantSplit w:val="true"/>
        </w:trPr>
        <w:tc>
          <w:tcPr>
            <w:tcW w:type="dxa" w:w="221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Produktion</w:t>
            </w:r>
          </w:p>
        </w:tc>
        <w:tc>
          <w:tcPr>
            <w:tcW w:type="dxa" w:w="197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hoher manueller Anteil</w:t>
            </w:r>
          </w:p>
        </w:tc>
        <w:tc>
          <w:tcPr>
            <w:tcW w:type="dxa" w:w="238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standardisierter Mischbetrieb</w:t>
            </w:r>
          </w:p>
        </w:tc>
        <w:tc>
          <w:tcPr>
            <w:tcW w:type="dxa" w:w="27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höhere Plattformquote</w:t>
            </w:r>
          </w:p>
        </w:tc>
      </w:tr>
      <w:tr>
        <w:trPr>
          <w:cantSplit w:val="true"/>
        </w:trPr>
        <w:tc>
          <w:tcPr>
            <w:tcW w:type="dxa" w:w="2217"/>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Zahlungseingänge</w:t>
            </w:r>
          </w:p>
        </w:tc>
        <w:tc>
          <w:tcPr>
            <w:tcW w:type="dxa" w:w="197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Verzögerungen/Ausfälle</w:t>
            </w:r>
          </w:p>
        </w:tc>
        <w:tc>
          <w:tcPr>
            <w:tcW w:type="dxa" w:w="2381"/>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vereinbarte Zahlungsziele</w:t>
            </w:r>
          </w:p>
        </w:tc>
        <w:tc>
          <w:tcPr>
            <w:tcW w:type="dxa" w:w="2792"/>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Vorauszahlung/geringe Ausfälle</w:t>
            </w:r>
          </w:p>
        </w:tc>
      </w:tr>
    </w:tbl>
    <w:p>
      <w:pPr>
        <w:spacing w:before="80" w:after="80"/>
      </w:pPr>
    </w:p>
    <w:p>
      <w:r>
        <w:rPr>
          <w:rFonts w:ascii="Calibri" w:hAnsi="Calibri"/>
          <w:color w:val="1F2328"/>
          <w:sz w:val="22"/>
        </w:rPr>
        <w:t>Die Szenarien erhalten erst nach Preis- und Zeitfreigabe konkrete Monatswerte.</w:t>
      </w:r>
    </w:p>
    <w:p>
      <w:pPr>
        <w:pStyle w:val="Heading1"/>
      </w:pPr>
      <w:r>
        <w:rPr>
          <w:rFonts w:ascii="Calibri" w:hAnsi="Calibri"/>
          <w:b/>
          <w:color w:val="2E74B5"/>
          <w:sz w:val="32"/>
        </w:rPr>
        <w:t>9. Ertragsplanung</w:t>
      </w:r>
    </w:p>
    <w:p>
      <w:r>
        <w:rPr>
          <w:rFonts w:ascii="Calibri" w:hAnsi="Calibri"/>
          <w:color w:val="1F2328"/>
          <w:sz w:val="22"/>
        </w:rPr>
        <w:t>Für jeden Planmonat gilt:</w:t>
      </w:r>
    </w:p>
    <w:p>
      <w:pPr>
        <w:keepLines/>
        <w:spacing w:before="80" w:after="160" w:line="240" w:lineRule="auto"/>
        <w:ind w:left="259" w:right="259"/>
        <w:jc w:val="left"/>
        <w:shd w:fill="F4F6F9"/>
      </w:pPr>
      <w:r>
        <w:rPr>
          <w:rFonts w:ascii="Consolas" w:hAnsi="Consolas"/>
          <w:color w:val="1F2328"/>
          <w:sz w:val="17"/>
        </w:rPr>
        <w:t>Betriebsergebnis vor Steuern</w:t>
        <w:br/>
        <w:t>= Kundenumsätze</w:t>
        <w:br/>
        <w:t>- direkt zurechenbare variable Kosten</w:t>
        <w:br/>
        <w:t>- Personal- und Geschäftsführerkosten</w:t>
        <w:br/>
        <w:t>- sonstige betriebliche Aufwendungen</w:t>
        <w:br/>
        <w:t>- Abschreibungen</w:t>
      </w:r>
    </w:p>
    <w:p>
      <w:r>
        <w:rPr>
          <w:rFonts w:ascii="Calibri" w:hAnsi="Calibri"/>
          <w:color w:val="1F2328"/>
          <w:sz w:val="22"/>
        </w:rPr>
        <w:t>Das Stipendium wird außerhalb dieser Kundenumsatzrechnung als persönliche Lebensunterhaltssicherung des Antragstellers ausgewiesen. Private Krankenversicherung beziehungsweise Sozialversicherung und persönliche Steuern werden separat berücksichtigt.</w:t>
      </w:r>
    </w:p>
    <w:p>
      <w:pPr>
        <w:pStyle w:val="Heading1"/>
      </w:pPr>
      <w:r>
        <w:rPr>
          <w:rFonts w:ascii="Calibri" w:hAnsi="Calibri"/>
          <w:b/>
          <w:color w:val="2E74B5"/>
          <w:sz w:val="32"/>
        </w:rPr>
        <w:t>10. Liquiditätsplanung</w:t>
      </w:r>
    </w:p>
    <w:p>
      <w:r>
        <w:rPr>
          <w:rFonts w:ascii="Calibri" w:hAnsi="Calibri"/>
          <w:color w:val="1F2328"/>
          <w:sz w:val="22"/>
        </w:rPr>
        <w:t>Die Liquidität wird zahlungsorientiert berechnet:</w:t>
      </w:r>
    </w:p>
    <w:p>
      <w:pPr>
        <w:keepLines/>
        <w:spacing w:before="80" w:after="160" w:line="240" w:lineRule="auto"/>
        <w:ind w:left="259" w:right="259"/>
        <w:jc w:val="left"/>
        <w:shd w:fill="F4F6F9"/>
      </w:pPr>
      <w:r>
        <w:rPr>
          <w:rFonts w:ascii="Consolas" w:hAnsi="Consolas"/>
          <w:color w:val="1F2328"/>
          <w:sz w:val="17"/>
        </w:rPr>
        <w:t>Endbestand liquide Mittel</w:t>
        <w:br/>
        <w:t>= Anfangsbestand</w:t>
        <w:br/>
        <w:t>+ tatsächlich eingegangene Kundenzahlungen</w:t>
        <w:br/>
        <w:t>+ Eigenkapital und sonstige zulässige Finanzierung</w:t>
        <w:br/>
        <w:t>- tatsächlich bezahlte Investitionen</w:t>
        <w:br/>
        <w:t>- betriebliche Auszahlungen</w:t>
        <w:br/>
        <w:t>- Steuern und Abgaben</w:t>
        <w:br/>
        <w:t>- Entnahmen beziehungsweise Geschäftsführervergütung</w:t>
      </w:r>
    </w:p>
    <w:p>
      <w:r>
        <w:rPr>
          <w:rFonts w:ascii="Calibri" w:hAnsi="Calibri"/>
          <w:color w:val="1F2328"/>
          <w:sz w:val="22"/>
        </w:rPr>
        <w:t>Umsatz entsteht nicht automatisch im selben Monat als Zahlungseingang. Zahlungsziele, Vorauszahlungen, Umsatzsteuer und mögliche Ausfälle werden daher gesondert modelliert. Investitions-, Ertrags-, Liquiditäts- und Finanzierungsplan müssen rechnerisch miteinander übereinstimmen.</w:t>
      </w:r>
    </w:p>
    <w:p>
      <w:pPr>
        <w:pStyle w:val="Heading1"/>
      </w:pPr>
      <w:r>
        <w:rPr>
          <w:rFonts w:ascii="Calibri" w:hAnsi="Calibri"/>
          <w:b/>
          <w:color w:val="2E74B5"/>
          <w:sz w:val="32"/>
        </w:rPr>
        <w:t>11. Finanzierungsplan</w:t>
      </w:r>
    </w:p>
    <w:p>
      <w:r>
        <w:rPr>
          <w:rFonts w:ascii="Calibri" w:hAnsi="Calibri"/>
          <w:color w:val="1F2328"/>
          <w:sz w:val="22"/>
        </w:rPr>
        <w:t>Mögliche Finanzierungsquellen werden nur aufgenommen, wenn sie tatsächlich verfügbar oder verbindlich zugesagt sind:</w:t>
      </w:r>
    </w:p>
    <w:p>
      <w:pPr>
        <w:spacing w:before="0" w:after="80" w:line="290" w:lineRule="auto"/>
        <w:numPr>
          <w:ilvl w:val="0"/>
          <w:numId w:val="26"/>
        </w:numPr>
      </w:pPr>
      <w:r>
        <w:rPr>
          <w:rFonts w:ascii="Calibri" w:hAnsi="Calibri"/>
          <w:color w:val="1F2328"/>
          <w:sz w:val="22"/>
        </w:rPr>
        <w:t>eingezahltes Stammkapital;</w:t>
      </w:r>
    </w:p>
    <w:p>
      <w:pPr>
        <w:spacing w:before="0" w:after="80" w:line="290" w:lineRule="auto"/>
        <w:numPr>
          <w:ilvl w:val="0"/>
          <w:numId w:val="26"/>
        </w:numPr>
      </w:pPr>
      <w:r>
        <w:rPr>
          <w:rFonts w:ascii="Calibri" w:hAnsi="Calibri"/>
          <w:color w:val="1F2328"/>
          <w:sz w:val="22"/>
        </w:rPr>
        <w:t>weitere Eigenmittel der Gesellschafter;</w:t>
      </w:r>
    </w:p>
    <w:p>
      <w:pPr>
        <w:spacing w:before="0" w:after="80" w:line="290" w:lineRule="auto"/>
        <w:numPr>
          <w:ilvl w:val="0"/>
          <w:numId w:val="26"/>
        </w:numPr>
      </w:pPr>
      <w:r>
        <w:rPr>
          <w:rFonts w:ascii="Calibri" w:hAnsi="Calibri"/>
          <w:color w:val="1F2328"/>
          <w:sz w:val="22"/>
        </w:rPr>
        <w:t>laufende Kundenzahlungen;</w:t>
      </w:r>
    </w:p>
    <w:p>
      <w:pPr>
        <w:spacing w:before="0" w:after="80" w:line="290" w:lineRule="auto"/>
        <w:numPr>
          <w:ilvl w:val="0"/>
          <w:numId w:val="26"/>
        </w:numPr>
      </w:pPr>
      <w:r>
        <w:rPr>
          <w:rFonts w:ascii="Calibri" w:hAnsi="Calibri"/>
          <w:color w:val="1F2328"/>
          <w:sz w:val="22"/>
        </w:rPr>
        <w:t>Anzahlungen oder Vorauszahlungen für Setup und Produktion;</w:t>
      </w:r>
    </w:p>
    <w:p>
      <w:pPr>
        <w:spacing w:before="0" w:after="80" w:line="290" w:lineRule="auto"/>
        <w:numPr>
          <w:ilvl w:val="0"/>
          <w:numId w:val="26"/>
        </w:numPr>
      </w:pPr>
      <w:r>
        <w:rPr>
          <w:rFonts w:ascii="Calibri" w:hAnsi="Calibri"/>
          <w:color w:val="1F2328"/>
          <w:sz w:val="22"/>
        </w:rPr>
        <w:t>nachweislich zugesagte, zulässige Fremd- oder Fördermittel.</w:t>
      </w:r>
    </w:p>
    <w:p>
      <w:r>
        <w:rPr>
          <w:rFonts w:ascii="Calibri" w:hAnsi="Calibri"/>
          <w:color w:val="1F2328"/>
          <w:sz w:val="22"/>
        </w:rPr>
        <w:t>Das GSA-Stipendium wird nicht als Finanzierung betrieblicher Investitionen angesetzt. Es schafft persönlichen zeitlichen Spielraum, ersetzt aber keinen Nachweis ausreichender Unternehmensliquidität.</w:t>
      </w:r>
    </w:p>
    <w:p>
      <w:pPr>
        <w:pStyle w:val="Heading1"/>
      </w:pPr>
      <w:r>
        <w:rPr>
          <w:rFonts w:ascii="Calibri" w:hAnsi="Calibri"/>
          <w:b/>
          <w:color w:val="2E74B5"/>
          <w:sz w:val="32"/>
        </w:rPr>
        <w:t>12. Plausibilitäts- und Freigaberegeln</w:t>
      </w:r>
    </w:p>
    <w:p>
      <w:r>
        <w:rPr>
          <w:rFonts w:ascii="Calibri" w:hAnsi="Calibri"/>
          <w:color w:val="1F2328"/>
          <w:sz w:val="22"/>
        </w:rPr>
        <w:t>Die Finanzplanung gilt erst als antragsreif, wenn:</w:t>
      </w:r>
    </w:p>
    <w:p>
      <w:pPr>
        <w:spacing w:before="0" w:after="80" w:line="290" w:lineRule="auto"/>
        <w:numPr>
          <w:ilvl w:val="0"/>
          <w:numId w:val="27"/>
        </w:numPr>
      </w:pPr>
      <w:r>
        <w:rPr>
          <w:rFonts w:ascii="Calibri" w:hAnsi="Calibri"/>
          <w:color w:val="1F2328"/>
          <w:sz w:val="22"/>
        </w:rPr>
        <w:t>alle Beträge eindeutig netto oder brutto gekennzeichnet sind;</w:t>
      </w:r>
    </w:p>
    <w:p>
      <w:pPr>
        <w:spacing w:before="0" w:after="80" w:line="290" w:lineRule="auto"/>
        <w:numPr>
          <w:ilvl w:val="0"/>
          <w:numId w:val="27"/>
        </w:numPr>
      </w:pPr>
      <w:r>
        <w:rPr>
          <w:rFonts w:ascii="Calibri" w:hAnsi="Calibri"/>
          <w:color w:val="1F2328"/>
          <w:sz w:val="22"/>
        </w:rPr>
        <w:t>die vier Bestandskunden und deren Umsätze belegt oder anonymisiert dokumentiert sind;</w:t>
      </w:r>
    </w:p>
    <w:p>
      <w:pPr>
        <w:spacing w:before="0" w:after="80" w:line="290" w:lineRule="auto"/>
        <w:numPr>
          <w:ilvl w:val="0"/>
          <w:numId w:val="27"/>
        </w:numPr>
      </w:pPr>
      <w:r>
        <w:rPr>
          <w:rFonts w:ascii="Calibri" w:hAnsi="Calibri"/>
          <w:color w:val="1F2328"/>
          <w:sz w:val="22"/>
        </w:rPr>
        <w:t>Anfangsliquidität und Stammkapital nachgewiesen sind;</w:t>
      </w:r>
    </w:p>
    <w:p>
      <w:pPr>
        <w:spacing w:before="0" w:after="80" w:line="290" w:lineRule="auto"/>
        <w:numPr>
          <w:ilvl w:val="0"/>
          <w:numId w:val="27"/>
        </w:numPr>
      </w:pPr>
      <w:r>
        <w:rPr>
          <w:rFonts w:ascii="Calibri" w:hAnsi="Calibri"/>
          <w:color w:val="1F2328"/>
          <w:sz w:val="22"/>
        </w:rPr>
        <w:t>Preise, Kundenzahl und Lieferkapazität rechnerisch zusammenpassen;</w:t>
      </w:r>
    </w:p>
    <w:p>
      <w:pPr>
        <w:spacing w:before="0" w:after="80" w:line="290" w:lineRule="auto"/>
        <w:numPr>
          <w:ilvl w:val="0"/>
          <w:numId w:val="27"/>
        </w:numPr>
      </w:pPr>
      <w:r>
        <w:rPr>
          <w:rFonts w:ascii="Calibri" w:hAnsi="Calibri"/>
          <w:color w:val="1F2328"/>
          <w:sz w:val="22"/>
        </w:rPr>
        <w:t>variable KI-Kosten pro Kunde oder Nutzungstreiber begrenzt sind;</w:t>
      </w:r>
    </w:p>
    <w:p>
      <w:pPr>
        <w:spacing w:before="0" w:after="80" w:line="290" w:lineRule="auto"/>
        <w:numPr>
          <w:ilvl w:val="0"/>
          <w:numId w:val="27"/>
        </w:numPr>
      </w:pPr>
      <w:r>
        <w:rPr>
          <w:rFonts w:ascii="Calibri" w:hAnsi="Calibri"/>
          <w:color w:val="1F2328"/>
          <w:sz w:val="22"/>
        </w:rPr>
        <w:t>private Lebenshaltung, Stipendium und Unternehmensfinanzen getrennt bleiben;</w:t>
      </w:r>
    </w:p>
    <w:p>
      <w:pPr>
        <w:spacing w:before="0" w:after="80" w:line="290" w:lineRule="auto"/>
        <w:numPr>
          <w:ilvl w:val="0"/>
          <w:numId w:val="27"/>
        </w:numPr>
      </w:pPr>
      <w:r>
        <w:rPr>
          <w:rFonts w:ascii="Calibri" w:hAnsi="Calibri"/>
          <w:color w:val="1F2328"/>
          <w:sz w:val="22"/>
        </w:rPr>
        <w:t>Umsatz-, Ertrags-, Liquiditäts- und Finanzierungsplan denselben Annahmen folgen;</w:t>
      </w:r>
    </w:p>
    <w:p>
      <w:pPr>
        <w:spacing w:before="0" w:after="80" w:line="290" w:lineRule="auto"/>
        <w:numPr>
          <w:ilvl w:val="0"/>
          <w:numId w:val="27"/>
        </w:numPr>
      </w:pPr>
      <w:r>
        <w:rPr>
          <w:rFonts w:ascii="Calibri" w:hAnsi="Calibri"/>
          <w:color w:val="1F2328"/>
          <w:sz w:val="22"/>
        </w:rPr>
        <w:t>ein Negativszenario ohne sofortige Zahlungsunfähigkeit dargestellt ist;</w:t>
      </w:r>
    </w:p>
    <w:p>
      <w:pPr>
        <w:spacing w:before="0" w:after="80" w:line="290" w:lineRule="auto"/>
        <w:numPr>
          <w:ilvl w:val="0"/>
          <w:numId w:val="27"/>
        </w:numPr>
      </w:pPr>
      <w:r>
        <w:rPr>
          <w:rFonts w:ascii="Calibri" w:hAnsi="Calibri"/>
          <w:color w:val="1F2328"/>
          <w:sz w:val="22"/>
        </w:rPr>
        <w:t>die Vollerwerbsperspektive nach Ende der Förderung plausibel wird.</w:t>
      </w:r>
    </w:p>
    <w:p>
      <w:pPr>
        <w:pStyle w:val="Heading1"/>
      </w:pPr>
      <w:r>
        <w:rPr>
          <w:rFonts w:ascii="Calibri" w:hAnsi="Calibri"/>
          <w:b/>
          <w:color w:val="2E74B5"/>
          <w:sz w:val="32"/>
        </w:rPr>
        <w:t>13. Nächste benötigte Finanzangaben</w:t>
      </w:r>
    </w:p>
    <w:p>
      <w:r>
        <w:rPr>
          <w:rFonts w:ascii="Calibri" w:hAnsi="Calibri"/>
          <w:color w:val="1F2328"/>
          <w:sz w:val="22"/>
        </w:rPr>
        <w:t>Für die nächste Rechenstufe werden benötigt:</w:t>
      </w:r>
    </w:p>
    <w:p>
      <w:pPr>
        <w:spacing w:before="0" w:after="80" w:line="290" w:lineRule="auto"/>
        <w:numPr>
          <w:ilvl w:val="0"/>
          <w:numId w:val="28"/>
        </w:numPr>
      </w:pPr>
      <w:r>
        <w:rPr>
          <w:rFonts w:ascii="Calibri" w:hAnsi="Calibri"/>
          <w:color w:val="1F2328"/>
          <w:sz w:val="22"/>
        </w:rPr>
        <w:t>Umsatzziel netto oder brutto;</w:t>
      </w:r>
    </w:p>
    <w:p>
      <w:pPr>
        <w:spacing w:before="0" w:after="80" w:line="290" w:lineRule="auto"/>
        <w:numPr>
          <w:ilvl w:val="0"/>
          <w:numId w:val="28"/>
        </w:numPr>
      </w:pPr>
      <w:r>
        <w:rPr>
          <w:rFonts w:ascii="Calibri" w:hAnsi="Calibri"/>
          <w:color w:val="1F2328"/>
          <w:sz w:val="22"/>
        </w:rPr>
        <w:t>bisheriger Umsatz und offene Forderungen der vier Kunden;</w:t>
      </w:r>
    </w:p>
    <w:p>
      <w:pPr>
        <w:spacing w:before="0" w:after="80" w:line="290" w:lineRule="auto"/>
        <w:numPr>
          <w:ilvl w:val="0"/>
          <w:numId w:val="28"/>
        </w:numPr>
      </w:pPr>
      <w:r>
        <w:rPr>
          <w:rFonts w:ascii="Calibri" w:hAnsi="Calibri"/>
          <w:color w:val="1F2328"/>
          <w:sz w:val="22"/>
        </w:rPr>
        <w:t>gewünschte Setup-, Plattform- und Betreuungspreise;</w:t>
      </w:r>
    </w:p>
    <w:p>
      <w:pPr>
        <w:spacing w:before="0" w:after="80" w:line="290" w:lineRule="auto"/>
        <w:numPr>
          <w:ilvl w:val="0"/>
          <w:numId w:val="28"/>
        </w:numPr>
      </w:pPr>
      <w:r>
        <w:rPr>
          <w:rFonts w:ascii="Calibri" w:hAnsi="Calibri"/>
          <w:color w:val="1F2328"/>
          <w:sz w:val="22"/>
        </w:rPr>
        <w:t>erwartete Kundenanzahl beziehungsweise Paketmix bis zum Umsatzziel;</w:t>
      </w:r>
    </w:p>
    <w:p>
      <w:pPr>
        <w:spacing w:before="0" w:after="80" w:line="290" w:lineRule="auto"/>
        <w:numPr>
          <w:ilvl w:val="0"/>
          <w:numId w:val="28"/>
        </w:numPr>
      </w:pPr>
      <w:r>
        <w:rPr>
          <w:rFonts w:ascii="Calibri" w:hAnsi="Calibri"/>
          <w:color w:val="1F2328"/>
          <w:sz w:val="22"/>
        </w:rPr>
        <w:t>Aufschlüsselung der 200 Euro Grundkosten;</w:t>
      </w:r>
    </w:p>
    <w:p>
      <w:pPr>
        <w:spacing w:before="0" w:after="80" w:line="290" w:lineRule="auto"/>
        <w:numPr>
          <w:ilvl w:val="0"/>
          <w:numId w:val="28"/>
        </w:numPr>
      </w:pPr>
      <w:r>
        <w:rPr>
          <w:rFonts w:ascii="Calibri" w:hAnsi="Calibri"/>
          <w:color w:val="1F2328"/>
          <w:sz w:val="22"/>
        </w:rPr>
        <w:t>erwarteter durchschnittlicher statt maximaler KI-Verbrauch;</w:t>
      </w:r>
    </w:p>
    <w:p>
      <w:pPr>
        <w:spacing w:before="0" w:after="80" w:line="290" w:lineRule="auto"/>
        <w:numPr>
          <w:ilvl w:val="0"/>
          <w:numId w:val="28"/>
        </w:numPr>
      </w:pPr>
      <w:r>
        <w:rPr>
          <w:rFonts w:ascii="Calibri" w:hAnsi="Calibri"/>
          <w:color w:val="1F2328"/>
          <w:sz w:val="22"/>
        </w:rPr>
        <w:t>Stammkapital, Kontostand und weitere verfügbare Eigenmittel;</w:t>
      </w:r>
    </w:p>
    <w:p>
      <w:pPr>
        <w:spacing w:before="0" w:after="80" w:line="290" w:lineRule="auto"/>
        <w:numPr>
          <w:ilvl w:val="0"/>
          <w:numId w:val="28"/>
        </w:numPr>
      </w:pPr>
      <w:r>
        <w:rPr>
          <w:rFonts w:ascii="Calibri" w:hAnsi="Calibri"/>
          <w:color w:val="1F2328"/>
          <w:sz w:val="22"/>
        </w:rPr>
        <w:t>einmalige Gründungskosten und geplante Anschaffungen;</w:t>
      </w:r>
    </w:p>
    <w:p>
      <w:pPr>
        <w:spacing w:before="0" w:after="80" w:line="290" w:lineRule="auto"/>
        <w:numPr>
          <w:ilvl w:val="0"/>
          <w:numId w:val="28"/>
        </w:numPr>
      </w:pPr>
      <w:r>
        <w:rPr>
          <w:rFonts w:ascii="Calibri" w:hAnsi="Calibri"/>
          <w:color w:val="1F2328"/>
          <w:sz w:val="22"/>
        </w:rPr>
        <w:t>private monatliche Lebenshaltung einschließlich Krankenversicherung;</w:t>
      </w:r>
    </w:p>
    <w:p>
      <w:pPr>
        <w:spacing w:before="0" w:after="80" w:line="290" w:lineRule="auto"/>
        <w:numPr>
          <w:ilvl w:val="0"/>
          <w:numId w:val="28"/>
        </w:numPr>
      </w:pPr>
      <w:r>
        <w:rPr>
          <w:rFonts w:ascii="Calibri" w:hAnsi="Calibri"/>
          <w:color w:val="1F2328"/>
          <w:sz w:val="22"/>
        </w:rPr>
        <w:t>gewünschte Entnahme oder Geschäftsführervergütung.</w:t>
      </w:r>
    </w:p>
    <w:p>
      <w:r>
        <w:rPr>
          <w:rFonts w:ascii="Calibri" w:hAnsi="Calibri"/>
          <w:color w:val="1F2328"/>
          <w:sz w:val="22"/>
        </w:rPr>
        <w:t>Diese Angaben werden anschließend in konkrete, zeitlich abgestimmte Tabellen übertragen.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Seite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8"/>
      </w:rPr>
      <w:t>Kernscale | Unternehmens- und Entwicklungskonzept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0">
    <w:abstractNumId w:val="9"/>
  </w:num>
  <w:abstractNum w:abstractNumId="10">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1">
    <w:abstractNumId w:val="10"/>
  </w:num>
  <w:abstractNum w:abstractNumId="11">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720"/>
        </w:tabs>
        <w:ind w:left="720" w:hanging="360"/>
        <w:spacing w:after="80" w:line="290" w:lineRule="auto"/>
      </w:pPr>
    </w:lvl>
  </w:abstractNum>
  <w:num w:numId="13">
    <w:abstractNumId w:val="12"/>
  </w:num>
  <w:abstractNum w:abstractNumId="13">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4">
    <w:abstractNumId w:val="13"/>
  </w:num>
  <w:abstractNum w:abstractNumId="14">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5">
    <w:abstractNumId w:val="14"/>
  </w:num>
  <w:abstractNum w:abstractNumId="15">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6">
    <w:abstractNumId w:val="15"/>
  </w:num>
  <w:abstractNum w:abstractNumId="16">
    <w:multiLevelType w:val="singleLevel"/>
    <w:lvl w:ilvl="0">
      <w:start w:val="1"/>
      <w:numFmt w:val="decimal"/>
      <w:lvlText w:val="%1."/>
      <w:suff w:val="tab"/>
      <w:pPr>
        <w:tabs>
          <w:tab w:val="num" w:pos="720"/>
        </w:tabs>
        <w:ind w:left="720" w:hanging="360"/>
        <w:spacing w:after="80" w:line="290" w:lineRule="auto"/>
      </w:pPr>
    </w:lvl>
  </w:abstractNum>
  <w:num w:numId="17">
    <w:abstractNumId w:val="16"/>
  </w:num>
  <w:abstractNum w:abstractNumId="17">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8">
    <w:abstractNumId w:val="17"/>
  </w:num>
  <w:abstractNum w:abstractNumId="18">
    <w:multiLevelType w:val="singleLevel"/>
    <w:lvl w:ilvl="0">
      <w:start w:val="1"/>
      <w:numFmt w:val="decimal"/>
      <w:lvlText w:val="%1."/>
      <w:suff w:val="tab"/>
      <w:pPr>
        <w:tabs>
          <w:tab w:val="num" w:pos="720"/>
        </w:tabs>
        <w:ind w:left="720" w:hanging="360"/>
        <w:spacing w:after="80" w:line="290" w:lineRule="auto"/>
      </w:pPr>
    </w:lvl>
  </w:abstractNum>
  <w:num w:numId="19">
    <w:abstractNumId w:val="18"/>
  </w:num>
  <w:abstractNum w:abstractNumId="19">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20">
    <w:abstractNumId w:val="19"/>
  </w:num>
  <w:abstractNum w:abstractNumId="20">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21">
    <w:abstractNumId w:val="20"/>
  </w:num>
  <w:abstractNum w:abstractNumId="21">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22">
    <w:abstractNumId w:val="21"/>
  </w:num>
  <w:abstractNum w:abstractNumId="22">
    <w:multiLevelType w:val="singleLevel"/>
    <w:lvl w:ilvl="0">
      <w:start w:val="1"/>
      <w:numFmt w:val="decimal"/>
      <w:lvlText w:val="%1."/>
      <w:suff w:val="tab"/>
      <w:pPr>
        <w:tabs>
          <w:tab w:val="num" w:pos="720"/>
        </w:tabs>
        <w:ind w:left="720" w:hanging="360"/>
        <w:spacing w:after="80" w:line="290" w:lineRule="auto"/>
      </w:pPr>
    </w:lvl>
  </w:abstractNum>
  <w:num w:numId="23">
    <w:abstractNumId w:val="22"/>
  </w:num>
  <w:abstractNum w:abstractNumId="23">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24">
    <w:abstractNumId w:val="23"/>
  </w:num>
  <w:abstractNum w:abstractNumId="24">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25">
    <w:abstractNumId w:val="24"/>
  </w:num>
  <w:abstractNum w:abstractNumId="25">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26">
    <w:abstractNumId w:val="25"/>
  </w:num>
  <w:abstractNum w:abstractNumId="26">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27">
    <w:abstractNumId w:val="26"/>
  </w:num>
  <w:abstractNum w:abstractNumId="27">
    <w:multiLevelType w:val="singleLevel"/>
    <w:lvl w:ilvl="0">
      <w:start w:val="1"/>
      <w:numFmt w:val="decimal"/>
      <w:lvlText w:val="%1."/>
      <w:suff w:val="tab"/>
      <w:pPr>
        <w:tabs>
          <w:tab w:val="num" w:pos="720"/>
        </w:tabs>
        <w:ind w:left="720" w:hanging="360"/>
        <w:spacing w:after="80" w:line="290" w:lineRule="auto"/>
      </w:pPr>
    </w:lvl>
  </w:abstract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