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160"/>
        <w:jc w:val="center"/>
      </w:pPr>
      <w:r>
        <w:rPr>
          <w:rFonts w:ascii="Calibri" w:hAnsi="Calibri"/>
          <w:b/>
          <w:color w:val="666666"/>
          <w:sz w:val="22"/>
        </w:rPr>
        <w:t>KERNSCALE UG (HAFTUNGSBESCHRÄNKT) I. G.</w:t>
      </w:r>
    </w:p>
    <w:p>
      <w:pPr>
        <w:spacing w:after="120"/>
        <w:jc w:val="center"/>
      </w:pPr>
      <w:r>
        <w:rPr>
          <w:rFonts w:ascii="Calibri" w:hAnsi="Calibri"/>
          <w:b/>
          <w:color w:val="1F2328"/>
          <w:sz w:val="50"/>
        </w:rPr>
        <w:t>Levial by Kernscale</w:t>
      </w:r>
    </w:p>
    <w:p>
      <w:pPr>
        <w:spacing w:after="440"/>
        <w:jc w:val="center"/>
      </w:pPr>
      <w:r>
        <w:rPr>
          <w:rFonts w:ascii="Calibri" w:hAnsi="Calibri"/>
          <w:color w:val="1F4D78"/>
          <w:sz w:val="28"/>
        </w:rPr>
        <w:t>Prüfunterlage für die fachliche Stellungnahme</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500"/>
        <w:gridCol w:w="6860"/>
      </w:tblGrid>
      <w:tr>
        <w:trPr>
          <w:cantSplit w:val="true"/>
        </w:trPr>
        <w:tc>
          <w:tcPr>
            <w:tcW w:type="dxa" w:w="2500"/>
            <w:tcMar>
              <w:top w:w="80" w:type="dxa"/>
              <w:start w:w="120" w:type="dxa"/>
              <w:bottom w:w="80" w:type="dxa"/>
              <w:end w:w="120" w:type="dxa"/>
            </w:tcMar>
            <w:vAlign w:val="center"/>
            <w:shd w:fill="F4F6F9"/>
          </w:tcPr>
          <w:p>
            <w:pPr>
              <w:spacing w:after="0"/>
            </w:pPr>
            <w:r>
              <w:rPr>
                <w:rFonts w:ascii="Calibri" w:hAnsi="Calibri"/>
                <w:b/>
                <w:color w:val="1F2328"/>
                <w:sz w:val="20"/>
              </w:rPr>
              <w:t>Dokument</w:t>
            </w:r>
          </w:p>
        </w:tc>
        <w:tc>
          <w:tcPr>
            <w:tcW w:type="dxa" w:w="6860"/>
            <w:tcMar>
              <w:top w:w="80" w:type="dxa"/>
              <w:start w:w="120" w:type="dxa"/>
              <w:bottom w:w="80" w:type="dxa"/>
              <w:end w:w="120" w:type="dxa"/>
            </w:tcMar>
            <w:vAlign w:val="center"/>
          </w:tcPr>
          <w:p>
            <w:pPr>
              <w:spacing w:after="0"/>
            </w:pPr>
            <w:r>
              <w:rPr>
                <w:rFonts w:ascii="Calibri" w:hAnsi="Calibri"/>
                <w:color w:val="1F2328"/>
                <w:sz w:val="20"/>
              </w:rPr>
              <w:t>GSA-Gründungsstipendium Mecklenburg-Vorpommern</w:t>
            </w:r>
          </w:p>
        </w:tc>
      </w:tr>
      <w:tr>
        <w:trPr>
          <w:cantSplit w:val="true"/>
        </w:trPr>
        <w:tc>
          <w:tcPr>
            <w:tcW w:type="dxa" w:w="2500"/>
            <w:tcMar>
              <w:top w:w="80" w:type="dxa"/>
              <w:start w:w="120" w:type="dxa"/>
              <w:bottom w:w="80" w:type="dxa"/>
              <w:end w:w="120" w:type="dxa"/>
            </w:tcMar>
            <w:vAlign w:val="center"/>
            <w:shd w:fill="F4F6F9"/>
          </w:tcPr>
          <w:p>
            <w:pPr>
              <w:spacing w:after="0"/>
            </w:pPr>
            <w:r>
              <w:rPr>
                <w:rFonts w:ascii="Calibri" w:hAnsi="Calibri"/>
                <w:b/>
                <w:color w:val="1F2328"/>
                <w:sz w:val="20"/>
              </w:rPr>
              <w:t>Antragsteller</w:t>
            </w:r>
          </w:p>
        </w:tc>
        <w:tc>
          <w:tcPr>
            <w:tcW w:type="dxa" w:w="6860"/>
            <w:tcMar>
              <w:top w:w="80" w:type="dxa"/>
              <w:start w:w="120" w:type="dxa"/>
              <w:bottom w:w="80" w:type="dxa"/>
              <w:end w:w="120" w:type="dxa"/>
            </w:tcMar>
            <w:vAlign w:val="center"/>
          </w:tcPr>
          <w:p>
            <w:pPr>
              <w:spacing w:after="0"/>
            </w:pPr>
            <w:r>
              <w:rPr>
                <w:rFonts w:ascii="Calibri" w:hAnsi="Calibri"/>
                <w:color w:val="1F2328"/>
                <w:sz w:val="20"/>
              </w:rPr>
              <w:t>Jonas Knüppel</w:t>
            </w:r>
          </w:p>
        </w:tc>
      </w:tr>
      <w:tr>
        <w:trPr>
          <w:cantSplit w:val="true"/>
        </w:trPr>
        <w:tc>
          <w:tcPr>
            <w:tcW w:type="dxa" w:w="2500"/>
            <w:tcMar>
              <w:top w:w="80" w:type="dxa"/>
              <w:start w:w="120" w:type="dxa"/>
              <w:bottom w:w="80" w:type="dxa"/>
              <w:end w:w="120" w:type="dxa"/>
            </w:tcMar>
            <w:vAlign w:val="center"/>
            <w:shd w:fill="F4F6F9"/>
          </w:tcPr>
          <w:p>
            <w:pPr>
              <w:spacing w:after="0"/>
            </w:pPr>
            <w:r>
              <w:rPr>
                <w:rFonts w:ascii="Calibri" w:hAnsi="Calibri"/>
                <w:b/>
                <w:color w:val="1F2328"/>
                <w:sz w:val="20"/>
              </w:rPr>
              <w:t>Unternehmenssitz</w:t>
            </w:r>
          </w:p>
        </w:tc>
        <w:tc>
          <w:tcPr>
            <w:tcW w:type="dxa" w:w="6860"/>
            <w:tcMar>
              <w:top w:w="80" w:type="dxa"/>
              <w:start w:w="120" w:type="dxa"/>
              <w:bottom w:w="80" w:type="dxa"/>
              <w:end w:w="120" w:type="dxa"/>
            </w:tcMar>
            <w:vAlign w:val="center"/>
          </w:tcPr>
          <w:p>
            <w:pPr>
              <w:spacing w:after="0"/>
            </w:pPr>
            <w:r>
              <w:rPr>
                <w:rFonts w:ascii="Calibri" w:hAnsi="Calibri"/>
                <w:color w:val="1F2328"/>
                <w:sz w:val="20"/>
              </w:rPr>
              <w:t>Bahnhofstraße 17a, 17094 Burg Stargard</w:t>
            </w:r>
          </w:p>
        </w:tc>
      </w:tr>
      <w:tr>
        <w:trPr>
          <w:cantSplit w:val="true"/>
        </w:trPr>
        <w:tc>
          <w:tcPr>
            <w:tcW w:type="dxa" w:w="2500"/>
            <w:tcMar>
              <w:top w:w="80" w:type="dxa"/>
              <w:start w:w="120" w:type="dxa"/>
              <w:bottom w:w="80" w:type="dxa"/>
              <w:end w:w="120" w:type="dxa"/>
            </w:tcMar>
            <w:vAlign w:val="center"/>
            <w:shd w:fill="F4F6F9"/>
          </w:tcPr>
          <w:p>
            <w:pPr>
              <w:spacing w:after="0"/>
            </w:pPr>
            <w:r>
              <w:rPr>
                <w:rFonts w:ascii="Calibri" w:hAnsi="Calibri"/>
                <w:b/>
                <w:color w:val="1F2328"/>
                <w:sz w:val="20"/>
              </w:rPr>
              <w:t>Stand</w:t>
            </w:r>
          </w:p>
        </w:tc>
        <w:tc>
          <w:tcPr>
            <w:tcW w:type="dxa" w:w="6860"/>
            <w:tcMar>
              <w:top w:w="80" w:type="dxa"/>
              <w:start w:w="120" w:type="dxa"/>
              <w:bottom w:w="80" w:type="dxa"/>
              <w:end w:w="120" w:type="dxa"/>
            </w:tcMar>
            <w:vAlign w:val="center"/>
          </w:tcPr>
          <w:p>
            <w:pPr>
              <w:spacing w:after="0"/>
            </w:pPr>
            <w:r>
              <w:rPr>
                <w:rFonts w:ascii="Calibri" w:hAnsi="Calibri"/>
                <w:color w:val="1F2328"/>
                <w:sz w:val="20"/>
              </w:rPr>
              <w:t>16.08.2026</w:t>
            </w:r>
          </w:p>
        </w:tc>
      </w:tr>
    </w:tbl>
    <w:p>
      <w:pPr>
        <w:spacing w:before="360" w:after="160"/>
        <w:jc w:val="center"/>
      </w:pPr>
      <w:r>
        <w:rPr>
          <w:rFonts w:ascii="Calibri" w:hAnsi="Calibri"/>
          <w:i/>
          <w:color w:val="666666"/>
          <w:sz w:val="20"/>
        </w:rPr>
        <w:t>Unabhängig zu prüfende Arbeitsfassung – keine vorweggenommene Stellungnahme der angefragten Einrichtung.</w:t>
      </w:r>
    </w:p>
    <w:p>
      <w:r>
        <w:br w:type="page"/>
      </w:r>
    </w:p>
    <w:p>
      <w:pPr>
        <w:pStyle w:val="Heading1"/>
      </w:pPr>
      <w:r>
        <w:rPr>
          <w:rFonts w:ascii="Calibri" w:hAnsi="Calibri"/>
          <w:b/>
          <w:color w:val="2E74B5"/>
          <w:sz w:val="32"/>
        </w:rPr>
        <w:t>1. Zweck der Unterlage</w:t>
      </w:r>
    </w:p>
    <w:p>
      <w:r>
        <w:rPr>
          <w:rFonts w:ascii="Calibri" w:hAnsi="Calibri"/>
          <w:color w:val="1F2328"/>
          <w:sz w:val="22"/>
        </w:rPr>
        <w:t xml:space="preserve">Diese Unterlage soll einer fachkundigen Hochschule oder anderen geeigneten Einrichtung eine unabhängige Beurteilung des Innovationscharakters von </w:t>
      </w:r>
      <w:r>
        <w:rPr>
          <w:rFonts w:ascii="Calibri" w:hAnsi="Calibri"/>
          <w:b/>
          <w:color w:val="1F2328"/>
          <w:sz w:val="22"/>
        </w:rPr>
        <w:t>Levial by Kernscale</w:t>
      </w:r>
      <w:r>
        <w:rPr>
          <w:rFonts w:ascii="Calibri" w:hAnsi="Calibri"/>
          <w:color w:val="1F2328"/>
          <w:sz w:val="22"/>
        </w:rPr>
        <w:t xml:space="preserve"> ermöglichen. Sie fasst Problem, Zielprodukt, vorhandene technische Grundlage, Abgrenzung zum Stand der Technik, Risiken sowie regionales Wachstums- und Beschäftigungspotenzial zusammen.</w:t>
      </w:r>
    </w:p>
    <w:p>
      <w:r>
        <w:rPr>
          <w:rFonts w:ascii="Calibri" w:hAnsi="Calibri"/>
          <w:color w:val="1F2328"/>
          <w:sz w:val="22"/>
        </w:rPr>
        <w:t>Die fachkundige Stelle wird ausdrücklich gebeten, die Bewertung eigenständig vorzunehmen, Aussagen zu ändern oder abzulehnen und nur Tatsachen zu bestätigen, die sie anhand der bereitgestellten Unterlagen nachvollziehen kann. Der enthaltene Formulierungsvorschlag ist kein vorgefertigtes Gutachten und darf nicht ungeprüft übernommen werden.</w:t>
      </w:r>
    </w:p>
    <w:p>
      <w:pPr>
        <w:pStyle w:val="Heading1"/>
      </w:pPr>
      <w:r>
        <w:rPr>
          <w:rFonts w:ascii="Calibri" w:hAnsi="Calibri"/>
          <w:b/>
          <w:color w:val="2E74B5"/>
          <w:sz w:val="32"/>
        </w:rPr>
        <w:t>2. Erbetene fachliche Prüfung</w:t>
      </w:r>
    </w:p>
    <w:p>
      <w:r>
        <w:rPr>
          <w:rFonts w:ascii="Calibri" w:hAnsi="Calibri"/>
          <w:color w:val="1F2328"/>
          <w:sz w:val="22"/>
        </w:rPr>
        <w:t>Die Stellungnahme sollte insbesondere beantworten:</w:t>
      </w:r>
    </w:p>
    <w:p>
      <w:pPr>
        <w:spacing w:before="0" w:after="80" w:line="290" w:lineRule="auto"/>
        <w:numPr>
          <w:ilvl w:val="0"/>
          <w:numId w:val="10"/>
        </w:numPr>
      </w:pPr>
      <w:r>
        <w:rPr>
          <w:rFonts w:ascii="Calibri" w:hAnsi="Calibri"/>
          <w:color w:val="1F2328"/>
          <w:sz w:val="22"/>
        </w:rPr>
        <w:t>Welchem fachlichen und technischen Stand ist das Vorhaben zuzuordnen?</w:t>
      </w:r>
    </w:p>
    <w:p>
      <w:pPr>
        <w:spacing w:before="0" w:after="80" w:line="290" w:lineRule="auto"/>
        <w:numPr>
          <w:ilvl w:val="0"/>
          <w:numId w:val="10"/>
        </w:numPr>
      </w:pPr>
      <w:r>
        <w:rPr>
          <w:rFonts w:ascii="Calibri" w:hAnsi="Calibri"/>
          <w:color w:val="1F2328"/>
          <w:sz w:val="22"/>
        </w:rPr>
        <w:t>Welche regionalen und überregionalen Vergleichsangebote bestehen bereits?</w:t>
      </w:r>
    </w:p>
    <w:p>
      <w:pPr>
        <w:spacing w:before="0" w:after="80" w:line="290" w:lineRule="auto"/>
        <w:numPr>
          <w:ilvl w:val="0"/>
          <w:numId w:val="10"/>
        </w:numPr>
      </w:pPr>
      <w:r>
        <w:rPr>
          <w:rFonts w:ascii="Calibri" w:hAnsi="Calibri"/>
          <w:color w:val="1F2328"/>
          <w:sz w:val="22"/>
        </w:rPr>
        <w:t>Worin liegt gegenüber diesen Angeboten die beabsichtigte Weiterentwicklung oder besondere Kombination?</w:t>
      </w:r>
    </w:p>
    <w:p>
      <w:pPr>
        <w:spacing w:before="0" w:after="80" w:line="290" w:lineRule="auto"/>
        <w:numPr>
          <w:ilvl w:val="0"/>
          <w:numId w:val="10"/>
        </w:numPr>
      </w:pPr>
      <w:r>
        <w:rPr>
          <w:rFonts w:ascii="Calibri" w:hAnsi="Calibri"/>
          <w:color w:val="1F2328"/>
          <w:sz w:val="22"/>
        </w:rPr>
        <w:t>Ist der Entwicklungsgegenstand technisch nachvollziehbar und von der vorhandenen Vorleistung abgrenzbar?</w:t>
      </w:r>
    </w:p>
    <w:p>
      <w:pPr>
        <w:spacing w:before="0" w:after="80" w:line="290" w:lineRule="auto"/>
        <w:numPr>
          <w:ilvl w:val="0"/>
          <w:numId w:val="10"/>
        </w:numPr>
      </w:pPr>
      <w:r>
        <w:rPr>
          <w:rFonts w:ascii="Calibri" w:hAnsi="Calibri"/>
          <w:color w:val="1F2328"/>
          <w:sz w:val="22"/>
        </w:rPr>
        <w:t>Welche wesentlichen technischen, datenbezogenen und wirtschaftlichen Risiken bestehen?</w:t>
      </w:r>
    </w:p>
    <w:p>
      <w:pPr>
        <w:spacing w:before="0" w:after="80" w:line="290" w:lineRule="auto"/>
        <w:numPr>
          <w:ilvl w:val="0"/>
          <w:numId w:val="10"/>
        </w:numPr>
      </w:pPr>
      <w:r>
        <w:rPr>
          <w:rFonts w:ascii="Calibri" w:hAnsi="Calibri"/>
          <w:color w:val="1F2328"/>
          <w:sz w:val="22"/>
        </w:rPr>
        <w:t>Welches Wachstums-, Transfer- und Beschäftigungspotenzial ist bei erfolgreicher Umsetzung plausibel?</w:t>
      </w:r>
    </w:p>
    <w:p>
      <w:pPr>
        <w:pStyle w:val="Heading1"/>
      </w:pPr>
      <w:r>
        <w:rPr>
          <w:rFonts w:ascii="Calibri" w:hAnsi="Calibri"/>
          <w:b/>
          <w:color w:val="2E74B5"/>
          <w:sz w:val="32"/>
        </w:rPr>
        <w:t>3. Vorhaben in Kürze</w:t>
      </w:r>
    </w:p>
    <w:p>
      <w:r>
        <w:rPr>
          <w:rFonts w:ascii="Calibri" w:hAnsi="Calibri"/>
          <w:color w:val="1F2328"/>
          <w:sz w:val="22"/>
        </w:rPr>
        <w:t xml:space="preserve">Kernscale entwickelt mit </w:t>
      </w:r>
      <w:r>
        <w:rPr>
          <w:rFonts w:ascii="Calibri" w:hAnsi="Calibri"/>
          <w:b/>
          <w:color w:val="1F2328"/>
          <w:sz w:val="22"/>
        </w:rPr>
        <w:t>Levial by Kernscale</w:t>
      </w:r>
      <w:r>
        <w:rPr>
          <w:rFonts w:ascii="Calibri" w:hAnsi="Calibri"/>
          <w:color w:val="1F2328"/>
          <w:sz w:val="22"/>
        </w:rPr>
        <w:t xml:space="preserve"> eine betreute Softwareplattform für lokale kleine und mittlere Unternehmen, Dienstleister und kleinere E-Commerce-Unternehmen. Sie soll getrennte Medien-, Marketing- und Leistungsinformationen in einem geschützten Kunden-Workspace zusammenführen. Daraus werden kanalübergreifende Signale, priorisierte Empfehlungen sowie kontextgebundene Strategien, Skripte und Medienvarianten abgeleitet. Nach menschlicher Prüfung und Umsetzung werden Ausgangszustand und Ergebnis miteinander verknüpft. Bestätigte Erkenntnisse sollen anschließend für spätere Entscheidungen wiederverwendbar werden.</w:t>
      </w:r>
    </w:p>
    <w:p>
      <w:r>
        <w:rPr>
          <w:rFonts w:ascii="Calibri" w:hAnsi="Calibri"/>
          <w:color w:val="1F2328"/>
          <w:sz w:val="22"/>
        </w:rPr>
        <w:t>Der Zielprozess lautet:</w:t>
      </w:r>
    </w:p>
    <w:p>
      <w:pPr>
        <w:keepLines/>
        <w:spacing w:before="80" w:after="160" w:line="240" w:lineRule="auto"/>
        <w:ind w:left="259" w:right="259"/>
        <w:jc w:val="left"/>
        <w:shd w:fill="F4F6F9"/>
      </w:pPr>
      <w:r>
        <w:rPr>
          <w:rFonts w:ascii="Consolas" w:hAnsi="Consolas"/>
          <w:color w:val="1F2328"/>
          <w:sz w:val="17"/>
        </w:rPr>
        <w:t>öffentliche und freigegebene interne Quellen</w:t>
        <w:br/>
        <w:t>-&gt; strukturierte Medienartefakte</w:t>
        <w:br/>
        <w:t>-&gt; kanalübergreifende Signale</w:t>
        <w:br/>
        <w:t>-&gt; Marken-, Angebots-, Zielgruppen- und Funnel-Kontext</w:t>
        <w:br/>
        <w:t>-&gt; priorisierte Empfehlungen</w:t>
        <w:br/>
        <w:t>-&gt; Strategien, Skripte und Medienvarianten</w:t>
        <w:br/>
        <w:t>-&gt; menschliche Prüfung und Umsetzung</w:t>
        <w:br/>
        <w:t>-&gt; Ergebnismessung</w:t>
        <w:br/>
        <w:t>-&gt; bestätigte Lernrecords</w:t>
        <w:br/>
        <w:t>-&gt; verbesserte nächste Maßnahme</w:t>
      </w:r>
    </w:p>
    <w:p>
      <w:r>
        <w:rPr>
          <w:rFonts w:ascii="Calibri" w:hAnsi="Calibri"/>
          <w:color w:val="1F2328"/>
          <w:sz w:val="22"/>
        </w:rPr>
        <w:t>Das Angebot verbindet Software mit fachlicher Betreuung. Es soll insbesondere kleinen Unternehmen den Zugang zu datenübergreifender Analyse ermöglichen, ohne ein eigenes MarTech-, Daten- oder Medienteam vorauszusetzen.</w:t>
      </w:r>
    </w:p>
    <w:p>
      <w:pPr>
        <w:pStyle w:val="Heading1"/>
      </w:pPr>
      <w:r>
        <w:rPr>
          <w:rFonts w:ascii="Calibri" w:hAnsi="Calibri"/>
          <w:b/>
          <w:color w:val="2E74B5"/>
          <w:sz w:val="32"/>
        </w:rPr>
        <w:t>4. Kundenproblem</w:t>
      </w:r>
    </w:p>
    <w:p>
      <w:r>
        <w:rPr>
          <w:rFonts w:ascii="Calibri" w:hAnsi="Calibri"/>
          <w:color w:val="1F2328"/>
          <w:sz w:val="22"/>
        </w:rPr>
        <w:t>Kleine Unternehmen betreiben Websites, Social-Media-Kanäle, Werbekonten, Unternehmensprofile, Shops und teilweise physische Kontaktpunkte häufig getrennt voneinander. Daten und Erkenntnisse verbleiben in Plattformen, Dateien oder bei verschiedenen Dienstleistern. Dadurch entstehen:</w:t>
      </w:r>
    </w:p>
    <w:p>
      <w:pPr>
        <w:spacing w:before="0" w:after="80" w:line="290" w:lineRule="auto"/>
        <w:numPr>
          <w:ilvl w:val="0"/>
          <w:numId w:val="11"/>
        </w:numPr>
      </w:pPr>
      <w:r>
        <w:rPr>
          <w:rFonts w:ascii="Calibri" w:hAnsi="Calibri"/>
          <w:color w:val="1F2328"/>
          <w:sz w:val="22"/>
        </w:rPr>
        <w:t>Medienbrüche zwischen Aufmerksamkeit, Website, Anfrage und Kauf;</w:t>
      </w:r>
    </w:p>
    <w:p>
      <w:pPr>
        <w:spacing w:before="0" w:after="80" w:line="290" w:lineRule="auto"/>
        <w:numPr>
          <w:ilvl w:val="0"/>
          <w:numId w:val="11"/>
        </w:numPr>
      </w:pPr>
      <w:r>
        <w:rPr>
          <w:rFonts w:ascii="Calibri" w:hAnsi="Calibri"/>
          <w:color w:val="1F2328"/>
          <w:sz w:val="22"/>
        </w:rPr>
        <w:t>inkonsistente Marken- und Angebotskommunikation;</w:t>
      </w:r>
    </w:p>
    <w:p>
      <w:pPr>
        <w:spacing w:before="0" w:after="80" w:line="290" w:lineRule="auto"/>
        <w:numPr>
          <w:ilvl w:val="0"/>
          <w:numId w:val="11"/>
        </w:numPr>
      </w:pPr>
      <w:r>
        <w:rPr>
          <w:rFonts w:ascii="Calibri" w:hAnsi="Calibri"/>
          <w:color w:val="1F2328"/>
          <w:sz w:val="22"/>
        </w:rPr>
        <w:t>hoher manueller Analyse- und Koordinationsaufwand;</w:t>
      </w:r>
    </w:p>
    <w:p>
      <w:pPr>
        <w:spacing w:before="0" w:after="80" w:line="290" w:lineRule="auto"/>
        <w:numPr>
          <w:ilvl w:val="0"/>
          <w:numId w:val="11"/>
        </w:numPr>
      </w:pPr>
      <w:r>
        <w:rPr>
          <w:rFonts w:ascii="Calibri" w:hAnsi="Calibri"/>
          <w:color w:val="1F2328"/>
          <w:sz w:val="22"/>
        </w:rPr>
        <w:t>Entscheidungen auf Basis einzelner Kennzahlen statt eines gemeinsamen Kontexts;</w:t>
      </w:r>
    </w:p>
    <w:p>
      <w:pPr>
        <w:spacing w:before="0" w:after="80" w:line="290" w:lineRule="auto"/>
        <w:numPr>
          <w:ilvl w:val="0"/>
          <w:numId w:val="11"/>
        </w:numPr>
      </w:pPr>
      <w:r>
        <w:rPr>
          <w:rFonts w:ascii="Calibri" w:hAnsi="Calibri"/>
          <w:color w:val="1F2328"/>
          <w:sz w:val="22"/>
        </w:rPr>
        <w:t>Wissensverlust, weil frühere Maßnahmen und Ergebnisse nicht strukturiert verbunden werden;</w:t>
      </w:r>
    </w:p>
    <w:p>
      <w:pPr>
        <w:spacing w:before="0" w:after="80" w:line="290" w:lineRule="auto"/>
        <w:numPr>
          <w:ilvl w:val="0"/>
          <w:numId w:val="11"/>
        </w:numPr>
      </w:pPr>
      <w:r>
        <w:rPr>
          <w:rFonts w:ascii="Calibri" w:hAnsi="Calibri"/>
          <w:color w:val="1F2328"/>
          <w:sz w:val="22"/>
        </w:rPr>
        <w:t>hohe Zugangshürden zu integrierten Enterprise-Lösungen.</w:t>
      </w:r>
    </w:p>
    <w:p>
      <w:pPr>
        <w:pStyle w:val="Heading1"/>
      </w:pPr>
      <w:r>
        <w:rPr>
          <w:rFonts w:ascii="Calibri" w:hAnsi="Calibri"/>
          <w:b/>
          <w:color w:val="2E74B5"/>
          <w:sz w:val="32"/>
        </w:rPr>
        <w:t>5. Bereits vorhandene technische Grundlage</w:t>
      </w:r>
    </w:p>
    <w:p>
      <w:r>
        <w:rPr>
          <w:rFonts w:ascii="Calibri" w:hAnsi="Calibri"/>
          <w:color w:val="1F2328"/>
          <w:sz w:val="22"/>
        </w:rPr>
        <w:t>Das Vorhaben beginnt nicht bei einer reinen Idee. Eine codebasierte Bestandsaufnahme des Kernscale-Dashboard-Repositories belegt unter anderem:</w:t>
      </w:r>
    </w:p>
    <w:p>
      <w:pPr>
        <w:spacing w:before="0" w:after="80" w:line="290" w:lineRule="auto"/>
        <w:numPr>
          <w:ilvl w:val="0"/>
          <w:numId w:val="12"/>
        </w:numPr>
      </w:pPr>
      <w:r>
        <w:rPr>
          <w:rFonts w:ascii="Calibri" w:hAnsi="Calibri"/>
          <w:color w:val="1F2328"/>
          <w:sz w:val="22"/>
        </w:rPr>
        <w:t>eine Laravel-/React-Anwendung mit PostgreSQL-Ausrichtung;</w:t>
      </w:r>
    </w:p>
    <w:p>
      <w:pPr>
        <w:spacing w:before="0" w:after="80" w:line="290" w:lineRule="auto"/>
        <w:numPr>
          <w:ilvl w:val="0"/>
          <w:numId w:val="12"/>
        </w:numPr>
      </w:pPr>
      <w:r>
        <w:rPr>
          <w:rFonts w:ascii="Calibri" w:hAnsi="Calibri"/>
          <w:color w:val="1F2328"/>
          <w:sz w:val="22"/>
        </w:rPr>
        <w:t>getrennte Kernscale- und Kunden-Workspaces;</w:t>
      </w:r>
    </w:p>
    <w:p>
      <w:pPr>
        <w:spacing w:before="0" w:after="80" w:line="290" w:lineRule="auto"/>
        <w:numPr>
          <w:ilvl w:val="0"/>
          <w:numId w:val="12"/>
        </w:numPr>
      </w:pPr>
      <w:r>
        <w:rPr>
          <w:rFonts w:ascii="Calibri" w:hAnsi="Calibri"/>
          <w:color w:val="1F2328"/>
          <w:sz w:val="22"/>
        </w:rPr>
        <w:t>zentrale Workspace-Grenzen für Abfragen, Mutationen und Route Model Binding;</w:t>
      </w:r>
    </w:p>
    <w:p>
      <w:pPr>
        <w:spacing w:before="0" w:after="80" w:line="290" w:lineRule="auto"/>
        <w:numPr>
          <w:ilvl w:val="0"/>
          <w:numId w:val="12"/>
        </w:numPr>
      </w:pPr>
      <w:r>
        <w:rPr>
          <w:rFonts w:ascii="Calibri" w:hAnsi="Calibri"/>
          <w:color w:val="1F2328"/>
          <w:sz w:val="22"/>
        </w:rPr>
        <w:t>Datenmodelle, APIs und Produktoberflächen für Quellen, Artefakte, Signale und Empfehlungen;</w:t>
      </w:r>
    </w:p>
    <w:p>
      <w:pPr>
        <w:spacing w:before="0" w:after="80" w:line="290" w:lineRule="auto"/>
        <w:numPr>
          <w:ilvl w:val="0"/>
          <w:numId w:val="12"/>
        </w:numPr>
      </w:pPr>
      <w:r>
        <w:rPr>
          <w:rFonts w:ascii="Calibri" w:hAnsi="Calibri"/>
          <w:color w:val="1F2328"/>
          <w:sz w:val="22"/>
        </w:rPr>
        <w:t>regelbasierte Signalerkennung;</w:t>
      </w:r>
    </w:p>
    <w:p>
      <w:pPr>
        <w:spacing w:before="0" w:after="80" w:line="290" w:lineRule="auto"/>
        <w:numPr>
          <w:ilvl w:val="0"/>
          <w:numId w:val="12"/>
        </w:numPr>
      </w:pPr>
      <w:r>
        <w:rPr>
          <w:rFonts w:ascii="Calibri" w:hAnsi="Calibri"/>
          <w:color w:val="1F2328"/>
          <w:sz w:val="22"/>
        </w:rPr>
        <w:t>Annahme, Ablehnung und Archivierung von Signalen und Empfehlungen;</w:t>
      </w:r>
    </w:p>
    <w:p>
      <w:pPr>
        <w:spacing w:before="0" w:after="80" w:line="290" w:lineRule="auto"/>
        <w:numPr>
          <w:ilvl w:val="0"/>
          <w:numId w:val="12"/>
        </w:numPr>
      </w:pPr>
      <w:r>
        <w:rPr>
          <w:rFonts w:ascii="Calibri" w:hAnsi="Calibri"/>
          <w:color w:val="1F2328"/>
          <w:sz w:val="22"/>
        </w:rPr>
        <w:t>Überführung akzeptierter Signale in eine Knowledge Base mit Herkunftsnachweis;</w:t>
      </w:r>
    </w:p>
    <w:p>
      <w:pPr>
        <w:spacing w:before="0" w:after="80" w:line="290" w:lineRule="auto"/>
        <w:numPr>
          <w:ilvl w:val="0"/>
          <w:numId w:val="12"/>
        </w:numPr>
      </w:pPr>
      <w:r>
        <w:rPr>
          <w:rFonts w:ascii="Calibri" w:hAnsi="Calibri"/>
          <w:color w:val="1F2328"/>
          <w:sz w:val="22"/>
        </w:rPr>
        <w:t>Knowledge Graph und vorbereitete Graph-Synchronisation;</w:t>
      </w:r>
    </w:p>
    <w:p>
      <w:pPr>
        <w:spacing w:before="0" w:after="80" w:line="290" w:lineRule="auto"/>
        <w:numPr>
          <w:ilvl w:val="0"/>
          <w:numId w:val="12"/>
        </w:numPr>
      </w:pPr>
      <w:r>
        <w:rPr>
          <w:rFonts w:ascii="Calibri" w:hAnsi="Calibri"/>
          <w:color w:val="1F2328"/>
          <w:sz w:val="22"/>
        </w:rPr>
        <w:t>Decision Queue für prüf- und freigabepflichtige Vorgänge;</w:t>
      </w:r>
    </w:p>
    <w:p>
      <w:pPr>
        <w:spacing w:before="0" w:after="80" w:line="290" w:lineRule="auto"/>
        <w:numPr>
          <w:ilvl w:val="0"/>
          <w:numId w:val="12"/>
        </w:numPr>
      </w:pPr>
      <w:r>
        <w:rPr>
          <w:rFonts w:ascii="Calibri" w:hAnsi="Calibri"/>
          <w:color w:val="1F2328"/>
          <w:sz w:val="22"/>
        </w:rPr>
        <w:t>operative Oberflächen für Aufgaben, Kommunikation, Dateien und Kundenorganisation.</w:t>
      </w:r>
    </w:p>
    <w:p>
      <w:r>
        <w:rPr>
          <w:rFonts w:ascii="Calibri" w:hAnsi="Calibri"/>
          <w:color w:val="1F2328"/>
          <w:sz w:val="22"/>
        </w:rPr>
        <w:t>Der bereits teilweise vorhandene Ablauf lautet:</w:t>
      </w:r>
    </w:p>
    <w:p>
      <w:pPr>
        <w:keepLines/>
        <w:spacing w:before="80" w:after="160" w:line="240" w:lineRule="auto"/>
        <w:ind w:left="259" w:right="259"/>
        <w:jc w:val="left"/>
        <w:shd w:fill="F4F6F9"/>
      </w:pPr>
      <w:r>
        <w:rPr>
          <w:rFonts w:ascii="Consolas" w:hAnsi="Consolas"/>
          <w:color w:val="1F2328"/>
          <w:sz w:val="17"/>
        </w:rPr>
        <w:t>Quelle -&gt; Artefakt -&gt; regelbasiertes Signal -&gt; menschliche Prüfung</w:t>
        <w:br/>
        <w:t>-&gt; Wissenseintrag mit Herkunft -&gt; Empfehlung -&gt; Entscheidungsanforderung</w:t>
      </w:r>
    </w:p>
    <w:p>
      <w:pPr>
        <w:pStyle w:val="Heading1"/>
      </w:pPr>
      <w:r>
        <w:rPr>
          <w:rFonts w:ascii="Calibri" w:hAnsi="Calibri"/>
          <w:b/>
          <w:color w:val="2E74B5"/>
          <w:sz w:val="32"/>
        </w:rPr>
        <w:t>6. Noch zu entwickelnder Gegenstand</w:t>
      </w:r>
    </w:p>
    <w:p>
      <w:r>
        <w:rPr>
          <w:rFonts w:ascii="Calibri" w:hAnsi="Calibri"/>
          <w:color w:val="1F2328"/>
          <w:sz w:val="22"/>
        </w:rPr>
        <w:t>Nicht als fertig oder produktiv ausgegeben werden insbesondere:</w:t>
      </w:r>
    </w:p>
    <w:p>
      <w:pPr>
        <w:spacing w:before="0" w:after="80" w:line="290" w:lineRule="auto"/>
        <w:numPr>
          <w:ilvl w:val="0"/>
          <w:numId w:val="13"/>
        </w:numPr>
      </w:pPr>
      <w:r>
        <w:rPr>
          <w:rFonts w:ascii="Calibri" w:hAnsi="Calibri"/>
          <w:color w:val="1F2328"/>
          <w:sz w:val="22"/>
        </w:rPr>
        <w:t>echte autorisierte Konnektoren zu relevanten Medien-, Analyse- und Leistungsquellen;</w:t>
      </w:r>
    </w:p>
    <w:p>
      <w:pPr>
        <w:spacing w:before="0" w:after="80" w:line="290" w:lineRule="auto"/>
        <w:numPr>
          <w:ilvl w:val="0"/>
          <w:numId w:val="13"/>
        </w:numPr>
      </w:pPr>
      <w:r>
        <w:rPr>
          <w:rFonts w:ascii="Calibri" w:hAnsi="Calibri"/>
          <w:color w:val="1F2328"/>
          <w:sz w:val="22"/>
        </w:rPr>
        <w:t>KI-basierte kanalübergreifende Analyse;</w:t>
      </w:r>
    </w:p>
    <w:p>
      <w:pPr>
        <w:spacing w:before="0" w:after="80" w:line="290" w:lineRule="auto"/>
        <w:numPr>
          <w:ilvl w:val="0"/>
          <w:numId w:val="13"/>
        </w:numPr>
      </w:pPr>
      <w:r>
        <w:rPr>
          <w:rFonts w:ascii="Calibri" w:hAnsi="Calibri"/>
          <w:color w:val="1F2328"/>
          <w:sz w:val="22"/>
        </w:rPr>
        <w:t>ein vollständiges Marken-, Angebots-, Zielgruppen- und Funnel-Kontextmodell;</w:t>
      </w:r>
    </w:p>
    <w:p>
      <w:pPr>
        <w:spacing w:before="0" w:after="80" w:line="290" w:lineRule="auto"/>
        <w:numPr>
          <w:ilvl w:val="0"/>
          <w:numId w:val="13"/>
        </w:numPr>
      </w:pPr>
      <w:r>
        <w:rPr>
          <w:rFonts w:ascii="Calibri" w:hAnsi="Calibri"/>
          <w:color w:val="1F2328"/>
          <w:sz w:val="22"/>
        </w:rPr>
        <w:t>kontextgebundene Generierung von Strategien, Skripten und Medienvarianten;</w:t>
      </w:r>
    </w:p>
    <w:p>
      <w:pPr>
        <w:spacing w:before="0" w:after="80" w:line="290" w:lineRule="auto"/>
        <w:numPr>
          <w:ilvl w:val="0"/>
          <w:numId w:val="13"/>
        </w:numPr>
      </w:pPr>
      <w:r>
        <w:rPr>
          <w:rFonts w:ascii="Calibri" w:hAnsi="Calibri"/>
          <w:color w:val="1F2328"/>
          <w:sz w:val="22"/>
        </w:rPr>
        <w:t>produktive Prüf-, Freigabe- und Aktivierungsworkflows für diese Ergebnisse;</w:t>
      </w:r>
    </w:p>
    <w:p>
      <w:pPr>
        <w:spacing w:before="0" w:after="80" w:line="290" w:lineRule="auto"/>
        <w:numPr>
          <w:ilvl w:val="0"/>
          <w:numId w:val="13"/>
        </w:numPr>
      </w:pPr>
      <w:r>
        <w:rPr>
          <w:rFonts w:ascii="Calibri" w:hAnsi="Calibri"/>
          <w:color w:val="1F2328"/>
          <w:sz w:val="22"/>
        </w:rPr>
        <w:t>ein Datenmodell für Experimente, Ausgangs- und Ergebnissnapshots;</w:t>
      </w:r>
    </w:p>
    <w:p>
      <w:pPr>
        <w:spacing w:before="0" w:after="80" w:line="290" w:lineRule="auto"/>
        <w:numPr>
          <w:ilvl w:val="0"/>
          <w:numId w:val="13"/>
        </w:numPr>
      </w:pPr>
      <w:r>
        <w:rPr>
          <w:rFonts w:ascii="Calibri" w:hAnsi="Calibri"/>
          <w:color w:val="1F2328"/>
          <w:sz w:val="22"/>
        </w:rPr>
        <w:t>bestätigte Lernrecords und ein technisch geschlossener Analyse-Maßnahme-Ergebnis-Lernkreislauf;</w:t>
      </w:r>
    </w:p>
    <w:p>
      <w:pPr>
        <w:spacing w:before="0" w:after="80" w:line="290" w:lineRule="auto"/>
        <w:numPr>
          <w:ilvl w:val="0"/>
          <w:numId w:val="13"/>
        </w:numPr>
      </w:pPr>
      <w:r>
        <w:rPr>
          <w:rFonts w:ascii="Calibri" w:hAnsi="Calibri"/>
          <w:color w:val="1F2328"/>
          <w:sz w:val="22"/>
        </w:rPr>
        <w:t>echte Funnel-Kennzahlen auf der Dashboard-Startseite.</w:t>
      </w:r>
    </w:p>
    <w:p>
      <w:r>
        <w:rPr>
          <w:rFonts w:ascii="Calibri" w:hAnsi="Calibri"/>
          <w:color w:val="1F2328"/>
          <w:sz w:val="22"/>
        </w:rPr>
        <w:t>Die vorhandene Daten-, Wissens- und Entscheidungsschicht soll damit zu einem produktiven, überprüfbaren Medienverbesserungssystem weiterentwickelt werden.</w:t>
      </w:r>
    </w:p>
    <w:p>
      <w:pPr>
        <w:pStyle w:val="Heading1"/>
      </w:pPr>
      <w:r>
        <w:rPr>
          <w:rFonts w:ascii="Calibri" w:hAnsi="Calibri"/>
          <w:b/>
          <w:color w:val="2E74B5"/>
          <w:sz w:val="32"/>
        </w:rPr>
        <w:t>7. Innovationsanspruch und Abgrenzung</w:t>
      </w:r>
    </w:p>
    <w:p>
      <w:r>
        <w:rPr>
          <w:rFonts w:ascii="Calibri" w:hAnsi="Calibri"/>
          <w:color w:val="1F2328"/>
          <w:sz w:val="22"/>
        </w:rPr>
        <w:t>Kernscale beansprucht nicht, Analytics, generative KI, Social Publishing, CRM, Attribution, Dashboards, Human Review oder kanalübergreifende Datenintegration erfunden zu haben. Vergleichbare Teilfähigkeiten bestehen unter anderem bei Adobe GenStudio, HubSpot, Hootsuite, Sprout Social, Funnel, Supermetrics und Whatagraph. Auch regionale Agenturen bieten Strategie, Medienproduktion, Web-, Shop-, Werbe- und Betreuungsleistungen an.</w:t>
      </w:r>
    </w:p>
    <w:p>
      <w:r>
        <w:rPr>
          <w:rFonts w:ascii="Calibri" w:hAnsi="Calibri"/>
          <w:color w:val="1F2328"/>
          <w:sz w:val="22"/>
        </w:rPr>
        <w:t>Die beabsichtigte Differenzierung liegt in der für kleine lokale Unternehmen zugänglichen Verbindung aus:</w:t>
      </w:r>
    </w:p>
    <w:p>
      <w:pPr>
        <w:spacing w:before="0" w:after="80" w:line="290" w:lineRule="auto"/>
        <w:numPr>
          <w:ilvl w:val="0"/>
          <w:numId w:val="14"/>
        </w:numPr>
      </w:pPr>
      <w:r>
        <w:rPr>
          <w:rFonts w:ascii="Calibri" w:hAnsi="Calibri"/>
          <w:color w:val="1F2328"/>
          <w:sz w:val="22"/>
        </w:rPr>
        <w:t>dauerhaftem, getrenntem Kunden-Workspace als Kontext- und Nachweisbasis;</w:t>
      </w:r>
    </w:p>
    <w:p>
      <w:pPr>
        <w:spacing w:before="0" w:after="80" w:line="290" w:lineRule="auto"/>
        <w:numPr>
          <w:ilvl w:val="0"/>
          <w:numId w:val="14"/>
        </w:numPr>
      </w:pPr>
      <w:r>
        <w:rPr>
          <w:rFonts w:ascii="Calibri" w:hAnsi="Calibri"/>
          <w:color w:val="1F2328"/>
          <w:sz w:val="22"/>
        </w:rPr>
        <w:t>gemeinsamer Betrachtung öffentlicher Medieninformationen und freigegebener interner Leistungsdaten;</w:t>
      </w:r>
    </w:p>
    <w:p>
      <w:pPr>
        <w:spacing w:before="0" w:after="80" w:line="290" w:lineRule="auto"/>
        <w:numPr>
          <w:ilvl w:val="0"/>
          <w:numId w:val="14"/>
        </w:numPr>
      </w:pPr>
      <w:r>
        <w:rPr>
          <w:rFonts w:ascii="Calibri" w:hAnsi="Calibri"/>
          <w:color w:val="1F2328"/>
          <w:sz w:val="22"/>
        </w:rPr>
        <w:t>Analyse der Übergänge zwischen Aufmerksamkeit, Website oder Shop, Anfrage und Kauf;</w:t>
      </w:r>
    </w:p>
    <w:p>
      <w:pPr>
        <w:spacing w:before="0" w:after="80" w:line="290" w:lineRule="auto"/>
        <w:numPr>
          <w:ilvl w:val="0"/>
          <w:numId w:val="14"/>
        </w:numPr>
      </w:pPr>
      <w:r>
        <w:rPr>
          <w:rFonts w:ascii="Calibri" w:hAnsi="Calibri"/>
          <w:color w:val="1F2328"/>
          <w:sz w:val="22"/>
        </w:rPr>
        <w:t>belegbezogenen Empfehlungen mit sichtbarer Herkunft und Unsicherheit;</w:t>
      </w:r>
    </w:p>
    <w:p>
      <w:pPr>
        <w:spacing w:before="0" w:after="80" w:line="290" w:lineRule="auto"/>
        <w:numPr>
          <w:ilvl w:val="0"/>
          <w:numId w:val="14"/>
        </w:numPr>
      </w:pPr>
      <w:r>
        <w:rPr>
          <w:rFonts w:ascii="Calibri" w:hAnsi="Calibri"/>
          <w:color w:val="1F2328"/>
          <w:sz w:val="22"/>
        </w:rPr>
        <w:t>Generierung innerhalb eines geprüften Marken- und Geschäftskontexts;</w:t>
      </w:r>
    </w:p>
    <w:p>
      <w:pPr>
        <w:spacing w:before="0" w:after="80" w:line="290" w:lineRule="auto"/>
        <w:numPr>
          <w:ilvl w:val="0"/>
          <w:numId w:val="14"/>
        </w:numPr>
      </w:pPr>
      <w:r>
        <w:rPr>
          <w:rFonts w:ascii="Calibri" w:hAnsi="Calibri"/>
          <w:color w:val="1F2328"/>
          <w:sz w:val="22"/>
        </w:rPr>
        <w:t>menschlicher Prüfung vor kundenwirksamen Entscheidungen;</w:t>
      </w:r>
    </w:p>
    <w:p>
      <w:pPr>
        <w:spacing w:before="0" w:after="80" w:line="290" w:lineRule="auto"/>
        <w:numPr>
          <w:ilvl w:val="0"/>
          <w:numId w:val="14"/>
        </w:numPr>
      </w:pPr>
      <w:r>
        <w:rPr>
          <w:rFonts w:ascii="Calibri" w:hAnsi="Calibri"/>
          <w:color w:val="1F2328"/>
          <w:sz w:val="22"/>
        </w:rPr>
        <w:t>Verbindung von Software und laufender fachlicher Betreuung;</w:t>
      </w:r>
    </w:p>
    <w:p>
      <w:pPr>
        <w:spacing w:before="0" w:after="80" w:line="290" w:lineRule="auto"/>
        <w:numPr>
          <w:ilvl w:val="0"/>
          <w:numId w:val="14"/>
        </w:numPr>
      </w:pPr>
      <w:r>
        <w:rPr>
          <w:rFonts w:ascii="Calibri" w:hAnsi="Calibri"/>
          <w:color w:val="1F2328"/>
          <w:sz w:val="22"/>
        </w:rPr>
        <w:t>dokumentierter Beweiskette von Ausgangslage, Maßnahme und Ergebnis;</w:t>
      </w:r>
    </w:p>
    <w:p>
      <w:pPr>
        <w:spacing w:before="0" w:after="80" w:line="290" w:lineRule="auto"/>
        <w:numPr>
          <w:ilvl w:val="0"/>
          <w:numId w:val="14"/>
        </w:numPr>
      </w:pPr>
      <w:r>
        <w:rPr>
          <w:rFonts w:ascii="Calibri" w:hAnsi="Calibri"/>
          <w:color w:val="1F2328"/>
          <w:sz w:val="22"/>
        </w:rPr>
        <w:t>Wiederverwendung ausschließlich bestätigter Erkenntnisse.</w:t>
      </w:r>
    </w:p>
    <w:p>
      <w:r>
        <w:rPr>
          <w:rFonts w:ascii="Calibri" w:hAnsi="Calibri"/>
          <w:color w:val="1F2328"/>
          <w:sz w:val="22"/>
        </w:rPr>
        <w:t>Der Innovationsanspruch liegt somit nicht in einer Einzelfunktion, sondern in der systemischen Produktisierung eines betreuten, evidenzgebundenen Lernkreislaufs für kleine Unternehmen.</w:t>
      </w:r>
    </w:p>
    <w:p>
      <w:pPr>
        <w:pStyle w:val="Heading1"/>
      </w:pPr>
      <w:r>
        <w:rPr>
          <w:rFonts w:ascii="Calibri" w:hAnsi="Calibri"/>
          <w:b/>
          <w:color w:val="2E74B5"/>
          <w:sz w:val="32"/>
        </w:rPr>
        <w:t>8. Technische und wirtschaftliche Risiken</w:t>
      </w:r>
    </w:p>
    <w:tbl>
      <w:tblPr>
        <w:tblW w:type="dxa" w:w="9360"/>
        <w:jc w:val="left"/>
        <w:tblLayout w:type="fixed"/>
        <w:tblLook w:firstColumn="1" w:firstRow="1" w:lastColumn="0" w:lastRow="0" w:noHBand="0" w:noVBand="1" w:val="04A0"/>
        <w:tblInd w:w="12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700"/>
        <w:gridCol w:w="6660"/>
      </w:tblGrid>
      <w:tr>
        <w:trPr>
          <w:cantSplit w:val="true"/>
          <w:tblHeader w:val="true"/>
        </w:trPr>
        <w:tc>
          <w:tcPr>
            <w:tcW w:type="dxa" w:w="2700"/>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Risiko</w:t>
            </w:r>
          </w:p>
        </w:tc>
        <w:tc>
          <w:tcPr>
            <w:tcW w:type="dxa" w:w="6660"/>
            <w:tcMar>
              <w:top w:w="80" w:type="dxa"/>
              <w:start w:w="120" w:type="dxa"/>
              <w:bottom w:w="80" w:type="dxa"/>
              <w:end w:w="120" w:type="dxa"/>
            </w:tcMar>
            <w:vAlign w:val="center"/>
            <w:shd w:fill="F4F6F9"/>
          </w:tcPr>
          <w:p>
            <w:pPr>
              <w:spacing w:before="0" w:after="0" w:line="259" w:lineRule="auto"/>
              <w:jc w:val="left"/>
            </w:pPr>
            <w:r>
              <w:rPr>
                <w:rFonts w:ascii="Calibri" w:hAnsi="Calibri"/>
                <w:b/>
                <w:color w:val="1F2328"/>
                <w:sz w:val="18"/>
              </w:rPr>
              <w:t>Geplante Gegenmaßnahme</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Plattform-APIs ändern Bedingungen oder begrenzen Zugriffe</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modulare Konnektoren, priorisierte Kernintegrationen und standardisierte Importe</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Kundendaten sind unvollständig oder widersprüchlich</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sichtbare Datenqualität, Herkunftsnachweise und menschliche Prüfung</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KI-Ausgaben enthalten sachliche oder markenbezogene Fehler</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Belegbindung, Freigabepflicht und Trennung von Entwurf und bestätigtem Wissen</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Ergebniseffekte werden fälschlich kausal zugerechnet</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Ausgangs-/Ergebnissnapshots, Messfenster, alternative Erklärungen und dokumentierte Unsicherheit</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Mandanten- oder Datenschutzgrenzen reichen nicht aus</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Workspace-Isolation, Rollen, Zugriffsprüfungen, Datenminimierung sowie Lösch- und Exportkonzepte</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Produktumfang wächst durch zu viele Kanäle unkontrolliert</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modularer Aufbau und Auswahl nach Kundenbedarf, API-Stabilität und wirtschaftlichem Nutzen</w:t>
            </w:r>
          </w:p>
        </w:tc>
      </w:tr>
      <w:tr>
        <w:trPr>
          <w:cantSplit w:val="true"/>
        </w:trPr>
        <w:tc>
          <w:tcPr>
            <w:tcW w:type="dxa" w:w="270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Kunden kaufen nur Einzelprojekte statt laufender Plattformnutzung</w:t>
            </w:r>
          </w:p>
        </w:tc>
        <w:tc>
          <w:tcPr>
            <w:tcW w:type="dxa" w:w="6660"/>
            <w:tcMar>
              <w:top w:w="80" w:type="dxa"/>
              <w:start w:w="120" w:type="dxa"/>
              <w:bottom w:w="80" w:type="dxa"/>
              <w:end w:w="120" w:type="dxa"/>
            </w:tcMar>
            <w:vAlign w:val="center"/>
          </w:tcPr>
          <w:p>
            <w:pPr>
              <w:spacing w:before="0" w:after="0" w:line="259" w:lineRule="auto"/>
              <w:jc w:val="left"/>
            </w:pPr>
            <w:r>
              <w:rPr>
                <w:rFonts w:ascii="Calibri" w:hAnsi="Calibri"/>
                <w:b w:val="0"/>
                <w:color w:val="1F2328"/>
                <w:sz w:val="18"/>
              </w:rPr>
              <w:t>klar getrennte Pakete für Setup, Plattform, Betreuung, Produktion und variable KI-Nutzung</w:t>
            </w:r>
          </w:p>
        </w:tc>
      </w:tr>
    </w:tbl>
    <w:p>
      <w:pPr>
        <w:spacing w:before="80" w:after="80"/>
      </w:pPr>
    </w:p>
    <w:p>
      <w:pPr>
        <w:pStyle w:val="Heading1"/>
      </w:pPr>
      <w:r>
        <w:rPr>
          <w:rFonts w:ascii="Calibri" w:hAnsi="Calibri"/>
          <w:b/>
          <w:color w:val="2E74B5"/>
          <w:sz w:val="32"/>
        </w:rPr>
        <w:t>9. Markt-, Transfer- und Wachstumspotenzial</w:t>
      </w:r>
    </w:p>
    <w:p>
      <w:r>
        <w:rPr>
          <w:rFonts w:ascii="Calibri" w:hAnsi="Calibri"/>
          <w:color w:val="1F2328"/>
          <w:sz w:val="22"/>
        </w:rPr>
        <w:t>Deutschland und Mecklenburg-Vorpommern verfügen über eine große Basis kleiner Unternehmen. Diese Unternehmenszahlen sind kein Nachweis automatischer Zahlungsbereitschaft. Sie zeigen jedoch einen breiten möglichen Anwendungsraum für einen betreuten Zugang zu Medien-, Daten- und KI-Prozessen.</w:t>
      </w:r>
    </w:p>
    <w:p>
      <w:r>
        <w:rPr>
          <w:rFonts w:ascii="Calibri" w:hAnsi="Calibri"/>
          <w:color w:val="1F2328"/>
          <w:sz w:val="22"/>
        </w:rPr>
        <w:t>Kernscale hat bereits Leistungen für vier zahlende Kunden aus lokalen beziehungsweise physischen Dienstleistungsbereichen und dem E-Commerce-Umfeld erbracht. Diese Leistungen umfassten Websites, Accounts und verwandte digitale Umsetzungen, nicht den vollständigen Levial-Lernkreislauf. Sie belegen praktische Problemkontakte, Marktzugang und Umsetzungskompetenz, aber noch keine validierte Nachfrage nach dem vollständigen Produkt.</w:t>
      </w:r>
    </w:p>
    <w:p>
      <w:r>
        <w:rPr>
          <w:rFonts w:ascii="Calibri" w:hAnsi="Calibri"/>
          <w:color w:val="1F2328"/>
          <w:sz w:val="22"/>
        </w:rPr>
        <w:t>Der Markteintritt soll über bestehende Dienstleistungskompetenz, direkte Beziehungen, betreute Einrichtung und schrittweise Pilotierung erfolgen. Bei erfolgreicher Standardisierung kann Wachstum zunehmend über wiederverwendbare Workspaces, Datenmodelle, Integrationen und Betreuungsprozesse statt ausschließlich über zusätzliche Agenturstunden erfolgen. Daraus können perspektivisch Aufgaben in Softwareentwicklung, Datenintegration, Medienproduktion, Kundenbetreuung und Vertrieb entstehen. Konkrete Beschäftigungszahlen werden erst nach belastbarer Umsatz- und Kapazitätsplanung behauptet.</w:t>
      </w:r>
    </w:p>
    <w:p>
      <w:pPr>
        <w:pStyle w:val="Heading1"/>
      </w:pPr>
      <w:r>
        <w:rPr>
          <w:rFonts w:ascii="Calibri" w:hAnsi="Calibri"/>
          <w:b/>
          <w:color w:val="2E74B5"/>
          <w:sz w:val="32"/>
        </w:rPr>
        <w:t>10. Gründerteam und Umsetzungsfähigkeit</w:t>
      </w:r>
    </w:p>
    <w:p>
      <w:r>
        <w:rPr>
          <w:rFonts w:ascii="Calibri" w:hAnsi="Calibri"/>
          <w:color w:val="1F2328"/>
          <w:sz w:val="22"/>
        </w:rPr>
        <w:t>Jonas Knüppel und Linus Kern bauen die Kernscale UG (haftungsbeschränkt) i. G. gemeinsam auf. Beide sind zu jeweils 50 Prozent beteiligt und Geschäftsführer.</w:t>
      </w:r>
    </w:p>
    <w:p>
      <w:r>
        <w:rPr>
          <w:rFonts w:ascii="Calibri" w:hAnsi="Calibri"/>
          <w:b/>
          <w:color w:val="1F2328"/>
          <w:sz w:val="22"/>
        </w:rPr>
        <w:t>Jonas Knüppel</w:t>
      </w:r>
      <w:r>
        <w:rPr>
          <w:rFonts w:ascii="Calibri" w:hAnsi="Calibri"/>
          <w:color w:val="1F2328"/>
          <w:sz w:val="22"/>
        </w:rPr>
        <w:t xml:space="preserve"> verantwortet technische Architektur, Produktentwicklung, Dashboard und Benutzeroberfläche, Datenintegrationen, Kontext- und Wissensstrukturen sowie KI-gestützte Analyse- und Generierungsworkflows. In bisherigen Kundenprojekten übernahm er Analyse, Strategie, Design, Programmierung und Projektleitung.</w:t>
      </w:r>
    </w:p>
    <w:p>
      <w:r>
        <w:rPr>
          <w:rFonts w:ascii="Calibri" w:hAnsi="Calibri"/>
          <w:b/>
          <w:color w:val="1F2328"/>
          <w:sz w:val="22"/>
        </w:rPr>
        <w:t>Linus Kern</w:t>
      </w:r>
      <w:r>
        <w:rPr>
          <w:rFonts w:ascii="Calibri" w:hAnsi="Calibri"/>
          <w:color w:val="1F2328"/>
          <w:sz w:val="22"/>
        </w:rPr>
        <w:t xml:space="preserve"> verantwortet Marken- und Medienstrategie, Kunden- und Kommunikationsanalyse, Content- und Kanalkonzeption, Kundengewinnung, Betreuung und Pilotierung. Produktstrategie, Geschäftsmodell, Finanzen und Unternehmensaufbau werden gemeinsam entschieden.</w:t>
      </w:r>
    </w:p>
    <w:p>
      <w:pPr>
        <w:pStyle w:val="Heading1"/>
      </w:pPr>
      <w:r>
        <w:rPr>
          <w:rFonts w:ascii="Calibri" w:hAnsi="Calibri"/>
          <w:b/>
          <w:color w:val="2E74B5"/>
          <w:sz w:val="32"/>
        </w:rPr>
        <w:t>11. Vorgeschlagener Wortlaut der fachlichen Stellungnahme</w:t>
      </w:r>
    </w:p>
    <w:p>
      <w:pPr>
        <w:spacing w:before="100" w:after="160" w:line="288" w:lineRule="auto"/>
        <w:ind w:left="360" w:right="216"/>
        <w:shd w:fill="F4F6F9"/>
      </w:pPr>
      <w:r>
        <w:rPr>
          <w:rFonts w:ascii="Calibri" w:hAnsi="Calibri"/>
          <w:b/>
          <w:color w:val="1F4D78"/>
          <w:sz w:val="22"/>
        </w:rPr>
        <w:t>Unverbindlicher Arbeitsentwurf für die unabhängige Prüfung durch die fachkundige Stelle</w:t>
      </w:r>
    </w:p>
    <w:p>
      <w:pPr>
        <w:spacing w:before="100" w:after="160" w:line="288" w:lineRule="auto"/>
        <w:ind w:left="360" w:right="216"/>
        <w:shd w:fill="F4F6F9"/>
      </w:pPr>
      <w:r>
        <w:rPr>
          <w:rFonts w:ascii="Calibri" w:hAnsi="Calibri"/>
          <w:color w:val="1F4D78"/>
          <w:sz w:val="22"/>
        </w:rPr>
        <w:t>Die [Name der Einrichtung] hat die Projektunterlagen zum Vorhaben „Levial by Kernscale“ der Kernscale UG (haftungsbeschränkt) i. G. fachlich geprüft. Grundlage der Prüfung waren die Vorhabenbeschreibung, die codebasierte Produktbestandsaufnahme, die Markt- und Wettbewerbsanalyse sowie ergänzende technische Nachweise.</w:t>
      </w:r>
    </w:p>
    <w:p>
      <w:pPr>
        <w:spacing w:before="100" w:after="160" w:line="288" w:lineRule="auto"/>
        <w:ind w:left="360" w:right="216"/>
        <w:shd w:fill="F4F6F9"/>
      </w:pPr>
      <w:r>
        <w:rPr>
          <w:rFonts w:ascii="Calibri" w:hAnsi="Calibri"/>
          <w:color w:val="1F4D78"/>
          <w:sz w:val="22"/>
        </w:rPr>
        <w:t>Das Vorhaben ist dem Bereich daten- und KI-gestützter Medienanalyse, Marketingtechnologie und Software-as-a-Service zuzuordnen. Der Stand der Technik umfasst bereits leistungsfähige Werkzeuge für kanalübergreifende Datenintegration, Marketinganalyse, generative Medienproduktion, Human-Review-Workflows und Kampagnenauswertung. Diese Teilfunktionen sind daher jeweils für sich genommen nicht neu.</w:t>
      </w:r>
    </w:p>
    <w:p>
      <w:pPr>
        <w:spacing w:before="100" w:after="160" w:line="288" w:lineRule="auto"/>
        <w:ind w:left="360" w:right="216"/>
        <w:shd w:fill="F4F6F9"/>
      </w:pPr>
      <w:r>
        <w:rPr>
          <w:rFonts w:ascii="Calibri" w:hAnsi="Calibri"/>
          <w:color w:val="1F4D78"/>
          <w:sz w:val="22"/>
        </w:rPr>
        <w:t>Die beabsichtigte Weiterentwicklung liegt in ihrer auf kleine und mittlere Unternehmen ausgerichteten Verbindung: Öffentliche Medieninformationen und ausdrücklich freigegebene interne Leistungsdaten sollen in einem getrennten Kunden-Workspace zu einer dauerhaften Kontext- und Nachweisbasis zusammengeführt werden. Empfehlungen und generierte Ergebnisse bleiben menschlich prüfbar. Umgesetzte Maßnahmen sollen mit Ausgangszustand und Ergebnis verknüpft und erst nach Bewertung als wiederverwendbare Erkenntnis gespeichert werden. In Kombination mit betreutem Onboarding und optionaler Umsetzung entsteht ein nachvollziehbarer Ansatz zwischen klassischer Agenturleistung und komplexem Self-Service-MarTech.</w:t>
      </w:r>
    </w:p>
    <w:p>
      <w:pPr>
        <w:spacing w:before="100" w:after="160" w:line="288" w:lineRule="auto"/>
        <w:ind w:left="360" w:right="216"/>
        <w:shd w:fill="F4F6F9"/>
      </w:pPr>
      <w:r>
        <w:rPr>
          <w:rFonts w:ascii="Calibri" w:hAnsi="Calibri"/>
          <w:color w:val="1F4D78"/>
          <w:sz w:val="22"/>
        </w:rPr>
        <w:t>Die vorgelegte technische Bestandsaufnahme zeigt eine vorhandene workspace-isolierte Daten-, Wissens-, Review- und Entscheidungsschicht. Produktive Plattformkonnektoren, kanalübergreifende KI-Analyse, Kontextgenerierung, Ergebnissnapshots und bestätigte Lernrecords sind dagegen nachvollziehbar als noch zu entwickelnder Gegenstand abgegrenzt. Das Vorhaben beginnt daher nicht bei null, stellt den vollständigen Lernkreislauf aber auch nicht als bereits fertig dar.</w:t>
      </w:r>
    </w:p>
    <w:p>
      <w:pPr>
        <w:spacing w:before="100" w:after="160" w:line="288" w:lineRule="auto"/>
        <w:ind w:left="360" w:right="216"/>
        <w:shd w:fill="F4F6F9"/>
      </w:pPr>
      <w:r>
        <w:rPr>
          <w:rFonts w:ascii="Calibri" w:hAnsi="Calibri"/>
          <w:color w:val="1F4D78"/>
          <w:sz w:val="22"/>
        </w:rPr>
        <w:t>Wesentliche Risiken liegen in Datenqualität und Datenzugang, Änderungen externer Plattform-APIs, Datenschutz und Mandantentrennung, fehlerhaften KI-Ausgaben sowie einer möglichen Scheinkausalität bei der Ergebnisbewertung. Die vorgesehenen Maßnahmen - modulare Konnektoren, Provenienz und Unsicherheitsangaben, menschliche Freigabe, Workspace-Isolation und dokumentierte Ausgangs-/Ergebnissnapshots - sind fachlich grundsätzlich geeignet, diese Risiken zu begrenzen. Ihre Wirksamkeit muss in der weiteren Entwicklung und Pilotierung nachgewiesen werden.</w:t>
      </w:r>
    </w:p>
    <w:p>
      <w:pPr>
        <w:spacing w:before="100" w:after="160" w:line="288" w:lineRule="auto"/>
        <w:ind w:left="360" w:right="216"/>
        <w:shd w:fill="F4F6F9"/>
      </w:pPr>
      <w:r>
        <w:rPr>
          <w:rFonts w:ascii="Calibri" w:hAnsi="Calibri"/>
          <w:color w:val="1F4D78"/>
          <w:sz w:val="22"/>
        </w:rPr>
        <w:t>Für Mecklenburg-Vorpommern besteht ein plausibler Transfernutzen, da insbesondere kleine Unternehmen häufig nicht über eigene Kapazitäten für Datenintegration, Medienanalyse und KI-gestützte Optimierung verfügen. Bei erfolgreicher Pilotierung und Standardisierung besitzt das Vorhaben Wachstums- und perspektivisches Beschäftigungspotenzial in Softwareentwicklung, Datenintegration, Medienproduktion und Kundenbetreuung. Eine abschließende Marktvalidierung für das vollständige Leistungsbündel steht noch aus.</w:t>
      </w:r>
    </w:p>
    <w:p>
      <w:pPr>
        <w:spacing w:before="100" w:after="160" w:line="288" w:lineRule="auto"/>
        <w:ind w:left="360" w:right="216"/>
        <w:shd w:fill="F4F6F9"/>
      </w:pPr>
      <w:r>
        <w:rPr>
          <w:rFonts w:ascii="Calibri" w:hAnsi="Calibri"/>
          <w:color w:val="1F4D78"/>
          <w:sz w:val="22"/>
        </w:rPr>
        <w:t>Aus fachlicher Sicht stellt Levial by Kernscale damit eine nachvollziehbare Weiterentwicklung bestehender Marketing-, Analyse- und Agenturangebote dar. Der Innovationsgehalt liegt in der konkreten systemischen Verbindung aus dauerhafter Kundenkontextbasis, belegbezogener Analyse, menschlich geprüfter Generierung, Ergebnismessung und bestätigtem Lernen für kleine Unternehmen.</w:t>
      </w:r>
    </w:p>
    <w:p>
      <w:pPr>
        <w:spacing w:before="100" w:after="160" w:line="288" w:lineRule="auto"/>
        <w:ind w:left="360" w:right="216"/>
        <w:shd w:fill="F4F6F9"/>
      </w:pPr>
      <w:r>
        <w:rPr>
          <w:rFonts w:ascii="Calibri" w:hAnsi="Calibri"/>
          <w:color w:val="1F4D78"/>
          <w:sz w:val="22"/>
        </w:rPr>
        <w:t>[Ort, Datum]</w:t>
      </w:r>
    </w:p>
    <w:p>
      <w:pPr>
        <w:spacing w:before="100" w:after="160" w:line="288" w:lineRule="auto"/>
        <w:ind w:left="360" w:right="216"/>
        <w:shd w:fill="F4F6F9"/>
      </w:pPr>
      <w:r>
        <w:rPr>
          <w:rFonts w:ascii="Calibri" w:hAnsi="Calibri"/>
          <w:color w:val="1F4D78"/>
          <w:sz w:val="22"/>
        </w:rPr>
        <w:t>[Name und Funktion der fachkundigen Person]</w:t>
      </w:r>
    </w:p>
    <w:p>
      <w:pPr>
        <w:spacing w:before="100" w:after="160" w:line="288" w:lineRule="auto"/>
        <w:ind w:left="360" w:right="216"/>
        <w:shd w:fill="F4F6F9"/>
      </w:pPr>
      <w:r>
        <w:rPr>
          <w:rFonts w:ascii="Calibri" w:hAnsi="Calibri"/>
          <w:color w:val="1F4D78"/>
          <w:sz w:val="22"/>
        </w:rPr>
        <w:t>[Einrichtung, Unterschrift und gegebenenfalls Stempel]</w:t>
      </w:r>
    </w:p>
    <w:p>
      <w:pPr>
        <w:pStyle w:val="Heading1"/>
      </w:pPr>
      <w:r>
        <w:rPr>
          <w:rFonts w:ascii="Calibri" w:hAnsi="Calibri"/>
          <w:b/>
          <w:color w:val="2E74B5"/>
          <w:sz w:val="32"/>
        </w:rPr>
        <w:t>12. Kontakt-E-Mail an eine fachkundige Einrichtung</w:t>
      </w:r>
    </w:p>
    <w:p>
      <w:r>
        <w:rPr>
          <w:rFonts w:ascii="Calibri" w:hAnsi="Calibri"/>
          <w:b/>
          <w:color w:val="1F2328"/>
          <w:sz w:val="22"/>
        </w:rPr>
        <w:t>Betreff:</w:t>
      </w:r>
      <w:r>
        <w:rPr>
          <w:rFonts w:ascii="Calibri" w:hAnsi="Calibri"/>
          <w:color w:val="1F2328"/>
          <w:sz w:val="22"/>
        </w:rPr>
        <w:t xml:space="preserve"> Anfrage zur fachlichen Stellungnahme – Gründungsstipendium MV / Levial by Kernscale</w:t>
      </w:r>
    </w:p>
    <w:p>
      <w:pPr>
        <w:spacing w:before="100" w:after="160" w:line="288" w:lineRule="auto"/>
        <w:ind w:left="360" w:right="216"/>
        <w:shd w:fill="F4F6F9"/>
      </w:pPr>
      <w:r>
        <w:rPr>
          <w:rFonts w:ascii="Calibri" w:hAnsi="Calibri"/>
          <w:color w:val="1F4D78"/>
          <w:sz w:val="22"/>
        </w:rPr>
        <w:t>Sehr geehrte Frau [Name] / Sehr geehrter Herr [Name],</w:t>
      </w:r>
    </w:p>
    <w:p>
      <w:pPr>
        <w:spacing w:before="100" w:after="160" w:line="288" w:lineRule="auto"/>
        <w:ind w:left="360" w:right="216"/>
        <w:shd w:fill="F4F6F9"/>
      </w:pPr>
      <w:r>
        <w:rPr>
          <w:rFonts w:ascii="Calibri" w:hAnsi="Calibri"/>
          <w:color w:val="1F4D78"/>
          <w:sz w:val="22"/>
        </w:rPr>
        <w:t xml:space="preserve">ich bin Mitgründer und Geschäftsführer der Kernscale UG (haftungsbeschränkt) i. G. mit Sitz in Burg Stargard. Für das Juryverfahren zum Gründungsstipendium Mecklenburg-Vorpommern benötigen wir eine unabhängige fachliche Stellungnahme zum Innovationscharakter unseres Softwarevorhabens </w:t>
      </w:r>
      <w:r>
        <w:rPr>
          <w:rFonts w:ascii="Calibri" w:hAnsi="Calibri"/>
          <w:b/>
          <w:color w:val="1F4D78"/>
          <w:sz w:val="22"/>
        </w:rPr>
        <w:t>Levial by Kernscale</w:t>
      </w:r>
      <w:r>
        <w:rPr>
          <w:rFonts w:ascii="Calibri" w:hAnsi="Calibri"/>
          <w:color w:val="1F4D78"/>
          <w:sz w:val="22"/>
        </w:rPr>
        <w:t>.</w:t>
      </w:r>
    </w:p>
    <w:p>
      <w:pPr>
        <w:spacing w:before="100" w:after="160" w:line="288" w:lineRule="auto"/>
        <w:ind w:left="360" w:right="216"/>
        <w:shd w:fill="F4F6F9"/>
      </w:pPr>
      <w:r>
        <w:rPr>
          <w:rFonts w:ascii="Calibri" w:hAnsi="Calibri"/>
          <w:color w:val="1F4D78"/>
          <w:sz w:val="22"/>
        </w:rPr>
        <w:t>Levial soll Medien-, Marketing- und freigegebene Leistungsdaten kleiner Unternehmen in einem geschützten Kunden-Workspace verbinden. Auf dieser Grundlage sollen kanalübergreifende Signale, nachvollziehbare Empfehlungen sowie kontextgebundene Medienentwürfe entstehen. Umgesetzte Maßnahmen werden mit ihren Ergebnissen verknüpft und nur nach menschlicher Bewertung als wiederverwendbare Erkenntnisse gespeichert.</w:t>
      </w:r>
    </w:p>
    <w:p>
      <w:pPr>
        <w:spacing w:before="100" w:after="160" w:line="288" w:lineRule="auto"/>
        <w:ind w:left="360" w:right="216"/>
        <w:shd w:fill="F4F6F9"/>
      </w:pPr>
      <w:r>
        <w:rPr>
          <w:rFonts w:ascii="Calibri" w:hAnsi="Calibri"/>
          <w:color w:val="1F4D78"/>
          <w:sz w:val="22"/>
        </w:rPr>
        <w:t>Eine technische Grundlage ist bereits vorhanden, unter anderem mit getrennten Workspaces, Quellen- und Artefaktmodellen, Signalerkennung, menschlichen Prüfpfaden, Knowledge Base, Knowledge Graph, Empfehlungen und Decision Queue. Produktive Datenkonnektoren, kanalübergreifende KI-Analyse und der geschlossene Ergebnis- und Lernloop sind als Entwicklungsgegenstand klar davon abgegrenzt.</w:t>
      </w:r>
    </w:p>
    <w:p>
      <w:pPr>
        <w:spacing w:before="100" w:after="160" w:line="288" w:lineRule="auto"/>
        <w:ind w:left="360" w:right="216"/>
        <w:shd w:fill="F4F6F9"/>
      </w:pPr>
      <w:r>
        <w:rPr>
          <w:rFonts w:ascii="Calibri" w:hAnsi="Calibri"/>
          <w:color w:val="1F4D78"/>
          <w:sz w:val="22"/>
        </w:rPr>
        <w:t>Aufgrund Ihrer fachlichen Arbeit im Bereich [passenden Schwerpunkt einsetzen] möchten wir höflich anfragen, ob Sie oder eine geeignete Person Ihrer Einrichtung die fachliche Prüfung und Stellungnahme übernehmen könnten. Wir stellen dafür eine kompakte Prüfunterlage, eine Markt- und Wettbewerbsanalyse, eine codebasierte Produktbestandsaufnahme sowie auf Wunsch eine nicht vertrauliche Demonstration bereit. Ein Formulierungsentwurf liegt nur als Arbeitshilfe bei; die Bewertung soll selbstverständlich vollständig unabhängig erfolgen.</w:t>
      </w:r>
    </w:p>
    <w:p>
      <w:pPr>
        <w:spacing w:before="100" w:after="160" w:line="288" w:lineRule="auto"/>
        <w:ind w:left="360" w:right="216"/>
        <w:shd w:fill="F4F6F9"/>
      </w:pPr>
      <w:r>
        <w:rPr>
          <w:rFonts w:ascii="Calibri" w:hAnsi="Calibri"/>
          <w:color w:val="1F4D78"/>
          <w:sz w:val="22"/>
        </w:rPr>
        <w:t>Könnten Sie uns bitte mitteilen, ob eine solche Prüfung grundsätzlich möglich ist und welche Unterlagen beziehungsweise formalen Schritte Sie dafür benötigen?</w:t>
      </w:r>
    </w:p>
    <w:p>
      <w:pPr>
        <w:spacing w:before="100" w:after="160" w:line="288" w:lineRule="auto"/>
        <w:ind w:left="360" w:right="216"/>
        <w:shd w:fill="F4F6F9"/>
      </w:pPr>
      <w:r>
        <w:rPr>
          <w:rFonts w:ascii="Calibri" w:hAnsi="Calibri"/>
          <w:color w:val="1F4D78"/>
          <w:sz w:val="22"/>
        </w:rPr>
        <w:t>Mit freundlichen Grüßen</w:t>
      </w:r>
    </w:p>
    <w:p>
      <w:pPr>
        <w:spacing w:before="100" w:after="160" w:line="288" w:lineRule="auto"/>
        <w:ind w:left="360" w:right="216"/>
        <w:shd w:fill="F4F6F9"/>
      </w:pPr>
      <w:r>
        <w:rPr>
          <w:rFonts w:ascii="Calibri" w:hAnsi="Calibri"/>
          <w:color w:val="1F4D78"/>
          <w:sz w:val="22"/>
        </w:rPr>
        <w:t>Jonas Knüppel</w:t>
      </w:r>
    </w:p>
    <w:p>
      <w:pPr>
        <w:spacing w:before="100" w:after="160" w:line="288" w:lineRule="auto"/>
        <w:ind w:left="360" w:right="216"/>
        <w:shd w:fill="F4F6F9"/>
      </w:pPr>
      <w:r>
        <w:rPr>
          <w:rFonts w:ascii="Calibri" w:hAnsi="Calibri"/>
          <w:color w:val="1F4D78"/>
          <w:sz w:val="22"/>
        </w:rPr>
        <w:t>Mitgründer und Geschäftsführer</w:t>
      </w:r>
    </w:p>
    <w:p>
      <w:pPr>
        <w:spacing w:before="100" w:after="160" w:line="288" w:lineRule="auto"/>
        <w:ind w:left="360" w:right="216"/>
        <w:shd w:fill="F4F6F9"/>
      </w:pPr>
      <w:r>
        <w:rPr>
          <w:rFonts w:ascii="Calibri" w:hAnsi="Calibri"/>
          <w:color w:val="1F4D78"/>
          <w:sz w:val="22"/>
        </w:rPr>
        <w:t>Kernscale UG (haftungsbeschränkt) i. G.</w:t>
      </w:r>
    </w:p>
    <w:p>
      <w:pPr>
        <w:spacing w:before="100" w:after="160" w:line="288" w:lineRule="auto"/>
        <w:ind w:left="360" w:right="216"/>
        <w:shd w:fill="F4F6F9"/>
      </w:pPr>
      <w:r>
        <w:rPr>
          <w:rFonts w:ascii="Calibri" w:hAnsi="Calibri"/>
          <w:color w:val="1F4D78"/>
          <w:sz w:val="22"/>
        </w:rPr>
        <w:t>[Telefon]</w:t>
      </w:r>
    </w:p>
    <w:p>
      <w:pPr>
        <w:spacing w:before="100" w:after="160" w:line="288" w:lineRule="auto"/>
        <w:ind w:left="360" w:right="216"/>
        <w:shd w:fill="F4F6F9"/>
      </w:pPr>
      <w:r>
        <w:rPr>
          <w:rFonts w:ascii="Calibri" w:hAnsi="Calibri"/>
          <w:color w:val="1F4D78"/>
          <w:sz w:val="22"/>
        </w:rPr>
        <w:t>[E-Mail]</w:t>
      </w:r>
    </w:p>
    <w:p>
      <w:pPr>
        <w:pStyle w:val="Heading1"/>
      </w:pPr>
      <w:r>
        <w:rPr>
          <w:rFonts w:ascii="Calibri" w:hAnsi="Calibri"/>
          <w:b/>
          <w:color w:val="2E74B5"/>
          <w:sz w:val="32"/>
        </w:rPr>
        <w:t>13. Vorgesehene Anlagen und Nachweise</w:t>
      </w:r>
    </w:p>
    <w:p>
      <w:pPr>
        <w:spacing w:before="0" w:after="80" w:line="290" w:lineRule="auto"/>
        <w:numPr>
          <w:ilvl w:val="0"/>
          <w:numId w:val="15"/>
        </w:numPr>
      </w:pPr>
      <w:r>
        <w:rPr>
          <w:rFonts w:ascii="Calibri" w:hAnsi="Calibri"/>
          <w:color w:val="1F2328"/>
          <w:sz w:val="22"/>
        </w:rPr>
        <w:t>Projektidee „Levial by Kernscale“;</w:t>
      </w:r>
    </w:p>
    <w:p>
      <w:pPr>
        <w:spacing w:before="0" w:after="80" w:line="290" w:lineRule="auto"/>
        <w:numPr>
          <w:ilvl w:val="0"/>
          <w:numId w:val="15"/>
        </w:numPr>
      </w:pPr>
      <w:r>
        <w:rPr>
          <w:rFonts w:ascii="Calibri" w:hAnsi="Calibri"/>
          <w:color w:val="1F2328"/>
          <w:sz w:val="22"/>
        </w:rPr>
        <w:t>Unternehmens- und Entwicklungskonzept;</w:t>
      </w:r>
    </w:p>
    <w:p>
      <w:pPr>
        <w:spacing w:before="0" w:after="80" w:line="290" w:lineRule="auto"/>
        <w:numPr>
          <w:ilvl w:val="0"/>
          <w:numId w:val="15"/>
        </w:numPr>
      </w:pPr>
      <w:r>
        <w:rPr>
          <w:rFonts w:ascii="Calibri" w:hAnsi="Calibri"/>
          <w:color w:val="1F2328"/>
          <w:sz w:val="22"/>
        </w:rPr>
        <w:t>codebasierte Produkt- und Innovationsanalyse;</w:t>
      </w:r>
    </w:p>
    <w:p>
      <w:pPr>
        <w:spacing w:before="0" w:after="80" w:line="290" w:lineRule="auto"/>
        <w:numPr>
          <w:ilvl w:val="0"/>
          <w:numId w:val="15"/>
        </w:numPr>
      </w:pPr>
      <w:r>
        <w:rPr>
          <w:rFonts w:ascii="Calibri" w:hAnsi="Calibri"/>
          <w:color w:val="1F2328"/>
          <w:sz w:val="22"/>
        </w:rPr>
        <w:t>Markt- und Wettbewerbsanalyse mit Primärquellen;</w:t>
      </w:r>
    </w:p>
    <w:p>
      <w:pPr>
        <w:spacing w:before="0" w:after="80" w:line="290" w:lineRule="auto"/>
        <w:numPr>
          <w:ilvl w:val="0"/>
          <w:numId w:val="15"/>
        </w:numPr>
      </w:pPr>
      <w:r>
        <w:rPr>
          <w:rFonts w:ascii="Calibri" w:hAnsi="Calibri"/>
          <w:color w:val="1F2328"/>
          <w:sz w:val="22"/>
        </w:rPr>
        <w:t>nicht vertrauliches Architekturdiagramm;</w:t>
      </w:r>
    </w:p>
    <w:p>
      <w:pPr>
        <w:spacing w:before="0" w:after="80" w:line="290" w:lineRule="auto"/>
        <w:numPr>
          <w:ilvl w:val="0"/>
          <w:numId w:val="15"/>
        </w:numPr>
      </w:pPr>
      <w:r>
        <w:rPr>
          <w:rFonts w:ascii="Calibri" w:hAnsi="Calibri"/>
          <w:color w:val="1F2328"/>
          <w:sz w:val="22"/>
        </w:rPr>
        <w:t>Screenshots oder Demo der realen Produktoberfläche;</w:t>
      </w:r>
    </w:p>
    <w:p>
      <w:pPr>
        <w:spacing w:before="0" w:after="80" w:line="290" w:lineRule="auto"/>
        <w:numPr>
          <w:ilvl w:val="0"/>
          <w:numId w:val="15"/>
        </w:numPr>
      </w:pPr>
      <w:r>
        <w:rPr>
          <w:rFonts w:ascii="Calibri" w:hAnsi="Calibri"/>
          <w:color w:val="1F2328"/>
          <w:sz w:val="22"/>
        </w:rPr>
        <w:t>Beispiele für Quelle, Artefakt, Signal, Provenienz, Empfehlung und Decision Queue;</w:t>
      </w:r>
    </w:p>
    <w:p>
      <w:pPr>
        <w:spacing w:before="0" w:after="80" w:line="290" w:lineRule="auto"/>
        <w:numPr>
          <w:ilvl w:val="0"/>
          <w:numId w:val="15"/>
        </w:numPr>
      </w:pPr>
      <w:r>
        <w:rPr>
          <w:rFonts w:ascii="Calibri" w:hAnsi="Calibri"/>
          <w:color w:val="1F2328"/>
          <w:sz w:val="22"/>
        </w:rPr>
        <w:t>Funktionsstatus-Matrix: implementiert, teilweise implementiert, Illustration und geplant;</w:t>
      </w:r>
    </w:p>
    <w:p>
      <w:pPr>
        <w:spacing w:before="0" w:after="80" w:line="290" w:lineRule="auto"/>
        <w:numPr>
          <w:ilvl w:val="0"/>
          <w:numId w:val="15"/>
        </w:numPr>
      </w:pPr>
      <w:r>
        <w:rPr>
          <w:rFonts w:ascii="Calibri" w:hAnsi="Calibri"/>
          <w:color w:val="1F2328"/>
          <w:sz w:val="22"/>
        </w:rPr>
        <w:t>Lebenslauf beziehungsweise Kompetenznachweis des Antragstellers;</w:t>
      </w:r>
    </w:p>
    <w:p>
      <w:pPr>
        <w:spacing w:before="0" w:after="80" w:line="290" w:lineRule="auto"/>
        <w:numPr>
          <w:ilvl w:val="0"/>
          <w:numId w:val="15"/>
        </w:numPr>
      </w:pPr>
      <w:r>
        <w:rPr>
          <w:rFonts w:ascii="Calibri" w:hAnsi="Calibri"/>
          <w:color w:val="1F2328"/>
          <w:sz w:val="22"/>
        </w:rPr>
        <w:t>aktuelles GSA-Merkblatt zur fachlichen Stellungnahme.</w:t>
      </w:r>
    </w:p>
    <w:p>
      <w:pPr>
        <w:pStyle w:val="Heading1"/>
      </w:pPr>
      <w:r>
        <w:rPr>
          <w:rFonts w:ascii="Calibri" w:hAnsi="Calibri"/>
          <w:b/>
          <w:color w:val="2E74B5"/>
          <w:sz w:val="32"/>
        </w:rPr>
        <w:t>14. Vor Versand noch einzusetzen</w:t>
      </w:r>
    </w:p>
    <w:p>
      <w:pPr>
        <w:spacing w:before="0" w:after="80" w:line="290" w:lineRule="auto"/>
        <w:numPr>
          <w:ilvl w:val="0"/>
          <w:numId w:val="16"/>
        </w:numPr>
      </w:pPr>
      <w:r>
        <w:rPr>
          <w:rFonts w:ascii="Calibri" w:hAnsi="Calibri"/>
          <w:color w:val="1F2328"/>
          <w:sz w:val="22"/>
        </w:rPr>
        <w:t>konkrete Empfängerperson und fachlicher Schwerpunkt;</w:t>
      </w:r>
    </w:p>
    <w:p>
      <w:pPr>
        <w:spacing w:before="0" w:after="80" w:line="290" w:lineRule="auto"/>
        <w:numPr>
          <w:ilvl w:val="0"/>
          <w:numId w:val="16"/>
        </w:numPr>
      </w:pPr>
      <w:r>
        <w:rPr>
          <w:rFonts w:ascii="Calibri" w:hAnsi="Calibri"/>
          <w:color w:val="1F2328"/>
          <w:sz w:val="22"/>
        </w:rPr>
        <w:t>Telefonnummer und Bewerbungs-E-Mail von Jonas Knüppel;</w:t>
      </w:r>
    </w:p>
    <w:p>
      <w:pPr>
        <w:spacing w:before="0" w:after="80" w:line="290" w:lineRule="auto"/>
        <w:numPr>
          <w:ilvl w:val="0"/>
          <w:numId w:val="16"/>
        </w:numPr>
      </w:pPr>
      <w:r>
        <w:rPr>
          <w:rFonts w:ascii="Calibri" w:hAnsi="Calibri"/>
          <w:color w:val="1F2328"/>
          <w:sz w:val="22"/>
        </w:rPr>
        <w:t>gegebenenfalls Akten- oder Vorgangsnummer der GSA;</w:t>
      </w:r>
    </w:p>
    <w:p>
      <w:pPr>
        <w:spacing w:before="0" w:after="80" w:line="290" w:lineRule="auto"/>
        <w:numPr>
          <w:ilvl w:val="0"/>
          <w:numId w:val="16"/>
        </w:numPr>
      </w:pPr>
      <w:r>
        <w:rPr>
          <w:rFonts w:ascii="Calibri" w:hAnsi="Calibri"/>
          <w:color w:val="1F2328"/>
          <w:sz w:val="22"/>
        </w:rPr>
        <w:t>nicht vertrauliche Screenshots beziehungsweise Demo-Zugang;</w:t>
      </w:r>
    </w:p>
    <w:p>
      <w:pPr>
        <w:spacing w:before="0" w:after="80" w:line="290" w:lineRule="auto"/>
        <w:numPr>
          <w:ilvl w:val="0"/>
          <w:numId w:val="16"/>
        </w:numPr>
      </w:pPr>
      <w:r>
        <w:rPr>
          <w:rFonts w:ascii="Calibri" w:hAnsi="Calibri"/>
          <w:color w:val="1F2328"/>
          <w:sz w:val="22"/>
        </w:rPr>
        <w:t>aktuelle Fassung des offiziellen GSA-Merkblatts;</w:t>
      </w:r>
    </w:p>
    <w:p>
      <w:pPr>
        <w:spacing w:before="0" w:after="80" w:line="290" w:lineRule="auto"/>
        <w:numPr>
          <w:ilvl w:val="0"/>
          <w:numId w:val="16"/>
        </w:numPr>
      </w:pPr>
      <w:r>
        <w:rPr>
          <w:rFonts w:ascii="Calibri" w:hAnsi="Calibri"/>
          <w:color w:val="1F2328"/>
          <w:sz w:val="22"/>
        </w:rPr>
        <w:t>endgültige Auswahl der Anlagen.</w:t>
      </w:r>
    </w:p>
    <w:p>
      <w:r>
        <w:rPr>
          <w:rFonts w:ascii="Calibri" w:hAnsi="Calibri"/>
          <w:color w:val="1F2328"/>
          <w:sz w:val="22"/>
        </w:rPr>
        <w:t>Konkrete Entwicklungszeiträume bleiben entsprechend der aktuellen Antragsentscheidung noch offen und werden in einem späteren Planungsschritt ergänzt.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Seite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666"/>
        <w:sz w:val="18"/>
      </w:rPr>
      <w:t>Levial by Kernscale | Fachliche Stellungnahme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spacing w:after="80" w:line="290" w:lineRule="auto"/>
      </w:pPr>
    </w:lvl>
  </w:abstractNum>
  <w:num w:numId="10">
    <w:abstractNumId w:val="9"/>
  </w:num>
  <w:abstractNum w:abstractNumId="10">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1">
    <w:abstractNumId w:val="10"/>
  </w:num>
  <w:abstractNum w:abstractNumId="11">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2">
    <w:abstractNumId w:val="11"/>
  </w:num>
  <w:abstractNum w:abstractNumId="12">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3">
    <w:abstractNumId w:val="12"/>
  </w:num>
  <w:abstractNum w:abstractNumId="13">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4">
    <w:abstractNumId w:val="13"/>
  </w:num>
  <w:abstractNum w:abstractNumId="14">
    <w:multiLevelType w:val="singleLevel"/>
    <w:lvl w:ilvl="0">
      <w:start w:val="1"/>
      <w:numFmt w:val="decimal"/>
      <w:lvlText w:val="%1."/>
      <w:suff w:val="tab"/>
      <w:pPr>
        <w:tabs>
          <w:tab w:val="num" w:pos="720"/>
        </w:tabs>
        <w:ind w:left="720" w:hanging="360"/>
        <w:spacing w:after="80" w:line="290" w:lineRule="auto"/>
      </w:pPr>
    </w:lvl>
  </w:abstractNum>
  <w:num w:numId="15">
    <w:abstractNumId w:val="14"/>
  </w:num>
  <w:abstractNum w:abstractNumId="15">
    <w:multiLevelType w:val="singleLevel"/>
    <w:lvl w:ilvl="0">
      <w:start w:val="1"/>
      <w:numFmt w:val="bullet"/>
      <w:lvlText w:val="•"/>
      <w:suff w:val="tab"/>
      <w:pPr>
        <w:tabs>
          <w:tab w:val="num" w:pos="540"/>
        </w:tabs>
        <w:ind w:left="540" w:hanging="280"/>
        <w:spacing w:after="80" w:line="290" w:lineRule="auto"/>
      </w:pPr>
      <w:rPr>
        <w:rFonts w:ascii="Calibri" w:hAnsi="Calibri"/>
      </w:r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1F23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