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jc w:val="center"/>
      </w:pPr>
      <w:r>
        <w:rPr>
          <w:rFonts w:ascii="Calibri" w:hAnsi="Calibri"/>
          <w:b/>
          <w:color w:val="666666"/>
          <w:sz w:val="22"/>
        </w:rPr>
        <w:t>KERNSCALE UG (HAFTUNGSBESCHRÄNKT) I. G.</w:t>
      </w:r>
    </w:p>
    <w:p>
      <w:pPr>
        <w:spacing w:after="120"/>
        <w:jc w:val="center"/>
      </w:pPr>
      <w:r>
        <w:rPr>
          <w:rFonts w:ascii="Calibri" w:hAnsi="Calibri"/>
          <w:b/>
          <w:color w:val="1F2328"/>
          <w:sz w:val="50"/>
        </w:rPr>
        <w:t>Levial by Kernscale</w:t>
      </w:r>
    </w:p>
    <w:p>
      <w:pPr>
        <w:spacing w:after="440"/>
        <w:jc w:val="center"/>
      </w:pPr>
      <w:r>
        <w:rPr>
          <w:rFonts w:ascii="Calibri" w:hAnsi="Calibri"/>
          <w:color w:val="1F4D78"/>
          <w:sz w:val="28"/>
        </w:rPr>
        <w:t>Betreute Softwareplattform für kanalübergreifende Medienanalyse und bestätigtes Lernen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00"/>
        <w:gridCol w:w="6860"/>
      </w:tblGrid>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Dokument</w:t>
            </w:r>
          </w:p>
        </w:tc>
        <w:tc>
          <w:tcPr>
            <w:tcW w:type="dxa" w:w="6860"/>
            <w:tcMar>
              <w:top w:w="80" w:type="dxa"/>
              <w:start w:w="120" w:type="dxa"/>
              <w:bottom w:w="80" w:type="dxa"/>
              <w:end w:w="120" w:type="dxa"/>
            </w:tcMar>
            <w:vAlign w:val="center"/>
          </w:tcPr>
          <w:p>
            <w:pPr>
              <w:spacing w:after="0"/>
            </w:pPr>
            <w:r>
              <w:rPr>
                <w:rFonts w:ascii="Calibri" w:hAnsi="Calibri"/>
                <w:color w:val="1F2328"/>
                <w:sz w:val="20"/>
              </w:rPr>
              <w:t>Projektidee für das GSA-Gründungsstipendium Mecklenburg-Vorpommern</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Antragsteller</w:t>
            </w:r>
          </w:p>
        </w:tc>
        <w:tc>
          <w:tcPr>
            <w:tcW w:type="dxa" w:w="6860"/>
            <w:tcMar>
              <w:top w:w="80" w:type="dxa"/>
              <w:start w:w="120" w:type="dxa"/>
              <w:bottom w:w="80" w:type="dxa"/>
              <w:end w:w="120" w:type="dxa"/>
            </w:tcMar>
            <w:vAlign w:val="center"/>
          </w:tcPr>
          <w:p>
            <w:pPr>
              <w:spacing w:after="0"/>
            </w:pPr>
            <w:r>
              <w:rPr>
                <w:rFonts w:ascii="Calibri" w:hAnsi="Calibri"/>
                <w:color w:val="1F2328"/>
                <w:sz w:val="20"/>
              </w:rPr>
              <w:t>Jonas Knüppel</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Unternehmenssitz</w:t>
            </w:r>
          </w:p>
        </w:tc>
        <w:tc>
          <w:tcPr>
            <w:tcW w:type="dxa" w:w="6860"/>
            <w:tcMar>
              <w:top w:w="80" w:type="dxa"/>
              <w:start w:w="120" w:type="dxa"/>
              <w:bottom w:w="80" w:type="dxa"/>
              <w:end w:w="120" w:type="dxa"/>
            </w:tcMar>
            <w:vAlign w:val="center"/>
          </w:tcPr>
          <w:p>
            <w:pPr>
              <w:spacing w:after="0"/>
            </w:pPr>
            <w:r>
              <w:rPr>
                <w:rFonts w:ascii="Calibri" w:hAnsi="Calibri"/>
                <w:color w:val="1F2328"/>
                <w:sz w:val="20"/>
              </w:rPr>
              <w:t>Bahnhofstraße 17a, 17094 Burg Stargard</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Stand</w:t>
            </w:r>
          </w:p>
        </w:tc>
        <w:tc>
          <w:tcPr>
            <w:tcW w:type="dxa" w:w="6860"/>
            <w:tcMar>
              <w:top w:w="80" w:type="dxa"/>
              <w:start w:w="120" w:type="dxa"/>
              <w:bottom w:w="80" w:type="dxa"/>
              <w:end w:w="120" w:type="dxa"/>
            </w:tcMar>
            <w:vAlign w:val="center"/>
          </w:tcPr>
          <w:p>
            <w:pPr>
              <w:spacing w:after="0"/>
            </w:pPr>
            <w:r>
              <w:rPr>
                <w:rFonts w:ascii="Calibri" w:hAnsi="Calibri"/>
                <w:color w:val="1F2328"/>
                <w:sz w:val="20"/>
              </w:rPr>
              <w:t>16.08.2026</w:t>
            </w:r>
          </w:p>
        </w:tc>
      </w:tr>
    </w:tbl>
    <w:p>
      <w:pPr>
        <w:spacing w:before="360" w:after="160"/>
        <w:jc w:val="center"/>
      </w:pPr>
      <w:r>
        <w:rPr>
          <w:rFonts w:ascii="Calibri" w:hAnsi="Calibri"/>
          <w:i/>
          <w:color w:val="666666"/>
          <w:sz w:val="20"/>
        </w:rPr>
        <w:t>Arbeitsfassung – Entwicklungszeiträume und einzelne Finanzangaben werden noch ergänzt.</w:t>
      </w:r>
    </w:p>
    <w:p>
      <w:pPr>
        <w:pStyle w:val="Heading1"/>
      </w:pPr>
      <w:r>
        <w:rPr>
          <w:rFonts w:ascii="Calibri" w:hAnsi="Calibri"/>
          <w:b/>
          <w:color w:val="2E74B5"/>
          <w:sz w:val="32"/>
        </w:rPr>
        <w:t>1. Kurzbeschreibung</w:t>
      </w:r>
    </w:p>
    <w:p>
      <w:r>
        <w:rPr>
          <w:rFonts w:ascii="Calibri" w:hAnsi="Calibri"/>
          <w:color w:val="1F2328"/>
          <w:sz w:val="22"/>
        </w:rPr>
        <w:t xml:space="preserve">Kernscale entwickelt unter dem Produktnamen </w:t>
      </w:r>
      <w:r>
        <w:rPr>
          <w:rFonts w:ascii="Calibri" w:hAnsi="Calibri"/>
          <w:b/>
          <w:color w:val="1F2328"/>
          <w:sz w:val="22"/>
        </w:rPr>
        <w:t>Levial by Kernscale</w:t>
      </w:r>
      <w:r>
        <w:rPr>
          <w:rFonts w:ascii="Calibri" w:hAnsi="Calibri"/>
          <w:color w:val="1F2328"/>
          <w:sz w:val="22"/>
        </w:rPr>
        <w:t xml:space="preserve"> eine betreute Softwareplattform für lokale kleine und mittlere Unternehmen sowie Dienstleister. </w:t>
      </w:r>
      <w:r>
        <w:rPr>
          <w:rFonts w:ascii="Calibri" w:hAnsi="Calibri"/>
          <w:b/>
          <w:color w:val="1F2328"/>
          <w:sz w:val="22"/>
        </w:rPr>
        <w:t>LEVIAL</w:t>
      </w:r>
      <w:r>
        <w:rPr>
          <w:rFonts w:ascii="Calibri" w:hAnsi="Calibri"/>
          <w:color w:val="1F2328"/>
          <w:sz w:val="22"/>
        </w:rPr>
        <w:t xml:space="preserve"> steht für </w:t>
      </w:r>
      <w:r>
        <w:rPr>
          <w:rFonts w:ascii="Calibri" w:hAnsi="Calibri"/>
          <w:b/>
          <w:color w:val="1F2328"/>
          <w:sz w:val="22"/>
        </w:rPr>
        <w:t>Layered Evidence, Validated Intelligence, Actionable Learning</w:t>
      </w:r>
      <w:r>
        <w:rPr>
          <w:rFonts w:ascii="Calibri" w:hAnsi="Calibri"/>
          <w:color w:val="1F2328"/>
          <w:sz w:val="22"/>
        </w:rPr>
        <w:t>. Die Plattform soll bislang getrennte Medien-, Marketing- und Leistungsinformationen in einer dauerhaften, kundenbezogenen Kontextbasis zusammenführen. Auf dieser Grundlage werden kanalübergreifende Signale erkannt, Maßnahmen priorisiert und mit generativer KI Strategien, Skripte sowie Medienvarianten vorbereitet. Umgesetzte Maßnahmen und ihre Ergebnisse sollen anschließend als geprüfte Erkenntnisse in die nächste Analyse einfließen.</w:t>
      </w:r>
    </w:p>
    <w:p>
      <w:r>
        <w:rPr>
          <w:rFonts w:ascii="Calibri" w:hAnsi="Calibri"/>
          <w:color w:val="1F2328"/>
          <w:sz w:val="22"/>
        </w:rPr>
        <w:t>Das Vorhaben verbindet damit eine Softwareplattform mit einer betreuten Dienstleistung. Kunden erhalten nicht nur einzelne Analysen oder generierte Inhalte, sondern einen nachvollziehbaren Arbeitsprozess von der Datenerfassung über die menschliche Prüfung und Umsetzung bis zur Ergebnismessung und Wiederverwendung gewonnener Erkenntnisse.</w:t>
      </w:r>
    </w:p>
    <w:p>
      <w:pPr>
        <w:pStyle w:val="Heading1"/>
      </w:pPr>
      <w:r>
        <w:rPr>
          <w:rFonts w:ascii="Calibri" w:hAnsi="Calibri"/>
          <w:b/>
          <w:color w:val="2E74B5"/>
          <w:sz w:val="32"/>
        </w:rPr>
        <w:t>2. Ausgangsproblem</w:t>
      </w:r>
    </w:p>
    <w:p>
      <w:r>
        <w:rPr>
          <w:rFonts w:ascii="Calibri" w:hAnsi="Calibri"/>
          <w:color w:val="1F2328"/>
          <w:sz w:val="22"/>
        </w:rPr>
        <w:t>Viele lokale Unternehmen betreiben Websites, Social-Media-Kanäle, Werbekonten, Unternehmensprofile, Shops und weitere Medien getrennt voneinander. Daten, Inhalte und Erkenntnisse verbleiben in einzelnen Plattformen oder bei verschiedenen Dienstleistern. Für Unternehmen ohne eigenes Marketing-, Daten- oder Medienteam entstehen dadurch insbesondere:</w:t>
      </w:r>
    </w:p>
    <w:p>
      <w:pPr>
        <w:spacing w:before="0" w:after="80" w:line="290" w:lineRule="auto"/>
        <w:numPr>
          <w:ilvl w:val="0"/>
          <w:numId w:val="10"/>
        </w:numPr>
      </w:pPr>
      <w:r>
        <w:rPr>
          <w:rFonts w:ascii="Calibri" w:hAnsi="Calibri"/>
          <w:color w:val="1F2328"/>
          <w:sz w:val="22"/>
        </w:rPr>
        <w:t>inkonsistente Markenkommunikation über verschiedene Kanäle;</w:t>
      </w:r>
    </w:p>
    <w:p>
      <w:pPr>
        <w:spacing w:before="0" w:after="80" w:line="290" w:lineRule="auto"/>
        <w:numPr>
          <w:ilvl w:val="0"/>
          <w:numId w:val="10"/>
        </w:numPr>
      </w:pPr>
      <w:r>
        <w:rPr>
          <w:rFonts w:ascii="Calibri" w:hAnsi="Calibri"/>
          <w:color w:val="1F2328"/>
          <w:sz w:val="22"/>
        </w:rPr>
        <w:t>Medienbrüche zwischen Aufmerksamkeit, Website, Anfrage und Kauf;</w:t>
      </w:r>
    </w:p>
    <w:p>
      <w:pPr>
        <w:spacing w:before="0" w:after="80" w:line="290" w:lineRule="auto"/>
        <w:numPr>
          <w:ilvl w:val="0"/>
          <w:numId w:val="10"/>
        </w:numPr>
      </w:pPr>
      <w:r>
        <w:rPr>
          <w:rFonts w:ascii="Calibri" w:hAnsi="Calibri"/>
          <w:color w:val="1F2328"/>
          <w:sz w:val="22"/>
        </w:rPr>
        <w:t>hoher manueller Koordinations- und Auswertungsaufwand;</w:t>
      </w:r>
    </w:p>
    <w:p>
      <w:pPr>
        <w:spacing w:before="0" w:after="80" w:line="290" w:lineRule="auto"/>
        <w:numPr>
          <w:ilvl w:val="0"/>
          <w:numId w:val="10"/>
        </w:numPr>
      </w:pPr>
      <w:r>
        <w:rPr>
          <w:rFonts w:ascii="Calibri" w:hAnsi="Calibri"/>
          <w:color w:val="1F2328"/>
          <w:sz w:val="22"/>
        </w:rPr>
        <w:t>langsame oder isolierte Content-Produktion;</w:t>
      </w:r>
    </w:p>
    <w:p>
      <w:pPr>
        <w:spacing w:before="0" w:after="80" w:line="290" w:lineRule="auto"/>
        <w:numPr>
          <w:ilvl w:val="0"/>
          <w:numId w:val="10"/>
        </w:numPr>
      </w:pPr>
      <w:r>
        <w:rPr>
          <w:rFonts w:ascii="Calibri" w:hAnsi="Calibri"/>
          <w:color w:val="1F2328"/>
          <w:sz w:val="22"/>
        </w:rPr>
        <w:t>fehlende Transparenz über den Beitrag einzelner Maßnahmen zum Geschäftsergebnis;</w:t>
      </w:r>
    </w:p>
    <w:p>
      <w:pPr>
        <w:spacing w:before="0" w:after="80" w:line="290" w:lineRule="auto"/>
        <w:numPr>
          <w:ilvl w:val="0"/>
          <w:numId w:val="10"/>
        </w:numPr>
      </w:pPr>
      <w:r>
        <w:rPr>
          <w:rFonts w:ascii="Calibri" w:hAnsi="Calibri"/>
          <w:color w:val="1F2328"/>
          <w:sz w:val="22"/>
        </w:rPr>
        <w:t>Verlust früherer Erkenntnisse, weil Ergebnisse nicht strukturiert gespeichert werden.</w:t>
      </w:r>
    </w:p>
    <w:p>
      <w:r>
        <w:rPr>
          <w:rFonts w:ascii="Calibri" w:hAnsi="Calibri"/>
          <w:color w:val="1F2328"/>
          <w:sz w:val="22"/>
        </w:rPr>
        <w:t>Bestehende Analytics-, Publishing-, CRM- und KI-Werkzeuge lösen jeweils Teilprobleme. Sie schaffen für kleine Unternehmen jedoch nicht automatisch einen gemeinsamen Kontext über Marke, Angebot, Zielgruppe, Medienkanäle und gemessene Ergebnisse. Klassische Agenturleistungen sind häufig kampagnen- oder kanalbezogen und erzeugen ebenfalls keinen dauerhaft nutzbaren Lernkreislauf.</w:t>
      </w:r>
    </w:p>
    <w:p>
      <w:pPr>
        <w:pStyle w:val="Heading1"/>
      </w:pPr>
      <w:r>
        <w:rPr>
          <w:rFonts w:ascii="Calibri" w:hAnsi="Calibri"/>
          <w:b/>
          <w:color w:val="2E74B5"/>
          <w:sz w:val="32"/>
        </w:rPr>
        <w:t>3. Geplante Lösung</w:t>
      </w:r>
    </w:p>
    <w:p>
      <w:r>
        <w:rPr>
          <w:rFonts w:ascii="Calibri" w:hAnsi="Calibri"/>
          <w:color w:val="1F2328"/>
          <w:sz w:val="22"/>
        </w:rPr>
        <w:t>Kernscale führt öffentlich verfügbare Medieninformationen und vom Kunden ausdrücklich freigegebene interne Daten in einem getrennten Kunden-Workspace zusammen. Daraus entsteht folgender Zielprozess:</w:t>
      </w:r>
    </w:p>
    <w:p>
      <w:pPr>
        <w:keepLines/>
        <w:spacing w:before="80" w:after="160" w:line="240" w:lineRule="auto"/>
        <w:ind w:left="259" w:right="259"/>
        <w:jc w:val="left"/>
        <w:shd w:fill="F4F6F9"/>
      </w:pPr>
      <w:r>
        <w:rPr>
          <w:rFonts w:ascii="Consolas" w:hAnsi="Consolas"/>
          <w:color w:val="1F2328"/>
          <w:sz w:val="17"/>
        </w:rPr>
        <w:t>öffentliche und freigegebene interne Quellen</w:t>
        <w:br/>
        <w:t>-&gt; strukturierte Medienartefakte</w:t>
        <w:br/>
        <w:t>-&gt; kanalübergreifende Signale</w:t>
        <w:br/>
        <w:t>-&gt; Marken-, Angebots- und Geschäftskontext</w:t>
        <w:br/>
        <w:t>-&gt; priorisierte Empfehlungen</w:t>
        <w:br/>
        <w:t>-&gt; Strategien, Skripte und Medienvarianten</w:t>
        <w:br/>
        <w:t>-&gt; menschliche Prüfung und Umsetzung</w:t>
        <w:br/>
        <w:t>-&gt; Ergebnismessung</w:t>
        <w:br/>
        <w:t>-&gt; bestätigte Lernrecords</w:t>
        <w:br/>
        <w:t>-&gt; verbesserte nächste Maßnahme</w:t>
      </w:r>
    </w:p>
    <w:p>
      <w:r>
        <w:rPr>
          <w:rFonts w:ascii="Calibri" w:hAnsi="Calibri"/>
          <w:color w:val="1F2328"/>
          <w:sz w:val="22"/>
        </w:rPr>
        <w:t>Die Plattform soll die Analyse und Vorbereitung von Maßnahmen beschleunigen, ohne fachliche Verantwortung vollständig an ein KI-System abzugeben. Kundenwirksame Empfehlungen und Inhalte bleiben prüf- und freigabepflichtig.</w:t>
      </w:r>
    </w:p>
    <w:p>
      <w:pPr>
        <w:pStyle w:val="Heading1"/>
      </w:pPr>
      <w:r>
        <w:rPr>
          <w:rFonts w:ascii="Calibri" w:hAnsi="Calibri"/>
          <w:b/>
          <w:color w:val="2E74B5"/>
          <w:sz w:val="32"/>
        </w:rPr>
        <w:t>4. Innovationsgehalt</w:t>
      </w:r>
    </w:p>
    <w:p>
      <w:r>
        <w:rPr>
          <w:rFonts w:ascii="Calibri" w:hAnsi="Calibri"/>
          <w:color w:val="1F2328"/>
          <w:sz w:val="22"/>
        </w:rPr>
        <w:t>Der Innovationsanspruch beruht nicht auf der isolierten Nutzung generativer KI. Neuartig ist die für lokale KMU zugängliche Verbindung folgender Elemente:</w:t>
      </w:r>
    </w:p>
    <w:p>
      <w:pPr>
        <w:spacing w:before="0" w:after="80" w:line="290" w:lineRule="auto"/>
        <w:numPr>
          <w:ilvl w:val="0"/>
          <w:numId w:val="11"/>
        </w:numPr>
      </w:pPr>
      <w:r>
        <w:rPr>
          <w:rFonts w:ascii="Calibri" w:hAnsi="Calibri"/>
          <w:b/>
          <w:color w:val="1F2328"/>
          <w:sz w:val="22"/>
        </w:rPr>
        <w:t>Kanalübergreifende Kontextbasis:</w:t>
      </w:r>
      <w:r>
        <w:rPr>
          <w:rFonts w:ascii="Calibri" w:hAnsi="Calibri"/>
          <w:color w:val="1F2328"/>
          <w:sz w:val="22"/>
        </w:rPr>
        <w:t xml:space="preserve"> Marke, Zielgruppen, Angebote, Inhalte, Kanäle und Leistungsdaten werden gemeinsam statt als einzelne Plattformdaten betrachtet.</w:t>
      </w:r>
    </w:p>
    <w:p>
      <w:pPr>
        <w:spacing w:before="0" w:after="80" w:line="290" w:lineRule="auto"/>
        <w:numPr>
          <w:ilvl w:val="0"/>
          <w:numId w:val="11"/>
        </w:numPr>
      </w:pPr>
      <w:r>
        <w:rPr>
          <w:rFonts w:ascii="Calibri" w:hAnsi="Calibri"/>
          <w:b/>
          <w:color w:val="1F2328"/>
          <w:sz w:val="22"/>
        </w:rPr>
        <w:t>Zusammenhängende Funnel-Analyse:</w:t>
      </w:r>
      <w:r>
        <w:rPr>
          <w:rFonts w:ascii="Calibri" w:hAnsi="Calibri"/>
          <w:color w:val="1F2328"/>
          <w:sz w:val="22"/>
        </w:rPr>
        <w:t xml:space="preserve"> Analysiert werden die Übergänge von Aufmerksamkeit und Medienkontakt über Website oder Shop bis zu Anfrage und Kauf.</w:t>
      </w:r>
    </w:p>
    <w:p>
      <w:pPr>
        <w:spacing w:before="0" w:after="80" w:line="290" w:lineRule="auto"/>
        <w:numPr>
          <w:ilvl w:val="0"/>
          <w:numId w:val="11"/>
        </w:numPr>
      </w:pPr>
      <w:r>
        <w:rPr>
          <w:rFonts w:ascii="Calibri" w:hAnsi="Calibri"/>
          <w:b/>
          <w:color w:val="1F2328"/>
          <w:sz w:val="22"/>
        </w:rPr>
        <w:t>Kontextgebundene Generierung:</w:t>
      </w:r>
      <w:r>
        <w:rPr>
          <w:rFonts w:ascii="Calibri" w:hAnsi="Calibri"/>
          <w:color w:val="1F2328"/>
          <w:sz w:val="22"/>
        </w:rPr>
        <w:t xml:space="preserve"> Strategien, Skripte und Medienvarianten entstehen aus dem freigegebenen Marken- und Leistungskontext statt aus voneinander getrennten Prompts.</w:t>
      </w:r>
    </w:p>
    <w:p>
      <w:pPr>
        <w:spacing w:before="0" w:after="80" w:line="290" w:lineRule="auto"/>
        <w:numPr>
          <w:ilvl w:val="0"/>
          <w:numId w:val="11"/>
        </w:numPr>
      </w:pPr>
      <w:r>
        <w:rPr>
          <w:rFonts w:ascii="Calibri" w:hAnsi="Calibri"/>
          <w:b/>
          <w:color w:val="1F2328"/>
          <w:sz w:val="22"/>
        </w:rPr>
        <w:t>Menschliche Prüfung:</w:t>
      </w:r>
      <w:r>
        <w:rPr>
          <w:rFonts w:ascii="Calibri" w:hAnsi="Calibri"/>
          <w:color w:val="1F2328"/>
          <w:sz w:val="22"/>
        </w:rPr>
        <w:t xml:space="preserve"> Signale, Empfehlungen und generierte Ergebnisse werden vor der Nutzung bewertet, freigegeben oder verworfen.</w:t>
      </w:r>
    </w:p>
    <w:p>
      <w:pPr>
        <w:spacing w:before="0" w:after="80" w:line="290" w:lineRule="auto"/>
        <w:numPr>
          <w:ilvl w:val="0"/>
          <w:numId w:val="11"/>
        </w:numPr>
      </w:pPr>
      <w:r>
        <w:rPr>
          <w:rFonts w:ascii="Calibri" w:hAnsi="Calibri"/>
          <w:b/>
          <w:color w:val="1F2328"/>
          <w:sz w:val="22"/>
        </w:rPr>
        <w:t>Überprüfter Verbesserungsloop:</w:t>
      </w:r>
      <w:r>
        <w:rPr>
          <w:rFonts w:ascii="Calibri" w:hAnsi="Calibri"/>
          <w:color w:val="1F2328"/>
          <w:sz w:val="22"/>
        </w:rPr>
        <w:t xml:space="preserve"> Umgesetzte Maßnahmen und gemessene Ergebnisse werden als nachvollziehbare Lernrecords gespeichert und bei späteren Entscheidungen berücksichtigt.</w:t>
      </w:r>
    </w:p>
    <w:p>
      <w:r>
        <w:rPr>
          <w:rFonts w:ascii="Calibri" w:hAnsi="Calibri"/>
          <w:color w:val="1F2328"/>
          <w:sz w:val="22"/>
        </w:rPr>
        <w:t>Der langfristige Produktwert liegt in einer strukturierten Beweiskette:</w:t>
      </w:r>
    </w:p>
    <w:p>
      <w:pPr>
        <w:keepLines/>
        <w:spacing w:before="80" w:after="160" w:line="240" w:lineRule="auto"/>
        <w:ind w:left="259" w:right="259"/>
        <w:jc w:val="left"/>
        <w:shd w:fill="F4F6F9"/>
      </w:pPr>
      <w:r>
        <w:rPr>
          <w:rFonts w:ascii="Consolas" w:hAnsi="Consolas"/>
          <w:color w:val="1F2328"/>
          <w:sz w:val="17"/>
        </w:rPr>
        <w:t>Ausgangsproblem -&gt; Ausgangszustand -&gt; Maßnahme -&gt; veränderter Zustand</w:t>
        <w:br/>
        <w:t>-&gt; Ergebnis -&gt; bestätigte und wiederverwendbare Erkenntnis</w:t>
      </w:r>
    </w:p>
    <w:p>
      <w:r>
        <w:rPr>
          <w:rFonts w:ascii="Calibri" w:hAnsi="Calibri"/>
          <w:color w:val="1F2328"/>
          <w:sz w:val="22"/>
        </w:rPr>
        <w:t>Kernscale beansprucht nicht, einzelne Analyse-, Dashboard-, Content- oder Automatisierungsfunktionen erfunden zu haben. Die Differenzierung entsteht durch ihre Verbindung zu einem betreuten, kundenbezogenen und überprüfbaren Medienlernkreislauf.</w:t>
      </w:r>
    </w:p>
    <w:p>
      <w:pPr>
        <w:pStyle w:val="Heading1"/>
      </w:pPr>
      <w:r>
        <w:rPr>
          <w:rFonts w:ascii="Calibri" w:hAnsi="Calibri"/>
          <w:b/>
          <w:color w:val="2E74B5"/>
          <w:sz w:val="32"/>
        </w:rPr>
        <w:t>5. Zielgruppe und Kundennutzen</w:t>
      </w:r>
    </w:p>
    <w:p>
      <w:r>
        <w:rPr>
          <w:rFonts w:ascii="Calibri" w:hAnsi="Calibri"/>
          <w:color w:val="1F2328"/>
          <w:sz w:val="22"/>
        </w:rPr>
        <w:t>Die erste Zielgruppe sind lokale KMU und Dienstleister ohne eigenes ausgebautes Marketing-, Daten- oder Medienteam. Hinzu kommen kleinere E-Commerce-Unternehmen mit getrennten Shop-, Social-, Werbe- und Webdaten.</w:t>
      </w:r>
    </w:p>
    <w:p>
      <w:r>
        <w:rPr>
          <w:rFonts w:ascii="Calibri" w:hAnsi="Calibri"/>
          <w:color w:val="1F2328"/>
          <w:sz w:val="22"/>
        </w:rPr>
        <w:t>Der erwartete Kundennutzen besteht in:</w:t>
      </w:r>
    </w:p>
    <w:p>
      <w:pPr>
        <w:spacing w:before="0" w:after="80" w:line="290" w:lineRule="auto"/>
        <w:numPr>
          <w:ilvl w:val="0"/>
          <w:numId w:val="12"/>
        </w:numPr>
      </w:pPr>
      <w:r>
        <w:rPr>
          <w:rFonts w:ascii="Calibri" w:hAnsi="Calibri"/>
          <w:color w:val="1F2328"/>
          <w:sz w:val="22"/>
        </w:rPr>
        <w:t>einem gemeinsamen Überblick über relevante Medien- und Leistungsinformationen;</w:t>
      </w:r>
    </w:p>
    <w:p>
      <w:pPr>
        <w:spacing w:before="0" w:after="80" w:line="290" w:lineRule="auto"/>
        <w:numPr>
          <w:ilvl w:val="0"/>
          <w:numId w:val="12"/>
        </w:numPr>
      </w:pPr>
      <w:r>
        <w:rPr>
          <w:rFonts w:ascii="Calibri" w:hAnsi="Calibri"/>
          <w:color w:val="1F2328"/>
          <w:sz w:val="22"/>
        </w:rPr>
        <w:t>besser begründeten und priorisierten Maßnahmen;</w:t>
      </w:r>
    </w:p>
    <w:p>
      <w:pPr>
        <w:spacing w:before="0" w:after="80" w:line="290" w:lineRule="auto"/>
        <w:numPr>
          <w:ilvl w:val="0"/>
          <w:numId w:val="12"/>
        </w:numPr>
      </w:pPr>
      <w:r>
        <w:rPr>
          <w:rFonts w:ascii="Calibri" w:hAnsi="Calibri"/>
          <w:color w:val="1F2328"/>
          <w:sz w:val="22"/>
        </w:rPr>
        <w:t>konsistenterer Kommunikation über mehrere Kanäle;</w:t>
      </w:r>
    </w:p>
    <w:p>
      <w:pPr>
        <w:spacing w:before="0" w:after="80" w:line="290" w:lineRule="auto"/>
        <w:numPr>
          <w:ilvl w:val="0"/>
          <w:numId w:val="12"/>
        </w:numPr>
      </w:pPr>
      <w:r>
        <w:rPr>
          <w:rFonts w:ascii="Calibri" w:hAnsi="Calibri"/>
          <w:color w:val="1F2328"/>
          <w:sz w:val="22"/>
        </w:rPr>
        <w:t>geringerer manueller Analyse- und Koordinationsarbeit;</w:t>
      </w:r>
    </w:p>
    <w:p>
      <w:pPr>
        <w:spacing w:before="0" w:after="80" w:line="290" w:lineRule="auto"/>
        <w:numPr>
          <w:ilvl w:val="0"/>
          <w:numId w:val="12"/>
        </w:numPr>
      </w:pPr>
      <w:r>
        <w:rPr>
          <w:rFonts w:ascii="Calibri" w:hAnsi="Calibri"/>
          <w:color w:val="1F2328"/>
          <w:sz w:val="22"/>
        </w:rPr>
        <w:t>schnellerer Vorbereitung von Strategien, Skripten und Medienvarianten;</w:t>
      </w:r>
    </w:p>
    <w:p>
      <w:pPr>
        <w:spacing w:before="0" w:after="80" w:line="290" w:lineRule="auto"/>
        <w:numPr>
          <w:ilvl w:val="0"/>
          <w:numId w:val="12"/>
        </w:numPr>
      </w:pPr>
      <w:r>
        <w:rPr>
          <w:rFonts w:ascii="Calibri" w:hAnsi="Calibri"/>
          <w:color w:val="1F2328"/>
          <w:sz w:val="22"/>
        </w:rPr>
        <w:t>nachvollziehbarer Ergebnismessung;</w:t>
      </w:r>
    </w:p>
    <w:p>
      <w:pPr>
        <w:spacing w:before="0" w:after="80" w:line="290" w:lineRule="auto"/>
        <w:numPr>
          <w:ilvl w:val="0"/>
          <w:numId w:val="12"/>
        </w:numPr>
      </w:pPr>
      <w:r>
        <w:rPr>
          <w:rFonts w:ascii="Calibri" w:hAnsi="Calibri"/>
          <w:color w:val="1F2328"/>
          <w:sz w:val="22"/>
        </w:rPr>
        <w:t>dauerhaft verfügbarem Organisationswissen statt wiederkehrender Einzelanalysen.</w:t>
      </w:r>
    </w:p>
    <w:p>
      <w:pPr>
        <w:pStyle w:val="Heading1"/>
      </w:pPr>
      <w:r>
        <w:rPr>
          <w:rFonts w:ascii="Calibri" w:hAnsi="Calibri"/>
          <w:b/>
          <w:color w:val="2E74B5"/>
          <w:sz w:val="32"/>
        </w:rPr>
        <w:t>6. Bestehende Validierung</w:t>
      </w:r>
    </w:p>
    <w:p>
      <w:r>
        <w:rPr>
          <w:rFonts w:ascii="Calibri" w:hAnsi="Calibri"/>
          <w:color w:val="1F2328"/>
          <w:sz w:val="22"/>
        </w:rPr>
        <w:t>Kernscale hat bereits Leistungen für vier zahlende Kunden aus lokalen beziehungsweise physischen Dienstleistungsbereichen und dem E-Commerce-Umfeld erbracht. Jonas Knüppel übernahm dabei persönlich Analyse, Strategie, Design, Programmierung und Projektleitung.</w:t>
      </w:r>
    </w:p>
    <w:p>
      <w:r>
        <w:rPr>
          <w:rFonts w:ascii="Calibri" w:hAnsi="Calibri"/>
          <w:color w:val="1F2328"/>
          <w:sz w:val="22"/>
        </w:rPr>
        <w:t>Die bisherigen Leistungen umfassten insbesondere Websites, Accounts und verwandte digitale Umsetzungen. Sie belegen Marktzugang, Zahlungsbereitschaft für digitale Leistungen und praktische Umsetzungskompetenz. Die Kunden haben noch nicht den vollständigen Media Intelligence Loop genutzt. Diese Abgrenzung ist wesentlich: Die bisherige Dienstleistung wird nicht fälschlich als bereits fertiggestellte Softwareinnovation dargestellt.</w:t>
      </w:r>
    </w:p>
    <w:p>
      <w:pPr>
        <w:pStyle w:val="Heading1"/>
      </w:pPr>
      <w:r>
        <w:rPr>
          <w:rFonts w:ascii="Calibri" w:hAnsi="Calibri"/>
          <w:b/>
          <w:color w:val="2E74B5"/>
          <w:sz w:val="32"/>
        </w:rPr>
        <w:t>7. Aktueller Entwicklungsstand</w:t>
      </w:r>
    </w:p>
    <w:p>
      <w:r>
        <w:rPr>
          <w:rFonts w:ascii="Calibri" w:hAnsi="Calibri"/>
          <w:color w:val="1F2328"/>
          <w:sz w:val="22"/>
        </w:rPr>
        <w:t>Das Kernscale Dashboard verfügt bereits über eine technische Produktgrundlage:</w:t>
      </w:r>
    </w:p>
    <w:p>
      <w:pPr>
        <w:spacing w:before="0" w:after="80" w:line="290" w:lineRule="auto"/>
        <w:numPr>
          <w:ilvl w:val="0"/>
          <w:numId w:val="13"/>
        </w:numPr>
      </w:pPr>
      <w:r>
        <w:rPr>
          <w:rFonts w:ascii="Calibri" w:hAnsi="Calibri"/>
          <w:color w:val="1F2328"/>
          <w:sz w:val="22"/>
        </w:rPr>
        <w:t>Laravel-/React-Anwendung mit PostgreSQL-Ausrichtung;</w:t>
      </w:r>
    </w:p>
    <w:p>
      <w:pPr>
        <w:spacing w:before="0" w:after="80" w:line="290" w:lineRule="auto"/>
        <w:numPr>
          <w:ilvl w:val="0"/>
          <w:numId w:val="13"/>
        </w:numPr>
      </w:pPr>
      <w:r>
        <w:rPr>
          <w:rFonts w:ascii="Calibri" w:hAnsi="Calibri"/>
          <w:color w:val="1F2328"/>
          <w:sz w:val="22"/>
        </w:rPr>
        <w:t>getrennte Kernscale- und Kunden-Workspaces;</w:t>
      </w:r>
    </w:p>
    <w:p>
      <w:pPr>
        <w:spacing w:before="0" w:after="80" w:line="290" w:lineRule="auto"/>
        <w:numPr>
          <w:ilvl w:val="0"/>
          <w:numId w:val="13"/>
        </w:numPr>
      </w:pPr>
      <w:r>
        <w:rPr>
          <w:rFonts w:ascii="Calibri" w:hAnsi="Calibri"/>
          <w:color w:val="1F2328"/>
          <w:sz w:val="22"/>
        </w:rPr>
        <w:t>Mitgliedschaften, Rollen und Berechtigungsgrundlagen;</w:t>
      </w:r>
    </w:p>
    <w:p>
      <w:pPr>
        <w:spacing w:before="0" w:after="80" w:line="290" w:lineRule="auto"/>
        <w:numPr>
          <w:ilvl w:val="0"/>
          <w:numId w:val="13"/>
        </w:numPr>
      </w:pPr>
      <w:r>
        <w:rPr>
          <w:rFonts w:ascii="Calibri" w:hAnsi="Calibri"/>
          <w:color w:val="1F2328"/>
          <w:sz w:val="22"/>
        </w:rPr>
        <w:t>Datenmodelle und Oberflächen für Quellen, Artefakte, Signale und Empfehlungen;</w:t>
      </w:r>
    </w:p>
    <w:p>
      <w:pPr>
        <w:spacing w:before="0" w:after="80" w:line="290" w:lineRule="auto"/>
        <w:numPr>
          <w:ilvl w:val="0"/>
          <w:numId w:val="13"/>
        </w:numPr>
      </w:pPr>
      <w:r>
        <w:rPr>
          <w:rFonts w:ascii="Calibri" w:hAnsi="Calibri"/>
          <w:color w:val="1F2328"/>
          <w:sz w:val="22"/>
        </w:rPr>
        <w:t>regelbasierte Signalerkennung;</w:t>
      </w:r>
    </w:p>
    <w:p>
      <w:pPr>
        <w:spacing w:before="0" w:after="80" w:line="290" w:lineRule="auto"/>
        <w:numPr>
          <w:ilvl w:val="0"/>
          <w:numId w:val="13"/>
        </w:numPr>
      </w:pPr>
      <w:r>
        <w:rPr>
          <w:rFonts w:ascii="Calibri" w:hAnsi="Calibri"/>
          <w:color w:val="1F2328"/>
          <w:sz w:val="22"/>
        </w:rPr>
        <w:t>menschliche Prüfpfade und eine Decision Queue;</w:t>
      </w:r>
    </w:p>
    <w:p>
      <w:pPr>
        <w:spacing w:before="0" w:after="80" w:line="290" w:lineRule="auto"/>
        <w:numPr>
          <w:ilvl w:val="0"/>
          <w:numId w:val="13"/>
        </w:numPr>
      </w:pPr>
      <w:r>
        <w:rPr>
          <w:rFonts w:ascii="Calibri" w:hAnsi="Calibri"/>
          <w:color w:val="1F2328"/>
          <w:sz w:val="22"/>
        </w:rPr>
        <w:t>Knowledge Base und Knowledge Graph;</w:t>
      </w:r>
    </w:p>
    <w:p>
      <w:pPr>
        <w:spacing w:before="0" w:after="80" w:line="290" w:lineRule="auto"/>
        <w:numPr>
          <w:ilvl w:val="0"/>
          <w:numId w:val="13"/>
        </w:numPr>
      </w:pPr>
      <w:r>
        <w:rPr>
          <w:rFonts w:ascii="Calibri" w:hAnsi="Calibri"/>
          <w:color w:val="1F2328"/>
          <w:sz w:val="22"/>
        </w:rPr>
        <w:t>operative Module für Aufgaben, Dateien, Kommunikation und Kundenorganisation.</w:t>
      </w:r>
    </w:p>
    <w:p>
      <w:r>
        <w:rPr>
          <w:rFonts w:ascii="Calibri" w:hAnsi="Calibri"/>
          <w:color w:val="1F2328"/>
          <w:sz w:val="22"/>
        </w:rPr>
        <w:t>Der teilweise vorhandene Datenfluss lautet:</w:t>
      </w:r>
    </w:p>
    <w:p>
      <w:pPr>
        <w:keepLines/>
        <w:spacing w:before="80" w:after="160" w:line="240" w:lineRule="auto"/>
        <w:ind w:left="259" w:right="259"/>
        <w:jc w:val="left"/>
        <w:shd w:fill="F4F6F9"/>
      </w:pPr>
      <w:r>
        <w:rPr>
          <w:rFonts w:ascii="Consolas" w:hAnsi="Consolas"/>
          <w:color w:val="1F2328"/>
          <w:sz w:val="17"/>
        </w:rPr>
        <w:t>Quelle -&gt; Artefakt -&gt; regelbasiertes Signal -&gt; menschliche Prüfung</w:t>
        <w:br/>
        <w:t>-&gt; Wissen -&gt; Empfehlung -&gt; Entscheidung</w:t>
      </w:r>
    </w:p>
    <w:p>
      <w:r>
        <w:rPr>
          <w:rFonts w:ascii="Calibri" w:hAnsi="Calibri"/>
          <w:color w:val="1F2328"/>
          <w:sz w:val="22"/>
        </w:rPr>
        <w:t>Die bestehenden UI-Entwürfe und statischen Beispieldaten werden nicht als produktive Integrationen oder reale Kundenmetriken ausgegeben.</w:t>
      </w:r>
    </w:p>
    <w:p>
      <w:pPr>
        <w:pStyle w:val="Heading1"/>
      </w:pPr>
      <w:r>
        <w:rPr>
          <w:rFonts w:ascii="Calibri" w:hAnsi="Calibri"/>
          <w:b/>
          <w:color w:val="2E74B5"/>
          <w:sz w:val="32"/>
        </w:rPr>
        <w:t>8. Gegenstand der weiteren Entwicklung</w:t>
      </w:r>
    </w:p>
    <w:p>
      <w:r>
        <w:rPr>
          <w:rFonts w:ascii="Calibri" w:hAnsi="Calibri"/>
          <w:color w:val="1F2328"/>
          <w:sz w:val="22"/>
        </w:rPr>
        <w:t>Aus der vorhandenen Grundlage sollen insbesondere entstehen:</w:t>
      </w:r>
    </w:p>
    <w:p>
      <w:pPr>
        <w:spacing w:before="0" w:after="80" w:line="290" w:lineRule="auto"/>
        <w:numPr>
          <w:ilvl w:val="0"/>
          <w:numId w:val="14"/>
        </w:numPr>
      </w:pPr>
      <w:r>
        <w:rPr>
          <w:rFonts w:ascii="Calibri" w:hAnsi="Calibri"/>
          <w:color w:val="1F2328"/>
          <w:sz w:val="22"/>
        </w:rPr>
        <w:t>autorisierte Synchronisation ausgewählter Medien-, Analyse- und Leistungsquellen;</w:t>
      </w:r>
    </w:p>
    <w:p>
      <w:pPr>
        <w:spacing w:before="0" w:after="80" w:line="290" w:lineRule="auto"/>
        <w:numPr>
          <w:ilvl w:val="0"/>
          <w:numId w:val="14"/>
        </w:numPr>
      </w:pPr>
      <w:r>
        <w:rPr>
          <w:rFonts w:ascii="Calibri" w:hAnsi="Calibri"/>
          <w:color w:val="1F2328"/>
          <w:sz w:val="22"/>
        </w:rPr>
        <w:t>nachvollziehbares öffentliches Marken- und Medienmonitoring;</w:t>
      </w:r>
    </w:p>
    <w:p>
      <w:pPr>
        <w:spacing w:before="0" w:after="80" w:line="290" w:lineRule="auto"/>
        <w:numPr>
          <w:ilvl w:val="0"/>
          <w:numId w:val="14"/>
        </w:numPr>
      </w:pPr>
      <w:r>
        <w:rPr>
          <w:rFonts w:ascii="Calibri" w:hAnsi="Calibri"/>
          <w:color w:val="1F2328"/>
          <w:sz w:val="22"/>
        </w:rPr>
        <w:t>ein strukturiertes Marken-, Angebots-, Zielgruppen- und Funnel-Kontextmodell;</w:t>
      </w:r>
    </w:p>
    <w:p>
      <w:pPr>
        <w:spacing w:before="0" w:after="80" w:line="290" w:lineRule="auto"/>
        <w:numPr>
          <w:ilvl w:val="0"/>
          <w:numId w:val="14"/>
        </w:numPr>
      </w:pPr>
      <w:r>
        <w:rPr>
          <w:rFonts w:ascii="Calibri" w:hAnsi="Calibri"/>
          <w:color w:val="1F2328"/>
          <w:sz w:val="22"/>
        </w:rPr>
        <w:t>kanalübergreifende KI-gestützte Analyse;</w:t>
      </w:r>
    </w:p>
    <w:p>
      <w:pPr>
        <w:spacing w:before="0" w:after="80" w:line="290" w:lineRule="auto"/>
        <w:numPr>
          <w:ilvl w:val="0"/>
          <w:numId w:val="14"/>
        </w:numPr>
      </w:pPr>
      <w:r>
        <w:rPr>
          <w:rFonts w:ascii="Calibri" w:hAnsi="Calibri"/>
          <w:color w:val="1F2328"/>
          <w:sz w:val="22"/>
        </w:rPr>
        <w:t>Generierung von Strategien, Skripten und Medienvarianten;</w:t>
      </w:r>
    </w:p>
    <w:p>
      <w:pPr>
        <w:spacing w:before="0" w:after="80" w:line="290" w:lineRule="auto"/>
        <w:numPr>
          <w:ilvl w:val="0"/>
          <w:numId w:val="14"/>
        </w:numPr>
      </w:pPr>
      <w:r>
        <w:rPr>
          <w:rFonts w:ascii="Calibri" w:hAnsi="Calibri"/>
          <w:color w:val="1F2328"/>
          <w:sz w:val="22"/>
        </w:rPr>
        <w:t>Medien-, Prüf- und Freigabeworkflows;</w:t>
      </w:r>
    </w:p>
    <w:p>
      <w:pPr>
        <w:spacing w:before="0" w:after="80" w:line="290" w:lineRule="auto"/>
        <w:numPr>
          <w:ilvl w:val="0"/>
          <w:numId w:val="14"/>
        </w:numPr>
      </w:pPr>
      <w:r>
        <w:rPr>
          <w:rFonts w:ascii="Calibri" w:hAnsi="Calibri"/>
          <w:color w:val="1F2328"/>
          <w:sz w:val="22"/>
        </w:rPr>
        <w:t>Vorher-/Nachher- und Ergebnissnapshots;</w:t>
      </w:r>
    </w:p>
    <w:p>
      <w:pPr>
        <w:spacing w:before="0" w:after="80" w:line="290" w:lineRule="auto"/>
        <w:numPr>
          <w:ilvl w:val="0"/>
          <w:numId w:val="14"/>
        </w:numPr>
      </w:pPr>
      <w:r>
        <w:rPr>
          <w:rFonts w:ascii="Calibri" w:hAnsi="Calibri"/>
          <w:color w:val="1F2328"/>
          <w:sz w:val="22"/>
        </w:rPr>
        <w:t>Rückführung geprüfter Resultate in wiederverwendbare Lernrecords;</w:t>
      </w:r>
    </w:p>
    <w:p>
      <w:pPr>
        <w:spacing w:before="0" w:after="80" w:line="290" w:lineRule="auto"/>
        <w:numPr>
          <w:ilvl w:val="0"/>
          <w:numId w:val="14"/>
        </w:numPr>
      </w:pPr>
      <w:r>
        <w:rPr>
          <w:rFonts w:ascii="Calibri" w:hAnsi="Calibri"/>
          <w:color w:val="1F2328"/>
          <w:sz w:val="22"/>
        </w:rPr>
        <w:t>produktive Social-, Search-, Ads-, Data- und AI-Oberflächen;</w:t>
      </w:r>
    </w:p>
    <w:p>
      <w:pPr>
        <w:spacing w:before="0" w:after="80" w:line="290" w:lineRule="auto"/>
        <w:numPr>
          <w:ilvl w:val="0"/>
          <w:numId w:val="14"/>
        </w:numPr>
      </w:pPr>
      <w:r>
        <w:rPr>
          <w:rFonts w:ascii="Calibri" w:hAnsi="Calibri"/>
          <w:color w:val="1F2328"/>
          <w:sz w:val="22"/>
        </w:rPr>
        <w:t>verständliche Berichte und priorisierte Handlungsempfehlungen.</w:t>
      </w:r>
    </w:p>
    <w:p>
      <w:r>
        <w:rPr>
          <w:rFonts w:ascii="Calibri" w:hAnsi="Calibri"/>
          <w:color w:val="1F2328"/>
          <w:sz w:val="22"/>
        </w:rPr>
        <w:t>Die Plattform bleibt modular. Direkte Schnittstellen werden dort genutzt, wo stabile und rechtlich nutzbare APIs bestehen. Andere Quellen können über standardisierte Importe oder strukturierte manuelle Erfassung einbezogen werden. Eine automatische Veröffentlichung ist für den ersten marktfähigen Produktumfang nicht erforderlich.</w:t>
      </w:r>
    </w:p>
    <w:p>
      <w:pPr>
        <w:pStyle w:val="Heading1"/>
      </w:pPr>
      <w:r>
        <w:rPr>
          <w:rFonts w:ascii="Calibri" w:hAnsi="Calibri"/>
          <w:b/>
          <w:color w:val="2E74B5"/>
          <w:sz w:val="32"/>
        </w:rPr>
        <w:t>9. Geschäftsmodell</w:t>
      </w:r>
    </w:p>
    <w:p>
      <w:r>
        <w:rPr>
          <w:rFonts w:ascii="Calibri" w:hAnsi="Calibri"/>
          <w:color w:val="1F2328"/>
          <w:sz w:val="22"/>
        </w:rPr>
        <w:t>Das Geschäftsmodell verbindet:</w:t>
      </w:r>
    </w:p>
    <w:p>
      <w:pPr>
        <w:spacing w:before="0" w:after="80" w:line="290" w:lineRule="auto"/>
        <w:numPr>
          <w:ilvl w:val="0"/>
          <w:numId w:val="15"/>
        </w:numPr>
      </w:pPr>
      <w:r>
        <w:rPr>
          <w:rFonts w:ascii="Calibri" w:hAnsi="Calibri"/>
          <w:color w:val="1F2328"/>
          <w:sz w:val="22"/>
        </w:rPr>
        <w:t>eine einmalige Analyse- und Einrichtungspauschale;</w:t>
      </w:r>
    </w:p>
    <w:p>
      <w:pPr>
        <w:spacing w:before="0" w:after="80" w:line="290" w:lineRule="auto"/>
        <w:numPr>
          <w:ilvl w:val="0"/>
          <w:numId w:val="15"/>
        </w:numPr>
      </w:pPr>
      <w:r>
        <w:rPr>
          <w:rFonts w:ascii="Calibri" w:hAnsi="Calibri"/>
          <w:color w:val="1F2328"/>
          <w:sz w:val="22"/>
        </w:rPr>
        <w:t>eine monatliche Plattformgebühr;</w:t>
      </w:r>
    </w:p>
    <w:p>
      <w:pPr>
        <w:spacing w:before="0" w:after="80" w:line="290" w:lineRule="auto"/>
        <w:numPr>
          <w:ilvl w:val="0"/>
          <w:numId w:val="15"/>
        </w:numPr>
      </w:pPr>
      <w:r>
        <w:rPr>
          <w:rFonts w:ascii="Calibri" w:hAnsi="Calibri"/>
          <w:color w:val="1F2328"/>
          <w:sz w:val="22"/>
        </w:rPr>
        <w:t>eine monatliche Betreuungs- und Optimierungspauschale;</w:t>
      </w:r>
    </w:p>
    <w:p>
      <w:pPr>
        <w:spacing w:before="0" w:after="80" w:line="290" w:lineRule="auto"/>
        <w:numPr>
          <w:ilvl w:val="0"/>
          <w:numId w:val="15"/>
        </w:numPr>
      </w:pPr>
      <w:r>
        <w:rPr>
          <w:rFonts w:ascii="Calibri" w:hAnsi="Calibri"/>
          <w:color w:val="1F2328"/>
          <w:sz w:val="22"/>
        </w:rPr>
        <w:t>optionale Produktionsleistungen für Websites, Accounts und Medieninhalte;</w:t>
      </w:r>
    </w:p>
    <w:p>
      <w:pPr>
        <w:spacing w:before="0" w:after="80" w:line="290" w:lineRule="auto"/>
        <w:numPr>
          <w:ilvl w:val="0"/>
          <w:numId w:val="15"/>
        </w:numPr>
      </w:pPr>
      <w:r>
        <w:rPr>
          <w:rFonts w:ascii="Calibri" w:hAnsi="Calibri"/>
          <w:color w:val="1F2328"/>
          <w:sz w:val="22"/>
        </w:rPr>
        <w:t>eine nutzungsabhängige Abbildung besonders hoher KI-, Agenten- oder Tokenkosten.</w:t>
      </w:r>
    </w:p>
    <w:p>
      <w:r>
        <w:rPr>
          <w:rFonts w:ascii="Calibri" w:hAnsi="Calibri"/>
          <w:color w:val="1F2328"/>
          <w:sz w:val="22"/>
        </w:rPr>
        <w:t>Kernscale strebt bis Ende 2026 einen monatlichen Umsatz von 10.000 Euro an. Die endgültige Preisstruktur, Umsatzsteuerbehandlung und Szenarien werden im Finanzmodell festgelegt. Die bekannten grundlegenden betrieblichen Fixkosten betragen rund 200 Euro monatlich. Variable KI-, Agenten- und Tokenkosten können abhängig von Nutzung und Kundenzahl bis zu rund 2.000 Euro monatlich betragen und werden deshalb nicht als unveränderliche Fixkosten kalkuliert.</w:t>
      </w:r>
    </w:p>
    <w:p>
      <w:pPr>
        <w:pStyle w:val="Heading1"/>
      </w:pPr>
      <w:r>
        <w:rPr>
          <w:rFonts w:ascii="Calibri" w:hAnsi="Calibri"/>
          <w:b/>
          <w:color w:val="2E74B5"/>
          <w:sz w:val="32"/>
        </w:rPr>
        <w:t>10. Gründer und Aufgabenverteilung</w:t>
      </w:r>
    </w:p>
    <w:p>
      <w:r>
        <w:rPr>
          <w:rFonts w:ascii="Calibri" w:hAnsi="Calibri"/>
          <w:color w:val="1F2328"/>
          <w:sz w:val="22"/>
        </w:rPr>
        <w:t>Jonas Knüppel und Linus Kern sind zu jeweils 50 Prozent beteiligt und beide Geschäftsführer der Kernscale UG (haftungsbeschränkt) i. G.</w:t>
      </w:r>
    </w:p>
    <w:p>
      <w:r>
        <w:rPr>
          <w:rFonts w:ascii="Calibri" w:hAnsi="Calibri"/>
          <w:b/>
          <w:color w:val="1F2328"/>
          <w:sz w:val="22"/>
        </w:rPr>
        <w:t>Jonas Knüppel – Technik und Produkt</w:t>
      </w:r>
    </w:p>
    <w:p>
      <w:pPr>
        <w:spacing w:before="0" w:after="80" w:line="290" w:lineRule="auto"/>
        <w:numPr>
          <w:ilvl w:val="0"/>
          <w:numId w:val="16"/>
        </w:numPr>
      </w:pPr>
      <w:r>
        <w:rPr>
          <w:rFonts w:ascii="Calibri" w:hAnsi="Calibri"/>
          <w:color w:val="1F2328"/>
          <w:sz w:val="22"/>
        </w:rPr>
        <w:t>technische Architektur und Produktentwicklung;</w:t>
      </w:r>
    </w:p>
    <w:p>
      <w:pPr>
        <w:spacing w:before="0" w:after="80" w:line="290" w:lineRule="auto"/>
        <w:numPr>
          <w:ilvl w:val="0"/>
          <w:numId w:val="16"/>
        </w:numPr>
      </w:pPr>
      <w:r>
        <w:rPr>
          <w:rFonts w:ascii="Calibri" w:hAnsi="Calibri"/>
          <w:color w:val="1F2328"/>
          <w:sz w:val="22"/>
        </w:rPr>
        <w:t>Dashboard und Benutzeroberfläche;</w:t>
      </w:r>
    </w:p>
    <w:p>
      <w:pPr>
        <w:spacing w:before="0" w:after="80" w:line="290" w:lineRule="auto"/>
        <w:numPr>
          <w:ilvl w:val="0"/>
          <w:numId w:val="16"/>
        </w:numPr>
      </w:pPr>
      <w:r>
        <w:rPr>
          <w:rFonts w:ascii="Calibri" w:hAnsi="Calibri"/>
          <w:color w:val="1F2328"/>
          <w:sz w:val="22"/>
        </w:rPr>
        <w:t>Datenintegrationen und Kontextsystem;</w:t>
      </w:r>
    </w:p>
    <w:p>
      <w:pPr>
        <w:spacing w:before="0" w:after="80" w:line="290" w:lineRule="auto"/>
        <w:numPr>
          <w:ilvl w:val="0"/>
          <w:numId w:val="16"/>
        </w:numPr>
      </w:pPr>
      <w:r>
        <w:rPr>
          <w:rFonts w:ascii="Calibri" w:hAnsi="Calibri"/>
          <w:color w:val="1F2328"/>
          <w:sz w:val="22"/>
        </w:rPr>
        <w:t>KI-gestützte Analyse- und Generierungsworkflows;</w:t>
      </w:r>
    </w:p>
    <w:p>
      <w:pPr>
        <w:spacing w:before="0" w:after="80" w:line="290" w:lineRule="auto"/>
        <w:numPr>
          <w:ilvl w:val="0"/>
          <w:numId w:val="16"/>
        </w:numPr>
      </w:pPr>
      <w:r>
        <w:rPr>
          <w:rFonts w:ascii="Calibri" w:hAnsi="Calibri"/>
          <w:color w:val="1F2328"/>
          <w:sz w:val="22"/>
        </w:rPr>
        <w:t>technische Qualität, Datenschutz und Weiterentwicklung;</w:t>
      </w:r>
    </w:p>
    <w:p>
      <w:pPr>
        <w:spacing w:before="0" w:after="80" w:line="290" w:lineRule="auto"/>
        <w:numPr>
          <w:ilvl w:val="0"/>
          <w:numId w:val="16"/>
        </w:numPr>
      </w:pPr>
      <w:r>
        <w:rPr>
          <w:rFonts w:ascii="Calibri" w:hAnsi="Calibri"/>
          <w:color w:val="1F2328"/>
          <w:sz w:val="22"/>
        </w:rPr>
        <w:t>Kundenprojekte in Analyse, Strategie, Design, Programmierung und Projektleitung.</w:t>
      </w:r>
    </w:p>
    <w:p>
      <w:r>
        <w:rPr>
          <w:rFonts w:ascii="Calibri" w:hAnsi="Calibri"/>
          <w:color w:val="1F2328"/>
          <w:sz w:val="22"/>
        </w:rPr>
        <w:t>Jonas Knüppel erwarb 2026 am Sportgymnasium Neubrandenburg das Abitur mit der Abschlussnote 1,6. Seit August 2026 ist er offiziell selbstständig und arbeitet hauptberuflich an Kernscale.</w:t>
      </w:r>
    </w:p>
    <w:p>
      <w:r>
        <w:rPr>
          <w:rFonts w:ascii="Calibri" w:hAnsi="Calibri"/>
          <w:b/>
          <w:color w:val="1F2328"/>
          <w:sz w:val="22"/>
        </w:rPr>
        <w:t>Linus Kern – Markt und Medien</w:t>
      </w:r>
    </w:p>
    <w:p>
      <w:pPr>
        <w:spacing w:before="0" w:after="80" w:line="290" w:lineRule="auto"/>
        <w:numPr>
          <w:ilvl w:val="0"/>
          <w:numId w:val="17"/>
        </w:numPr>
      </w:pPr>
      <w:r>
        <w:rPr>
          <w:rFonts w:ascii="Calibri" w:hAnsi="Calibri"/>
          <w:color w:val="1F2328"/>
          <w:sz w:val="22"/>
        </w:rPr>
        <w:t>Marken- und Medienstrategie;</w:t>
      </w:r>
    </w:p>
    <w:p>
      <w:pPr>
        <w:spacing w:before="0" w:after="80" w:line="290" w:lineRule="auto"/>
        <w:numPr>
          <w:ilvl w:val="0"/>
          <w:numId w:val="17"/>
        </w:numPr>
      </w:pPr>
      <w:r>
        <w:rPr>
          <w:rFonts w:ascii="Calibri" w:hAnsi="Calibri"/>
          <w:color w:val="1F2328"/>
          <w:sz w:val="22"/>
        </w:rPr>
        <w:t>Kunden- und Kommunikationsanalyse;</w:t>
      </w:r>
    </w:p>
    <w:p>
      <w:pPr>
        <w:spacing w:before="0" w:after="80" w:line="290" w:lineRule="auto"/>
        <w:numPr>
          <w:ilvl w:val="0"/>
          <w:numId w:val="17"/>
        </w:numPr>
      </w:pPr>
      <w:r>
        <w:rPr>
          <w:rFonts w:ascii="Calibri" w:hAnsi="Calibri"/>
          <w:color w:val="1F2328"/>
          <w:sz w:val="22"/>
        </w:rPr>
        <w:t>Content- und Kanalkonzeption;</w:t>
      </w:r>
    </w:p>
    <w:p>
      <w:pPr>
        <w:spacing w:before="0" w:after="80" w:line="290" w:lineRule="auto"/>
        <w:numPr>
          <w:ilvl w:val="0"/>
          <w:numId w:val="17"/>
        </w:numPr>
      </w:pPr>
      <w:r>
        <w:rPr>
          <w:rFonts w:ascii="Calibri" w:hAnsi="Calibri"/>
          <w:color w:val="1F2328"/>
          <w:sz w:val="22"/>
        </w:rPr>
        <w:t>Kundengewinnung und Betreuung;</w:t>
      </w:r>
    </w:p>
    <w:p>
      <w:pPr>
        <w:spacing w:before="0" w:after="80" w:line="290" w:lineRule="auto"/>
        <w:numPr>
          <w:ilvl w:val="0"/>
          <w:numId w:val="17"/>
        </w:numPr>
      </w:pPr>
      <w:r>
        <w:rPr>
          <w:rFonts w:ascii="Calibri" w:hAnsi="Calibri"/>
          <w:color w:val="1F2328"/>
          <w:sz w:val="22"/>
        </w:rPr>
        <w:t>Pilotierung und wirtschaftliche Validierung.</w:t>
      </w:r>
    </w:p>
    <w:p>
      <w:r>
        <w:rPr>
          <w:rFonts w:ascii="Calibri" w:hAnsi="Calibri"/>
          <w:color w:val="1F2328"/>
          <w:sz w:val="22"/>
        </w:rPr>
        <w:t>Gemeinsam verantworten beide Gründer Produktstrategie, Geschäftsmodell, Finanzen und Unternehmensaufbau. Jonas Knüppel ist als Antragsteller ein wesentlicher technischer Kompetenzträger des Vorhabens.</w:t>
      </w:r>
    </w:p>
    <w:p>
      <w:pPr>
        <w:pStyle w:val="Heading1"/>
      </w:pPr>
      <w:r>
        <w:rPr>
          <w:rFonts w:ascii="Calibri" w:hAnsi="Calibri"/>
          <w:b/>
          <w:color w:val="2E74B5"/>
          <w:sz w:val="32"/>
        </w:rPr>
        <w:t>11. Daten-, Qualitäts- und Sicherheitsgrundsätze</w:t>
      </w:r>
    </w:p>
    <w:p>
      <w:pPr>
        <w:spacing w:before="0" w:after="80" w:line="290" w:lineRule="auto"/>
        <w:numPr>
          <w:ilvl w:val="0"/>
          <w:numId w:val="18"/>
        </w:numPr>
      </w:pPr>
      <w:r>
        <w:rPr>
          <w:rFonts w:ascii="Calibri" w:hAnsi="Calibri"/>
          <w:color w:val="1F2328"/>
          <w:sz w:val="22"/>
        </w:rPr>
        <w:t>Verarbeitung nur öffentlich verfügbarer oder ausdrücklich freigegebener Kundendaten;</w:t>
      </w:r>
    </w:p>
    <w:p>
      <w:pPr>
        <w:spacing w:before="0" w:after="80" w:line="290" w:lineRule="auto"/>
        <w:numPr>
          <w:ilvl w:val="0"/>
          <w:numId w:val="18"/>
        </w:numPr>
      </w:pPr>
      <w:r>
        <w:rPr>
          <w:rFonts w:ascii="Calibri" w:hAnsi="Calibri"/>
          <w:color w:val="1F2328"/>
          <w:sz w:val="22"/>
        </w:rPr>
        <w:t>strikte Trennung der Kunden-Workspaces;</w:t>
      </w:r>
    </w:p>
    <w:p>
      <w:pPr>
        <w:spacing w:before="0" w:after="80" w:line="290" w:lineRule="auto"/>
        <w:numPr>
          <w:ilvl w:val="0"/>
          <w:numId w:val="18"/>
        </w:numPr>
      </w:pPr>
      <w:r>
        <w:rPr>
          <w:rFonts w:ascii="Calibri" w:hAnsi="Calibri"/>
          <w:color w:val="1F2328"/>
          <w:sz w:val="22"/>
        </w:rPr>
        <w:t>keine organisationsübergreifende Nutzung identifizierbarer Kundendaten ohne Rechtsgrundlage und Freigabe;</w:t>
      </w:r>
    </w:p>
    <w:p>
      <w:pPr>
        <w:spacing w:before="0" w:after="80" w:line="290" w:lineRule="auto"/>
        <w:numPr>
          <w:ilvl w:val="0"/>
          <w:numId w:val="18"/>
        </w:numPr>
      </w:pPr>
      <w:r>
        <w:rPr>
          <w:rFonts w:ascii="Calibri" w:hAnsi="Calibri"/>
          <w:color w:val="1F2328"/>
          <w:sz w:val="22"/>
        </w:rPr>
        <w:t>geschützte, widerrufbare Verbindungsdaten für Integrationen;</w:t>
      </w:r>
    </w:p>
    <w:p>
      <w:pPr>
        <w:spacing w:before="0" w:after="80" w:line="290" w:lineRule="auto"/>
        <w:numPr>
          <w:ilvl w:val="0"/>
          <w:numId w:val="18"/>
        </w:numPr>
      </w:pPr>
      <w:r>
        <w:rPr>
          <w:rFonts w:ascii="Calibri" w:hAnsi="Calibri"/>
          <w:color w:val="1F2328"/>
          <w:sz w:val="22"/>
        </w:rPr>
        <w:t>Herkunfts-, Synchronisations- und Qualitätsinformationen für importierte Daten;</w:t>
      </w:r>
    </w:p>
    <w:p>
      <w:pPr>
        <w:spacing w:before="0" w:after="80" w:line="290" w:lineRule="auto"/>
        <w:numPr>
          <w:ilvl w:val="0"/>
          <w:numId w:val="18"/>
        </w:numPr>
      </w:pPr>
      <w:r>
        <w:rPr>
          <w:rFonts w:ascii="Calibri" w:hAnsi="Calibri"/>
          <w:color w:val="1F2328"/>
          <w:sz w:val="22"/>
        </w:rPr>
        <w:t>Trennung von Rohdaten, generierten Entwürfen und menschlich bestätigten Erkenntnissen;</w:t>
      </w:r>
    </w:p>
    <w:p>
      <w:pPr>
        <w:spacing w:before="0" w:after="80" w:line="290" w:lineRule="auto"/>
        <w:numPr>
          <w:ilvl w:val="0"/>
          <w:numId w:val="18"/>
        </w:numPr>
      </w:pPr>
      <w:r>
        <w:rPr>
          <w:rFonts w:ascii="Calibri" w:hAnsi="Calibri"/>
          <w:color w:val="1F2328"/>
          <w:sz w:val="22"/>
        </w:rPr>
        <w:t>menschliche Freigabe vor kundenwirksamen Aktionen;</w:t>
      </w:r>
    </w:p>
    <w:p>
      <w:pPr>
        <w:spacing w:before="0" w:after="80" w:line="290" w:lineRule="auto"/>
        <w:numPr>
          <w:ilvl w:val="0"/>
          <w:numId w:val="18"/>
        </w:numPr>
      </w:pPr>
      <w:r>
        <w:rPr>
          <w:rFonts w:ascii="Calibri" w:hAnsi="Calibri"/>
          <w:color w:val="1F2328"/>
          <w:sz w:val="22"/>
        </w:rPr>
        <w:t>sichtbare Kennzeichnung fehlender, widersprüchlicher oder unsicherer Daten;</w:t>
      </w:r>
    </w:p>
    <w:p>
      <w:pPr>
        <w:spacing w:before="0" w:after="80" w:line="290" w:lineRule="auto"/>
        <w:numPr>
          <w:ilvl w:val="0"/>
          <w:numId w:val="18"/>
        </w:numPr>
      </w:pPr>
      <w:r>
        <w:rPr>
          <w:rFonts w:ascii="Calibri" w:hAnsi="Calibri"/>
          <w:color w:val="1F2328"/>
          <w:sz w:val="22"/>
        </w:rPr>
        <w:t>Lösch-, Export- und Berechtigungskonzepte.</w:t>
      </w:r>
    </w:p>
    <w:p>
      <w:pPr>
        <w:pStyle w:val="Heading1"/>
      </w:pPr>
      <w:r>
        <w:rPr>
          <w:rFonts w:ascii="Calibri" w:hAnsi="Calibri"/>
          <w:b/>
          <w:color w:val="2E74B5"/>
          <w:sz w:val="32"/>
        </w:rPr>
        <w:t>12. Risiken und Gegenmaßnahmen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700"/>
        <w:gridCol w:w="6660"/>
      </w:tblGrid>
      <w:tr>
        <w:trPr>
          <w:cantSplit w:val="true"/>
          <w:tblHeader w:val="true"/>
        </w:trPr>
        <w:tc>
          <w:tcPr>
            <w:tcW w:type="dxa" w:w="270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Risiko</w:t>
            </w:r>
          </w:p>
        </w:tc>
        <w:tc>
          <w:tcPr>
            <w:tcW w:type="dxa" w:w="666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Gegenmaßnahme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Plattform-APIs ändern oder beschränken den Zugriff</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modulare Schnittstellen, priorisierte Kernintegrationen und standardisierte Importe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Kundendaten sind unvollständig oder widersprüchlich</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sichtbare Datenqualität, Herkunftsnachweise und manuelle Prüfung</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KI-Ausgaben enthalten Fehler</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Freigabepflicht, belegbezogene Empfehlungen und Trennung von Entwurf und bestätigtem Wissen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Onboarding wird für kleine Unternehmen zu komplex</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betreute Einrichtung, schrittweise Datenfreigabe und verständliche Nutzeroberflächen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Kunden kaufen weiterhin nur Einzelprojekte</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Kombination aus Setup, Plattform und betreuter laufender Optimierung</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Produktumfang wird durch zu viele Kanäle überladen</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modularer Aufbau und Auswahl nach Kundenbedarf, API-Stabilität und wirtschaftlichem Nutzen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Datenschutz oder Mandantentrennung werden unzureichend umgesetzt</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Workspace-Isolation, Rollen, technische Zugriffskontrollen und dokumentierte Löschprozesse</w:t>
            </w:r>
          </w:p>
        </w:tc>
      </w:tr>
    </w:tbl>
    <w:p>
      <w:pPr>
        <w:spacing w:before="80" w:after="80"/>
      </w:pPr>
    </w:p>
    <w:p>
      <w:pPr>
        <w:pStyle w:val="Heading1"/>
      </w:pPr>
      <w:r>
        <w:rPr>
          <w:rFonts w:ascii="Calibri" w:hAnsi="Calibri"/>
          <w:b/>
          <w:color w:val="2E74B5"/>
          <w:sz w:val="32"/>
        </w:rPr>
        <w:t>13. Gleichstellung, Chancengleichheit und Nachhaltigkeit</w:t>
      </w:r>
    </w:p>
    <w:p>
      <w:r>
        <w:rPr>
          <w:rFonts w:ascii="Calibri" w:hAnsi="Calibri"/>
          <w:color w:val="1F2328"/>
          <w:sz w:val="22"/>
        </w:rPr>
        <w:t>Die Plattform wird branchenoffen und barrierearm konzipiert. Nutzerrollen, Empfehlungen und generierte Inhalte sollen nicht auf geschlechtsbezogenen oder anderen diskriminierenden Annahmen beruhen. Menschliche Prüfungen bleiben insbesondere bei sensiblen Zielgruppen- und Kommunikationsentscheidungen erhalten.</w:t>
      </w:r>
    </w:p>
    <w:p>
      <w:r>
        <w:rPr>
          <w:rFonts w:ascii="Calibri" w:hAnsi="Calibri"/>
          <w:color w:val="1F2328"/>
          <w:sz w:val="22"/>
        </w:rPr>
        <w:t>Kleine Unternehmen erhalten Zugang zu Analyse- und Automatisierungsmöglichkeiten, die sonst häufig eigene Fachabteilungen oder mehrere spezialisierte Werkzeuge erfordern. Damit soll eine digitalisierungsbedingte Zugangshürde verringert werden.</w:t>
      </w:r>
    </w:p>
    <w:p>
      <w:r>
        <w:rPr>
          <w:rFonts w:ascii="Calibri" w:hAnsi="Calibri"/>
          <w:color w:val="1F2328"/>
          <w:sz w:val="22"/>
        </w:rPr>
        <w:t>Nachhaltigkeit wird organisatorisch und technisch berücksichtigt: vorhandene Medien und Daten werden wiederverwendet, unnötige Mehrfachproduktion soll reduziert und KI-Verbrauch sichtbar sowie nutzungsabhängig gesteuert werden. Lokale oder kleinere Modelle können eingesetzt werden, wenn sie für die jeweilige Aufgabe ausreichen. Umweltwirkungen werden nicht ohne Messgrundlage als bereits nachgewiesener Vorteil behauptet.</w:t>
      </w:r>
    </w:p>
    <w:p>
      <w:pPr>
        <w:pStyle w:val="Heading1"/>
      </w:pPr>
      <w:r>
        <w:rPr>
          <w:rFonts w:ascii="Calibri" w:hAnsi="Calibri"/>
          <w:b/>
          <w:color w:val="2E74B5"/>
          <w:sz w:val="32"/>
        </w:rPr>
        <w:t>14. Regionale Wirkung</w:t>
      </w:r>
    </w:p>
    <w:p>
      <w:r>
        <w:rPr>
          <w:rFonts w:ascii="Calibri" w:hAnsi="Calibri"/>
          <w:color w:val="1F2328"/>
          <w:sz w:val="22"/>
        </w:rPr>
        <w:t>Kernscale hat seinen Sitz in Burg Stargard und richtet sein erstes Angebot besonders an kleine und mittlere Unternehmen in Mecklenburg-Vorpommern. Das Vorhaben soll regionale Unternehmen bei Digitalisierung, Sichtbarkeit und datenbasierter Medienarbeit unterstützen. Mit wachsendem Kundenbestand können zusätzliche Aufgaben in Entwicklung, Medienproduktion, Datenintegration und Kundenbetreuung entstehen. Konkrete Beschäftigungszahlen werden erst mit belastbarer Umsatz- und Kapazitätsplanung angegeben.</w:t>
      </w:r>
    </w:p>
    <w:p>
      <w:pPr>
        <w:pStyle w:val="Heading1"/>
      </w:pPr>
      <w:r>
        <w:rPr>
          <w:rFonts w:ascii="Calibri" w:hAnsi="Calibri"/>
          <w:b/>
          <w:color w:val="2E74B5"/>
          <w:sz w:val="32"/>
        </w:rPr>
        <w:t>15. Noch zu ergänzende Nachweise</w:t>
      </w:r>
    </w:p>
    <w:p>
      <w:pPr>
        <w:spacing w:before="0" w:after="80" w:line="290" w:lineRule="auto"/>
        <w:numPr>
          <w:ilvl w:val="0"/>
          <w:numId w:val="19"/>
        </w:numPr>
      </w:pPr>
      <w:r>
        <w:rPr>
          <w:rFonts w:ascii="Calibri" w:hAnsi="Calibri"/>
          <w:color w:val="1F2328"/>
          <w:sz w:val="22"/>
        </w:rPr>
        <w:t>fachliche Stellungnahme einer geeigneten Hochschule oder Einrichtung;</w:t>
      </w:r>
    </w:p>
    <w:p>
      <w:pPr>
        <w:spacing w:before="0" w:after="80" w:line="290" w:lineRule="auto"/>
        <w:numPr>
          <w:ilvl w:val="0"/>
          <w:numId w:val="19"/>
        </w:numPr>
      </w:pPr>
      <w:r>
        <w:rPr>
          <w:rFonts w:ascii="Calibri" w:hAnsi="Calibri"/>
          <w:color w:val="1F2328"/>
          <w:sz w:val="22"/>
        </w:rPr>
        <w:t>anonymisierte Belege der vier zahlenden Kundenprojekte;</w:t>
      </w:r>
    </w:p>
    <w:p>
      <w:pPr>
        <w:spacing w:before="0" w:after="80" w:line="290" w:lineRule="auto"/>
        <w:numPr>
          <w:ilvl w:val="0"/>
          <w:numId w:val="19"/>
        </w:numPr>
      </w:pPr>
      <w:r>
        <w:rPr>
          <w:rFonts w:ascii="Calibri" w:hAnsi="Calibri"/>
          <w:color w:val="1F2328"/>
          <w:sz w:val="22"/>
        </w:rPr>
        <w:t>Screenshots und Funktionsinventar des bestehenden Dashboards;</w:t>
      </w:r>
    </w:p>
    <w:p>
      <w:pPr>
        <w:spacing w:before="0" w:after="80" w:line="290" w:lineRule="auto"/>
        <w:numPr>
          <w:ilvl w:val="0"/>
          <w:numId w:val="19"/>
        </w:numPr>
      </w:pPr>
      <w:r>
        <w:rPr>
          <w:rFonts w:ascii="Calibri" w:hAnsi="Calibri"/>
          <w:color w:val="1F2328"/>
          <w:sz w:val="22"/>
        </w:rPr>
        <w:t>Vergleich mit konkreten Wettbewerbern und Alternativlösungen;</w:t>
      </w:r>
    </w:p>
    <w:p>
      <w:pPr>
        <w:spacing w:before="0" w:after="80" w:line="290" w:lineRule="auto"/>
        <w:numPr>
          <w:ilvl w:val="0"/>
          <w:numId w:val="19"/>
        </w:numPr>
      </w:pPr>
      <w:r>
        <w:rPr>
          <w:rFonts w:ascii="Calibri" w:hAnsi="Calibri"/>
          <w:color w:val="1F2328"/>
          <w:sz w:val="22"/>
        </w:rPr>
        <w:t>vollständiges Unternehmens- und Finanzkonzept;</w:t>
      </w:r>
    </w:p>
    <w:p>
      <w:pPr>
        <w:spacing w:before="0" w:after="80" w:line="290" w:lineRule="auto"/>
        <w:numPr>
          <w:ilvl w:val="0"/>
          <w:numId w:val="19"/>
        </w:numPr>
      </w:pPr>
      <w:r>
        <w:rPr>
          <w:rFonts w:ascii="Calibri" w:hAnsi="Calibri"/>
          <w:color w:val="1F2328"/>
          <w:sz w:val="22"/>
        </w:rPr>
        <w:t>Wohnsitzbestätigung und Gesellschaftsdokumente;</w:t>
      </w:r>
    </w:p>
    <w:p>
      <w:pPr>
        <w:spacing w:before="0" w:after="80" w:line="290" w:lineRule="auto"/>
        <w:numPr>
          <w:ilvl w:val="0"/>
          <w:numId w:val="19"/>
        </w:numPr>
      </w:pPr>
      <w:r>
        <w:rPr>
          <w:rFonts w:ascii="Calibri" w:hAnsi="Calibri"/>
          <w:color w:val="1F2328"/>
          <w:sz w:val="22"/>
        </w:rPr>
        <w:t>endgültige Arbeitspakete, Entwicklungszeiträume und Meilensteine.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Seite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8"/>
      </w:rPr>
      <w:t>Kernscale | GSA-Projektidee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90" w:lineRule="auto"/>
      </w:pPr>
    </w:lvl>
  </w:abstractNum>
  <w:num w:numId="11">
    <w:abstractNumId w:val="10"/>
  </w:num>
  <w:abstractNum w:abstractNumId="11">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2">
    <w:abstractNumId w:val="11"/>
  </w:num>
  <w:abstractNum w:abstractNumId="12">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3">
    <w:abstractNumId w:val="12"/>
  </w:num>
  <w:abstractNum w:abstractNumId="13">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5">
    <w:abstractNumId w:val="14"/>
  </w:num>
  <w:abstractNum w:abstractNumId="15">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6">
    <w:abstractNumId w:val="15"/>
  </w:num>
  <w:abstractNum w:abstractNumId="16">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7">
    <w:abstractNumId w:val="16"/>
  </w:num>
  <w:abstractNum w:abstractNumId="17">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8">
    <w:abstractNumId w:val="17"/>
  </w:num>
  <w:abstractNum w:abstractNumId="18">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