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45D3E" w14:textId="1F8A0E33" w:rsidR="00D16FC2" w:rsidRDefault="00D16FC2" w:rsidP="00D16F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6FC2">
        <w:rPr>
          <w:rFonts w:ascii="Times New Roman" w:hAnsi="Times New Roman" w:cs="Times New Roman"/>
          <w:b/>
          <w:bCs/>
          <w:sz w:val="24"/>
          <w:szCs w:val="24"/>
        </w:rPr>
        <w:t xml:space="preserve">Peran Pendidikan </w:t>
      </w:r>
      <w:proofErr w:type="spellStart"/>
      <w:r w:rsidRPr="00D16FC2">
        <w:rPr>
          <w:rFonts w:ascii="Times New Roman" w:hAnsi="Times New Roman" w:cs="Times New Roman"/>
          <w:b/>
          <w:bCs/>
          <w:sz w:val="24"/>
          <w:szCs w:val="24"/>
        </w:rPr>
        <w:t>Kewarganegaraan</w:t>
      </w:r>
      <w:proofErr w:type="spellEnd"/>
      <w:r w:rsidRPr="00D16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D16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D16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b/>
          <w:bCs/>
          <w:sz w:val="24"/>
          <w:szCs w:val="24"/>
        </w:rPr>
        <w:t>Demokrasi</w:t>
      </w:r>
      <w:proofErr w:type="spellEnd"/>
      <w:r w:rsidRPr="00D16FC2">
        <w:rPr>
          <w:rFonts w:ascii="Times New Roman" w:hAnsi="Times New Roman" w:cs="Times New Roman"/>
          <w:b/>
          <w:bCs/>
          <w:sz w:val="24"/>
          <w:szCs w:val="24"/>
        </w:rPr>
        <w:t xml:space="preserve"> di Indonesia</w:t>
      </w:r>
    </w:p>
    <w:p w14:paraId="0E4F731A" w14:textId="18FF653E" w:rsidR="00D16FC2" w:rsidRDefault="00D16FC2" w:rsidP="00D16F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BC93A" w14:textId="27DD4749" w:rsidR="00D16FC2" w:rsidRDefault="00D16FC2" w:rsidP="00D16F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DE00AB" wp14:editId="3B22E0C9">
            <wp:extent cx="2094865" cy="20948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2C6A" w14:textId="48214E23" w:rsidR="005E0E67" w:rsidRDefault="005E0E67" w:rsidP="005E0E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52C2BD9B" w14:textId="07EEFA26" w:rsidR="005E0E67" w:rsidRPr="005E0E67" w:rsidRDefault="005E0E67" w:rsidP="005E0E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E0E67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5E0E67">
        <w:rPr>
          <w:rFonts w:ascii="Times New Roman" w:hAnsi="Times New Roman" w:cs="Times New Roman"/>
          <w:sz w:val="24"/>
          <w:szCs w:val="24"/>
        </w:rPr>
        <w:t xml:space="preserve"> Dinda Elvina</w:t>
      </w:r>
    </w:p>
    <w:p w14:paraId="13F0D5F4" w14:textId="77777777" w:rsidR="005E0E67" w:rsidRPr="005E0E67" w:rsidRDefault="005E0E67" w:rsidP="005E0E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E0E67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5E0E67">
        <w:rPr>
          <w:rFonts w:ascii="Times New Roman" w:hAnsi="Times New Roman" w:cs="Times New Roman"/>
          <w:sz w:val="24"/>
          <w:szCs w:val="24"/>
        </w:rPr>
        <w:t xml:space="preserve"> 2300024040</w:t>
      </w:r>
    </w:p>
    <w:p w14:paraId="0AD1C958" w14:textId="057BDA62" w:rsidR="005E0E67" w:rsidRDefault="005E0E67" w:rsidP="005E0E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DC7F62" w14:textId="6C0FDCC4" w:rsidR="005E0E67" w:rsidRDefault="005E0E67" w:rsidP="005E0E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95494F" w14:textId="26F45F0B" w:rsidR="005E0E67" w:rsidRPr="005E0E67" w:rsidRDefault="005E0E67" w:rsidP="005E0E6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0E67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5E0E67">
        <w:rPr>
          <w:rFonts w:ascii="Times New Roman" w:hAnsi="Times New Roman" w:cs="Times New Roman"/>
          <w:b/>
          <w:bCs/>
          <w:sz w:val="24"/>
          <w:szCs w:val="24"/>
        </w:rPr>
        <w:t xml:space="preserve"> Hukum </w:t>
      </w:r>
      <w:proofErr w:type="spellStart"/>
      <w:r w:rsidRPr="005E0E67">
        <w:rPr>
          <w:rFonts w:ascii="Times New Roman" w:hAnsi="Times New Roman" w:cs="Times New Roman"/>
          <w:b/>
          <w:bCs/>
          <w:sz w:val="24"/>
          <w:szCs w:val="24"/>
        </w:rPr>
        <w:t>Univeristas</w:t>
      </w:r>
      <w:proofErr w:type="spellEnd"/>
      <w:r w:rsidRPr="005E0E67">
        <w:rPr>
          <w:rFonts w:ascii="Times New Roman" w:hAnsi="Times New Roman" w:cs="Times New Roman"/>
          <w:b/>
          <w:bCs/>
          <w:sz w:val="24"/>
          <w:szCs w:val="24"/>
        </w:rPr>
        <w:t xml:space="preserve"> Ahmad Dahlan Yogyakarta</w:t>
      </w:r>
    </w:p>
    <w:p w14:paraId="21E03443" w14:textId="77777777" w:rsidR="005E0E67" w:rsidRDefault="005E0E67" w:rsidP="005E0E6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F3BD9" w14:textId="77777777" w:rsidR="00D16FC2" w:rsidRPr="00D16FC2" w:rsidRDefault="00D16FC2" w:rsidP="00D16F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FAAD0" w14:textId="77777777" w:rsidR="00D16FC2" w:rsidRDefault="00D16FC2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416F1" w14:textId="77777777" w:rsidR="00D16FC2" w:rsidRDefault="00D16FC2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0F0B2" w14:textId="5210B627" w:rsidR="00F936BD" w:rsidRDefault="00F936BD" w:rsidP="00F936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sdt>
      <w:sdtPr>
        <w:id w:val="451667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ED57A0D" w14:textId="5505838B" w:rsidR="00F936BD" w:rsidRDefault="00F936BD">
          <w:pPr>
            <w:pStyle w:val="TOCHeading"/>
          </w:pPr>
        </w:p>
        <w:p w14:paraId="0C1BCA74" w14:textId="44657073" w:rsidR="00F936BD" w:rsidRDefault="00F936B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85466" w:history="1">
            <w:r w:rsidRPr="006C3701">
              <w:rPr>
                <w:rStyle w:val="Hyperlink"/>
                <w:rFonts w:ascii="Times New Roman" w:hAnsi="Times New Roman" w:cs="Times New Roman"/>
                <w:noProof/>
              </w:rPr>
              <w:t>A.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77B2" w14:textId="705BBF82" w:rsidR="00F936BD" w:rsidRDefault="00F936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485467" w:history="1">
            <w:r w:rsidRPr="006C3701">
              <w:rPr>
                <w:rStyle w:val="Hyperlink"/>
                <w:rFonts w:ascii="Times New Roman" w:hAnsi="Times New Roman" w:cs="Times New Roman"/>
                <w:noProof/>
              </w:rPr>
              <w:t>1.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99F1" w14:textId="551044EB" w:rsidR="00F936BD" w:rsidRDefault="00F936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485468" w:history="1">
            <w:r w:rsidRPr="006C3701">
              <w:rPr>
                <w:rStyle w:val="Hyperlink"/>
                <w:rFonts w:ascii="Times New Roman" w:hAnsi="Times New Roman" w:cs="Times New Roman"/>
                <w:noProof/>
              </w:rPr>
              <w:t>2.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87D1" w14:textId="09F67CD8" w:rsidR="00F936BD" w:rsidRDefault="00F936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485469" w:history="1">
            <w:r w:rsidRPr="006C3701">
              <w:rPr>
                <w:rStyle w:val="Hyperlink"/>
                <w:rFonts w:ascii="Times New Roman" w:hAnsi="Times New Roman" w:cs="Times New Roman"/>
                <w:noProof/>
              </w:rPr>
              <w:t>B.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51E3" w14:textId="0824BA9E" w:rsidR="00F936BD" w:rsidRDefault="00F936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485470" w:history="1">
            <w:r w:rsidRPr="006C3701">
              <w:rPr>
                <w:rStyle w:val="Hyperlink"/>
                <w:rFonts w:ascii="Times New Roman" w:hAnsi="Times New Roman" w:cs="Times New Roman"/>
                <w:noProof/>
              </w:rPr>
              <w:t>C.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6023" w14:textId="4447158B" w:rsidR="00F936BD" w:rsidRDefault="00F936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485471" w:history="1">
            <w:r w:rsidRPr="006C3701">
              <w:rPr>
                <w:rStyle w:val="Hyperlink"/>
                <w:rFonts w:ascii="Times New Roman" w:hAnsi="Times New Roman" w:cs="Times New Roman"/>
                <w:noProof/>
              </w:rPr>
              <w:t>D. 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EF95" w14:textId="7612484A" w:rsidR="00F936BD" w:rsidRDefault="00F936BD">
          <w:r>
            <w:rPr>
              <w:b/>
              <w:bCs/>
              <w:noProof/>
            </w:rPr>
            <w:fldChar w:fldCharType="end"/>
          </w:r>
        </w:p>
      </w:sdtContent>
    </w:sdt>
    <w:p w14:paraId="6628CF55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1E32C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76870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F144B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33B27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91C52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2AD9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9C8D2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A693E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E160A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E5486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A2AA1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1AB54" w14:textId="37FF0D33" w:rsidR="004C03CA" w:rsidRPr="00F936BD" w:rsidRDefault="00472D55" w:rsidP="00F936B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72485466"/>
      <w:r w:rsidRPr="00F936BD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A. </w:t>
      </w:r>
      <w:proofErr w:type="spellStart"/>
      <w:r w:rsidRPr="00F936BD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bookmarkEnd w:id="0"/>
      <w:proofErr w:type="spellEnd"/>
    </w:p>
    <w:p w14:paraId="6EC312EE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Di Indonesia,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mempraktikkan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Pendidikan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(PKN)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</w:t>
      </w:r>
    </w:p>
    <w:p w14:paraId="4CBA1D96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2D55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berkeadilan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</w:t>
      </w:r>
    </w:p>
    <w:p w14:paraId="1B0DD757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 Faktor-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mana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area-area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</w:t>
      </w:r>
    </w:p>
    <w:p w14:paraId="6D246757" w14:textId="40BF71A0" w:rsid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2D55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</w:t>
      </w:r>
    </w:p>
    <w:p w14:paraId="4CF9DD07" w14:textId="1D80347C" w:rsidR="00472D55" w:rsidRPr="00F936BD" w:rsidRDefault="00472D55" w:rsidP="00F936B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72485467"/>
      <w:r w:rsidRPr="00F936BD">
        <w:rPr>
          <w:rFonts w:ascii="Times New Roman" w:hAnsi="Times New Roman" w:cs="Times New Roman"/>
          <w:color w:val="auto"/>
          <w:sz w:val="24"/>
          <w:szCs w:val="24"/>
        </w:rPr>
        <w:t xml:space="preserve">1. Latar </w:t>
      </w:r>
      <w:proofErr w:type="spellStart"/>
      <w:r w:rsidRPr="00F936BD">
        <w:rPr>
          <w:rFonts w:ascii="Times New Roman" w:hAnsi="Times New Roman" w:cs="Times New Roman"/>
          <w:color w:val="auto"/>
          <w:sz w:val="24"/>
          <w:szCs w:val="24"/>
        </w:rPr>
        <w:t>Belakang</w:t>
      </w:r>
      <w:bookmarkEnd w:id="1"/>
      <w:proofErr w:type="spellEnd"/>
    </w:p>
    <w:p w14:paraId="531B9BD7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2D55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(PKN)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</w:t>
      </w:r>
    </w:p>
    <w:p w14:paraId="65367B64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2D55">
        <w:rPr>
          <w:rFonts w:ascii="Times New Roman" w:hAnsi="Times New Roman" w:cs="Times New Roman"/>
          <w:sz w:val="24"/>
          <w:szCs w:val="24"/>
        </w:rPr>
        <w:t xml:space="preserve">Seiring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Di Indonesia,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Pendidikan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terinformasi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</w:t>
      </w:r>
    </w:p>
    <w:p w14:paraId="7628A7EE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lastRenderedPageBreak/>
        <w:t>Namun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efektivitasnya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ajar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guru.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</w:t>
      </w:r>
    </w:p>
    <w:p w14:paraId="10BF584A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2D5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di Indonesia. Makalah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432CF800" w14:textId="77777777" w:rsidR="00472D55" w:rsidRPr="00F936BD" w:rsidRDefault="00472D55" w:rsidP="00F936B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72485468"/>
      <w:r w:rsidRPr="00F936BD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proofErr w:type="spellStart"/>
      <w:r w:rsidRPr="00F936BD">
        <w:rPr>
          <w:rFonts w:ascii="Times New Roman" w:hAnsi="Times New Roman" w:cs="Times New Roman"/>
          <w:color w:val="auto"/>
          <w:sz w:val="24"/>
          <w:szCs w:val="24"/>
        </w:rPr>
        <w:t>Rumusan</w:t>
      </w:r>
      <w:proofErr w:type="spellEnd"/>
      <w:r w:rsidRPr="00F936B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36BD">
        <w:rPr>
          <w:rFonts w:ascii="Times New Roman" w:hAnsi="Times New Roman" w:cs="Times New Roman"/>
          <w:color w:val="auto"/>
          <w:sz w:val="24"/>
          <w:szCs w:val="24"/>
        </w:rPr>
        <w:t>Masalah</w:t>
      </w:r>
      <w:bookmarkEnd w:id="2"/>
      <w:proofErr w:type="spellEnd"/>
    </w:p>
    <w:p w14:paraId="052802D8" w14:textId="77777777" w:rsidR="006D548C" w:rsidRPr="006D548C" w:rsidRDefault="00472D55" w:rsidP="00D16FC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di Indonesia?</w:t>
      </w:r>
    </w:p>
    <w:p w14:paraId="0E22BE96" w14:textId="709AFEA5" w:rsidR="00472D55" w:rsidRPr="006D548C" w:rsidRDefault="00472D55" w:rsidP="00D16FC2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.</w:t>
      </w:r>
    </w:p>
    <w:p w14:paraId="7326A8B6" w14:textId="77777777" w:rsidR="006D548C" w:rsidRPr="006D548C" w:rsidRDefault="00472D55" w:rsidP="00D16FC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sekolah-sekolah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Indonesia?</w:t>
      </w:r>
    </w:p>
    <w:p w14:paraId="346D7DA6" w14:textId="34351300" w:rsidR="00472D55" w:rsidRPr="006D548C" w:rsidRDefault="00472D55" w:rsidP="00D16FC2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ajar,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guru,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.</w:t>
      </w:r>
    </w:p>
    <w:p w14:paraId="0D88400D" w14:textId="77777777" w:rsidR="006D548C" w:rsidRPr="006D548C" w:rsidRDefault="00472D55" w:rsidP="00D16FC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?</w:t>
      </w:r>
    </w:p>
    <w:p w14:paraId="548BE9A3" w14:textId="3F111610" w:rsidR="00472D55" w:rsidRPr="006D548C" w:rsidRDefault="00472D55" w:rsidP="00D16FC2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4BDA848C" w14:textId="77777777" w:rsidR="006D548C" w:rsidRPr="006D548C" w:rsidRDefault="00472D55" w:rsidP="00D16FC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?</w:t>
      </w:r>
    </w:p>
    <w:p w14:paraId="599ED052" w14:textId="0B76E9F5" w:rsidR="006D548C" w:rsidRPr="006D548C" w:rsidRDefault="00472D55" w:rsidP="00D16FC2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strategi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.</w:t>
      </w:r>
    </w:p>
    <w:p w14:paraId="3B94D147" w14:textId="3ED43EF1" w:rsidR="00472D55" w:rsidRPr="00F936BD" w:rsidRDefault="00472D55" w:rsidP="00F936B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72485469"/>
      <w:r w:rsidRPr="00F936BD">
        <w:rPr>
          <w:rFonts w:ascii="Times New Roman" w:hAnsi="Times New Roman" w:cs="Times New Roman"/>
          <w:color w:val="auto"/>
          <w:sz w:val="24"/>
          <w:szCs w:val="24"/>
        </w:rPr>
        <w:t xml:space="preserve">B. </w:t>
      </w:r>
      <w:proofErr w:type="spellStart"/>
      <w:r w:rsidRPr="00F936BD">
        <w:rPr>
          <w:rFonts w:ascii="Times New Roman" w:hAnsi="Times New Roman" w:cs="Times New Roman"/>
          <w:color w:val="auto"/>
          <w:sz w:val="24"/>
          <w:szCs w:val="24"/>
        </w:rPr>
        <w:t>Pembahasan</w:t>
      </w:r>
      <w:bookmarkEnd w:id="3"/>
      <w:proofErr w:type="spellEnd"/>
    </w:p>
    <w:p w14:paraId="4ACA5FBC" w14:textId="77777777" w:rsidR="00472D55" w:rsidRPr="00472D55" w:rsidRDefault="00472D55" w:rsidP="00D16FC2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11F44743" w14:textId="77777777" w:rsidR="006D548C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48C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(PKN)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. PKN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lastRenderedPageBreak/>
        <w:t>bernegara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(UU No. 20/2003).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PKN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.</w:t>
      </w:r>
    </w:p>
    <w:p w14:paraId="4A7EAA79" w14:textId="77777777" w:rsidR="006D548C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Azwar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(2019)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 di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sekolah-sekolah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Azwar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program PKN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Azwar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M. 2019. "Pendidikan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, 14(1), 23-37).</w:t>
      </w:r>
    </w:p>
    <w:p w14:paraId="30898B51" w14:textId="77777777" w:rsidR="006D548C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wilayah Indonesia.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oleh Huda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Mustofa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(2020)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sekolah-sekolah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ajar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.</w:t>
      </w:r>
    </w:p>
    <w:p w14:paraId="5BFCAE26" w14:textId="77777777" w:rsidR="006D548C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lastRenderedPageBreak/>
        <w:t>Sebaliknya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sekolah-sekolah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optimal,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(Huda, M., &amp;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Mustofa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, A. 2020. "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 di Berbagai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, 19(2), 45-58).</w:t>
      </w:r>
    </w:p>
    <w:p w14:paraId="0859407C" w14:textId="77777777" w:rsidR="006D548C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48C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guru juga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PKN. Guru PKN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up-to-date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guru PKN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daerah-daerah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oleh Junaidi dan Yuliana (2021),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dan, pada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(Junaidi, R., &amp; Yuliana, S. 2021. "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, 17(3), 89-104).</w:t>
      </w:r>
    </w:p>
    <w:p w14:paraId="7B3DA2BE" w14:textId="77777777" w:rsidR="006D548C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Kementerian Pendidikan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Kemendikbud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) 2021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ajar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Kemendikbud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. 2021. "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>").</w:t>
      </w:r>
    </w:p>
    <w:p w14:paraId="77414CBC" w14:textId="6BFA25E1" w:rsidR="006D548C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548C">
        <w:rPr>
          <w:rFonts w:ascii="Times New Roman" w:hAnsi="Times New Roman" w:cs="Times New Roman"/>
          <w:sz w:val="24"/>
          <w:szCs w:val="24"/>
        </w:rPr>
        <w:lastRenderedPageBreak/>
        <w:t xml:space="preserve">Oleh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guru,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PKN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45B5E685" w14:textId="490C2282" w:rsidR="00472D55" w:rsidRPr="00472D55" w:rsidRDefault="006D548C" w:rsidP="00D16FC2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472D55" w:rsidRPr="00472D55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472D55"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D55"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2D55"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D55" w:rsidRPr="00472D5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72D55" w:rsidRPr="00472D55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472D55"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</w:p>
    <w:p w14:paraId="049C5E10" w14:textId="77777777" w:rsidR="00D16FC2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(PKN) di Indonesia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efektivitasnya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ajar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program PKN.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Surya (2018),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modern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(Surya, I. 2018. "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PKN".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12(3), 67-82).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8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548C">
        <w:rPr>
          <w:rFonts w:ascii="Times New Roman" w:hAnsi="Times New Roman" w:cs="Times New Roman"/>
          <w:sz w:val="24"/>
          <w:szCs w:val="24"/>
        </w:rPr>
        <w:t xml:space="preserve"> PKN.</w:t>
      </w:r>
    </w:p>
    <w:p w14:paraId="46984422" w14:textId="77777777" w:rsidR="00D16FC2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6FC2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guru juga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PKN. Banyak guru PKN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oleh Yani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(2021)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guru PKN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lastRenderedPageBreak/>
        <w:t>pelatihan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modern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Yani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optimal, yang pada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(Yani, S., &amp;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, A. 2021. "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PKN".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, 16(1), 89-102).</w:t>
      </w:r>
    </w:p>
    <w:p w14:paraId="34DAD49F" w14:textId="77777777" w:rsidR="00D16FC2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Nasional Hak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Komnas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HAM) 2020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PKN. Banyak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ajar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modern.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multimedia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Komnas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HAM. 2020. "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Pendidikan dan Hak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").</w:t>
      </w:r>
    </w:p>
    <w:p w14:paraId="53285D20" w14:textId="77777777" w:rsidR="00D16FC2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F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ketidakcukupan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PKN. Banyak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ajar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Kementerian Pendidikan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Kemendikbud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) 2021,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lastRenderedPageBreak/>
        <w:t>sekolah-sekolah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ajar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guru, yang pada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Kemendikbud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. 2021. "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").</w:t>
      </w:r>
    </w:p>
    <w:p w14:paraId="2D7400A1" w14:textId="77777777" w:rsidR="00D16FC2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PKN.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PKN.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oleh Arifin dan Sari (2022)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(Arifin, H., &amp; Sari, R. 2022. "Integrasi PKN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, 18(2), 77-90).</w:t>
      </w:r>
    </w:p>
    <w:p w14:paraId="46373707" w14:textId="768C2CAF" w:rsidR="00D16FC2" w:rsidRPr="00D16FC2" w:rsidRDefault="006D548C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0610D03F" w14:textId="77777777" w:rsidR="00472D55" w:rsidRPr="00472D55" w:rsidRDefault="00472D55" w:rsidP="00D16FC2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Masyarakat</w:t>
      </w:r>
    </w:p>
    <w:p w14:paraId="4E11C1C6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2D55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Studi oleh Rahman dan Setiawan (2022)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lastRenderedPageBreak/>
        <w:t>menunjukkan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debat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(Rahman, F., &amp; Setiawan, R. 2022. "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, 21(4), 101-115).</w:t>
      </w:r>
    </w:p>
    <w:p w14:paraId="1A43AE4F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oleh Putra (2021),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(Putra, A. 2021. "Peran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, 18(2), 55-68).</w:t>
      </w:r>
    </w:p>
    <w:p w14:paraId="3182DD53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Bawaslu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) 2021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sosial-ekonomi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Bawaslu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 2021. "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").</w:t>
      </w:r>
    </w:p>
    <w:p w14:paraId="04717DB7" w14:textId="77777777" w:rsidR="00472D55" w:rsidRPr="00472D55" w:rsidRDefault="00472D55" w:rsidP="00D16FC2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D55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</w:p>
    <w:p w14:paraId="10F090AD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Rasyid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(2019),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lastRenderedPageBreak/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Rasyid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, I. 2019. "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, 15(1), 77-90).</w:t>
      </w:r>
    </w:p>
    <w:p w14:paraId="77EB035A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guru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Sari dan Adi (2020), program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(Sari, N., &amp; Adi, B. 2020. "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Guru PKN".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, 17(3), 113-126).</w:t>
      </w:r>
    </w:p>
    <w:p w14:paraId="0DEC90FB" w14:textId="77777777" w:rsidR="00472D55" w:rsidRP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sekolah-sekolah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ajar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Kementerian Pendidikan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Kemendikbud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) 2021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(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Kemendikbud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 2021. "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").</w:t>
      </w:r>
    </w:p>
    <w:p w14:paraId="64E3B42B" w14:textId="7A9B30D4" w:rsid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Wulandari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(2022),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program (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Wulandari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, R. 2022. "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, 20(2), 95-108).</w:t>
      </w:r>
    </w:p>
    <w:p w14:paraId="71B1DCB4" w14:textId="1F0FE4E9" w:rsidR="00472D55" w:rsidRPr="00F936BD" w:rsidRDefault="00472D55" w:rsidP="00F936B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72485470"/>
      <w:r w:rsidRPr="00F936BD">
        <w:rPr>
          <w:rFonts w:ascii="Times New Roman" w:hAnsi="Times New Roman" w:cs="Times New Roman"/>
          <w:color w:val="auto"/>
          <w:sz w:val="24"/>
          <w:szCs w:val="24"/>
        </w:rPr>
        <w:t>C. Kesimpulan</w:t>
      </w:r>
      <w:bookmarkEnd w:id="4"/>
      <w:r w:rsidRPr="00F936B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560D963" w14:textId="77777777" w:rsidR="00472D55" w:rsidRPr="00472D55" w:rsidRDefault="00472D55" w:rsidP="00D16FC2">
      <w:pPr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472D55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(PKN)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lastRenderedPageBreak/>
        <w:t>pengetahuan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wilayah,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</w:t>
      </w:r>
    </w:p>
    <w:p w14:paraId="1F8098F6" w14:textId="77777777" w:rsidR="00472D55" w:rsidRPr="00472D55" w:rsidRDefault="00472D55" w:rsidP="00D16FC2">
      <w:pPr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ajar,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guru.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agar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</w:t>
      </w:r>
    </w:p>
    <w:p w14:paraId="2378E1B9" w14:textId="77777777" w:rsidR="00472D55" w:rsidRPr="00472D55" w:rsidRDefault="00472D55" w:rsidP="00D16FC2">
      <w:pPr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sosial-ekonomi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>.</w:t>
      </w:r>
    </w:p>
    <w:p w14:paraId="6F782D34" w14:textId="77777777" w:rsidR="00472D55" w:rsidRPr="00472D55" w:rsidRDefault="00472D55" w:rsidP="00D16FC2">
      <w:pPr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guru,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r w:rsidRPr="00472D55">
        <w:rPr>
          <w:rFonts w:ascii="Times New Roman" w:hAnsi="Times New Roman" w:cs="Times New Roman"/>
          <w:sz w:val="24"/>
          <w:szCs w:val="24"/>
        </w:rPr>
        <w:lastRenderedPageBreak/>
        <w:t xml:space="preserve">Selain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706B0A2A" w14:textId="77777777" w:rsidR="00472D55" w:rsidRPr="00472D55" w:rsidRDefault="00472D55" w:rsidP="00D16FC2">
      <w:pPr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Pendidikan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PKN.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PKN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terinformasi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72D55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3FCD7305" w14:textId="77777777" w:rsidR="00472D55" w:rsidRPr="00472D55" w:rsidRDefault="00472D55" w:rsidP="00D16FC2">
      <w:pPr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6F7F81F5" w14:textId="4F46DF35" w:rsidR="00472D55" w:rsidRDefault="00472D55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EDE205" w14:textId="7D04DDFD" w:rsidR="00D16FC2" w:rsidRDefault="00D16FC2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D3A1E1" w14:textId="2EAD2D94" w:rsidR="00D16FC2" w:rsidRDefault="00D16FC2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BA4448" w14:textId="38DA5CDE" w:rsidR="005E0E67" w:rsidRDefault="005E0E67" w:rsidP="00D16FC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4E8131" w14:textId="050257F6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53090" w14:textId="77777777" w:rsidR="00F936BD" w:rsidRDefault="00F936BD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E8094" w14:textId="77777777" w:rsidR="00F936BD" w:rsidRDefault="00F936BD" w:rsidP="00F936BD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72485471"/>
    </w:p>
    <w:p w14:paraId="2AB6024A" w14:textId="77777777" w:rsidR="00F936BD" w:rsidRDefault="00F936BD" w:rsidP="00F936BD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2F2E2488" w14:textId="0F91AB66" w:rsidR="00F936BD" w:rsidRDefault="00F936BD" w:rsidP="00F936BD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62691084" w14:textId="73AB7516" w:rsidR="00F936BD" w:rsidRDefault="00F936BD" w:rsidP="00F936BD"/>
    <w:p w14:paraId="13B7C4BB" w14:textId="77777777" w:rsidR="00F936BD" w:rsidRPr="00F936BD" w:rsidRDefault="00F936BD" w:rsidP="00F936BD"/>
    <w:p w14:paraId="2B985F6D" w14:textId="77777777" w:rsidR="00F936BD" w:rsidRDefault="00F936BD" w:rsidP="00F936BD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CC2AAA6" w14:textId="6224748E" w:rsidR="00D16FC2" w:rsidRPr="00F936BD" w:rsidRDefault="00D16FC2" w:rsidP="00F936BD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936BD">
        <w:rPr>
          <w:rFonts w:ascii="Times New Roman" w:hAnsi="Times New Roman" w:cs="Times New Roman"/>
          <w:color w:val="auto"/>
          <w:sz w:val="24"/>
          <w:szCs w:val="24"/>
        </w:rPr>
        <w:t>D. Daftar Pustaka</w:t>
      </w:r>
      <w:bookmarkEnd w:id="5"/>
    </w:p>
    <w:p w14:paraId="30A6CA2E" w14:textId="77777777" w:rsidR="00D16FC2" w:rsidRDefault="00D16FC2" w:rsidP="00D16FC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45938" w14:textId="77777777" w:rsidR="00D16FC2" w:rsidRDefault="00D16FC2" w:rsidP="00D16FC2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FC2">
        <w:rPr>
          <w:rFonts w:ascii="Times New Roman" w:hAnsi="Times New Roman" w:cs="Times New Roman"/>
          <w:sz w:val="24"/>
          <w:szCs w:val="24"/>
        </w:rPr>
        <w:t>Azwar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, M</w:t>
      </w:r>
      <w:r w:rsidRPr="00D16FC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16FC2">
        <w:rPr>
          <w:rFonts w:ascii="Times New Roman" w:hAnsi="Times New Roman" w:cs="Times New Roman"/>
          <w:sz w:val="24"/>
          <w:szCs w:val="24"/>
        </w:rPr>
        <w:t xml:space="preserve"> (2019). </w:t>
      </w:r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Pendidikan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Kewarganegaraan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Kesadaran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Politik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Siswa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, 14(1), 23-37.</w:t>
      </w:r>
    </w:p>
    <w:p w14:paraId="491218FE" w14:textId="77777777" w:rsidR="00D16FC2" w:rsidRDefault="00D16FC2" w:rsidP="00D16FC2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16FC2">
        <w:rPr>
          <w:rFonts w:ascii="Times New Roman" w:hAnsi="Times New Roman" w:cs="Times New Roman"/>
          <w:sz w:val="24"/>
          <w:szCs w:val="24"/>
        </w:rPr>
        <w:t xml:space="preserve">Huda, M., &amp;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Mustofa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, A</w:t>
      </w:r>
      <w:r w:rsidRPr="00D16FC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16FC2">
        <w:rPr>
          <w:rFonts w:ascii="Times New Roman" w:hAnsi="Times New Roman" w:cs="Times New Roman"/>
          <w:sz w:val="24"/>
          <w:szCs w:val="24"/>
        </w:rPr>
        <w:t xml:space="preserve"> (2020).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Variasi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Efektivitas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PKN di Berbagai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, 19(2), 45-58.</w:t>
      </w:r>
    </w:p>
    <w:p w14:paraId="503F379E" w14:textId="77777777" w:rsidR="00D16FC2" w:rsidRDefault="00D16FC2" w:rsidP="00D16FC2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16FC2">
        <w:rPr>
          <w:rFonts w:ascii="Times New Roman" w:hAnsi="Times New Roman" w:cs="Times New Roman"/>
          <w:sz w:val="24"/>
          <w:szCs w:val="24"/>
        </w:rPr>
        <w:t xml:space="preserve">Yani, S., &amp;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, A. (2021).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Pelatihan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Guru dan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Kualitas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PKN</w:t>
      </w:r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, 16(1), 89-102.</w:t>
      </w:r>
    </w:p>
    <w:p w14:paraId="6FE7CF92" w14:textId="77777777" w:rsidR="00D16FC2" w:rsidRDefault="00D16FC2" w:rsidP="00D16FC2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16FC2">
        <w:rPr>
          <w:rFonts w:ascii="Times New Roman" w:hAnsi="Times New Roman" w:cs="Times New Roman"/>
          <w:sz w:val="24"/>
          <w:szCs w:val="24"/>
        </w:rPr>
        <w:t xml:space="preserve">Arifin, H., &amp; Sari, R. (2022). </w:t>
      </w:r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Integrasi PKN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Kurikulum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, 18(2), 77-90.</w:t>
      </w:r>
    </w:p>
    <w:p w14:paraId="68EA415A" w14:textId="77777777" w:rsidR="00D16FC2" w:rsidRDefault="00D16FC2" w:rsidP="00D16FC2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16FC2">
        <w:rPr>
          <w:rFonts w:ascii="Times New Roman" w:hAnsi="Times New Roman" w:cs="Times New Roman"/>
          <w:sz w:val="24"/>
          <w:szCs w:val="24"/>
        </w:rPr>
        <w:t xml:space="preserve">Surya, I. (2018).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Tantangan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Implementasi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Kurikulum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PKN</w:t>
      </w:r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, 12(3), 67-82.</w:t>
      </w:r>
    </w:p>
    <w:p w14:paraId="5939457F" w14:textId="77777777" w:rsidR="00D16FC2" w:rsidRDefault="00D16FC2" w:rsidP="00D16FC2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FC2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Pendidikan Nasional.</w:t>
      </w:r>
    </w:p>
    <w:p w14:paraId="38C0A7E7" w14:textId="77777777" w:rsidR="00D16FC2" w:rsidRDefault="00D16FC2" w:rsidP="00D16FC2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Komnas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HAM. (2020).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Tahunan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Pendidikan dan Hak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Asasi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: komnasham.go.id</w:t>
      </w:r>
    </w:p>
    <w:p w14:paraId="00C79B04" w14:textId="61093199" w:rsidR="00D16FC2" w:rsidRPr="00D16FC2" w:rsidRDefault="00D16FC2" w:rsidP="00D16FC2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FC2">
        <w:rPr>
          <w:rFonts w:ascii="Times New Roman" w:hAnsi="Times New Roman" w:cs="Times New Roman"/>
          <w:sz w:val="24"/>
          <w:szCs w:val="24"/>
        </w:rPr>
        <w:t>Kemendikbud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(2021).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Investasi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Pendidikan dan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Fasilitas</w:t>
      </w:r>
      <w:proofErr w:type="spellEnd"/>
      <w:r w:rsidRPr="00D1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FC2">
        <w:rPr>
          <w:rFonts w:ascii="Times New Roman" w:hAnsi="Times New Roman" w:cs="Times New Roman"/>
          <w:sz w:val="24"/>
          <w:szCs w:val="24"/>
        </w:rPr>
        <w:t>: kemdikbud.go.id</w:t>
      </w:r>
    </w:p>
    <w:p w14:paraId="30C7436D" w14:textId="77777777" w:rsidR="00D16FC2" w:rsidRPr="00472D55" w:rsidRDefault="00D16FC2" w:rsidP="00D16F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16FC2" w:rsidRPr="0047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229C1"/>
    <w:multiLevelType w:val="hybridMultilevel"/>
    <w:tmpl w:val="7E781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11FDB"/>
    <w:multiLevelType w:val="hybridMultilevel"/>
    <w:tmpl w:val="80B07F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3F657C"/>
    <w:multiLevelType w:val="multilevel"/>
    <w:tmpl w:val="149C1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65CB6"/>
    <w:multiLevelType w:val="multilevel"/>
    <w:tmpl w:val="F692DC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05BA0"/>
    <w:multiLevelType w:val="multilevel"/>
    <w:tmpl w:val="C52A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63107"/>
    <w:multiLevelType w:val="multilevel"/>
    <w:tmpl w:val="2EFA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24D71"/>
    <w:multiLevelType w:val="hybridMultilevel"/>
    <w:tmpl w:val="03AE9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709B6"/>
    <w:multiLevelType w:val="multilevel"/>
    <w:tmpl w:val="91C4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16702"/>
    <w:multiLevelType w:val="hybridMultilevel"/>
    <w:tmpl w:val="12E2C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8225C"/>
    <w:multiLevelType w:val="multilevel"/>
    <w:tmpl w:val="A520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B0A90"/>
    <w:multiLevelType w:val="multilevel"/>
    <w:tmpl w:val="EDA45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D7422"/>
    <w:multiLevelType w:val="multilevel"/>
    <w:tmpl w:val="3AE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55"/>
    <w:rsid w:val="00472D55"/>
    <w:rsid w:val="004C03CA"/>
    <w:rsid w:val="005E0E67"/>
    <w:rsid w:val="006D548C"/>
    <w:rsid w:val="00D16FC2"/>
    <w:rsid w:val="00F9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42B2"/>
  <w15:chartTrackingRefBased/>
  <w15:docId w15:val="{D62FF07D-E728-4E23-B991-BC8F5642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936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36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6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3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D7EBD4A-3DF8-458A-BD7E-411C1F31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3430</Words>
  <Characters>19553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fathan fisaldi</dc:creator>
  <cp:keywords/>
  <dc:description/>
  <cp:lastModifiedBy>ahmad fathan fisaldi</cp:lastModifiedBy>
  <cp:revision>2</cp:revision>
  <dcterms:created xsi:type="dcterms:W3CDTF">2024-07-20T14:43:00Z</dcterms:created>
  <dcterms:modified xsi:type="dcterms:W3CDTF">2024-07-21T13:18:00Z</dcterms:modified>
</cp:coreProperties>
</file>