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FR/SL Module — Addendum C</w:t>
      </w:r>
    </w:p>
    <w:p>
      <w:pPr>
        <w:spacing w:after="300"/>
        <w:jc w:val="center"/>
      </w:pPr>
      <w:r>
        <w:rPr>
          <w:b/>
          <w:bCs/>
          <w:sz w:val="24"/>
          <w:szCs w:val="24"/>
        </w:rPr>
        <w:t xml:space="preserve">Continuous/Weighted Scoring Test: Method, Result, and Disposition</w:t>
      </w:r>
    </w:p>
    <w:p>
      <w:pPr>
        <w:spacing w:after="160"/>
      </w:pPr>
      <w:r>
        <w:rPr>
          <w:i/>
          <w:iCs/>
        </w:rPr>
        <w:t xml:space="preserve">This addendum documents a deliberate test of an alternative to the current boolean pass/fail scoring for the Functional Redundancy (FR) module: a logistic-regression-based continuous score built from the same underlying test statistics. It reports the exact method, the exact result (pilot and full-benchmark runs), and the disposition (not adopted), for reviewer reference.</w:t>
      </w:r>
    </w:p>
    <w:p>
      <w:pPr>
        <w:pStyle w:val="Heading1"/>
        <w:spacing w:after="150" w:before="300"/>
      </w:pPr>
      <w:r>
        <w:rPr>
          <w:b/>
          <w:bCs/>
        </w:rPr>
        <w:t xml:space="preserve">C.1 Motivation</w:t>
      </w:r>
    </w:p>
    <w:p>
      <w:pPr>
        <w:spacing w:after="160"/>
      </w:pPr>
      <w:r>
        <w:t xml:space="preserve">The current FR pipeline combines individual test outcomes (reciprocal compensation, compensatory expression, paralogy identity, conditional co-essentiality, compensatory dependency, compensatory upregulation on loss) using boolean pass/fail thresholds and a support-count rule to assign a call (Functional Redundancy / Functional Redundancy (moderate) / Borderline FR / Not Functionally Redundant) and a confidence label.</w:t>
      </w:r>
    </w:p>
    <w:p>
      <w:pPr>
        <w:spacing w:after="160"/>
      </w:pPr>
      <w:r>
        <w:t xml:space="preserve">Because several of the underlying tests already compute continuous statistics (p-values, effect sizes, correlation coefficients, sequence identity percentages) before being collapsed to a boolean, a natural question — one a reviewer could reasonably raise — is whether combining these continuous values directly (e.g., via a weighted/regression-based score) would outperform the current boolean-threshold approach. This was tested directly rather than left unaddressed.</w:t>
      </w:r>
    </w:p>
    <w:p>
      <w:pPr>
        <w:pStyle w:val="Heading1"/>
        <w:spacing w:after="150" w:before="300"/>
      </w:pPr>
      <w:r>
        <w:rPr>
          <w:b/>
          <w:bCs/>
        </w:rPr>
        <w:t xml:space="preserve">C.2 Method</w:t>
      </w:r>
    </w:p>
    <w:p>
      <w:pPr>
        <w:pStyle w:val="ListParagraph"/>
        <w:numPr>
          <w:ilvl w:val="0"/>
          <w:numId w:val="1"/>
        </w:numPr>
        <w:spacing w:after="100"/>
      </w:pPr>
      <w:r>
        <w:t xml:space="preserve">Three test functions (test_paralogy, test_reciprocal_compensation, test_compensatory_upregulation_on_loss) were extended to additionally return the continuous values (identity %, p-values, effect sizes) they already computed internally. No computation, threshold, or pass/fail logic was changed by this — confirmed by direct code diff — only additional fields were exposed on the existing return objects.</w:t>
      </w:r>
    </w:p>
    <w:p>
      <w:pPr>
        <w:pStyle w:val="ListParagraph"/>
        <w:numPr>
          <w:ilvl w:val="0"/>
          <w:numId w:val="1"/>
        </w:numPr>
        <w:spacing w:after="100"/>
      </w:pPr>
      <w:r>
        <w:t xml:space="preserve">A feature table was built by running the full FR pipeline (run_fr_pipeline) on each benchmark pair and extracting: reciprocal-compensation combined significance and minimum effect size, compensatory-expression correlation and significance, paralogy identity %, conditional co-essentiality correlation and significance, compensatory dependency correlation, and compensatory upregulation-on-loss combined significance.</w:t>
      </w:r>
    </w:p>
    <w:p>
      <w:pPr>
        <w:pStyle w:val="ListParagraph"/>
        <w:numPr>
          <w:ilvl w:val="0"/>
          <w:numId w:val="1"/>
        </w:numPr>
        <w:spacing w:after="100"/>
      </w:pPr>
      <w:r>
        <w:t xml:space="preserve">A logistic regression (glm, binomial family) was fit on these continuous features against the same Dede/Hart ground-truth labels used elsewhere in this validation.</w:t>
      </w:r>
    </w:p>
    <w:p>
      <w:pPr>
        <w:pStyle w:val="ListParagraph"/>
        <w:numPr>
          <w:ilvl w:val="0"/>
          <w:numId w:val="1"/>
        </w:numPr>
        <w:spacing w:after="100"/>
      </w:pPr>
      <w:r>
        <w:t xml:space="preserve">Leave-one-out cross-validation (LOOCV) was used throughout, rather than a train/test split, because of the small number of true positives available (~16–19) — a held-out split of this size would be unstable and not meaningfully interpretable.</w:t>
      </w:r>
    </w:p>
    <w:p>
      <w:pPr>
        <w:pStyle w:val="ListParagraph"/>
        <w:numPr>
          <w:ilvl w:val="0"/>
          <w:numId w:val="1"/>
        </w:numPr>
        <w:spacing w:after="100"/>
      </w:pPr>
      <w:r>
        <w:t xml:space="preserve">The existing non-essentiality gate was retained as a hard pre-filter in both the current and weighted approaches, for a fair, like-for-like comparison.</w:t>
      </w:r>
    </w:p>
    <w:p>
      <w:pPr>
        <w:pStyle w:val="ListParagraph"/>
        <w:numPr>
          <w:ilvl w:val="0"/>
          <w:numId w:val="1"/>
        </w:numPr>
        <w:spacing w:after="100"/>
      </w:pPr>
      <w:r>
        <w:t xml:space="preserve">Comparison was made at matched recall — i.e., the weighted model's precision was read off at the threshold whose recall most closely matches the current boolean pipeline's recall — since precision and recall trade off against each other and an unmatched comparison would not be meaningful.</w:t>
      </w:r>
    </w:p>
    <w:p>
      <w:pPr>
        <w:pStyle w:val="ListParagraph"/>
        <w:numPr>
          <w:ilvl w:val="0"/>
          <w:numId w:val="1"/>
        </w:numPr>
        <w:spacing w:after="100"/>
      </w:pPr>
      <w:r>
        <w:t xml:space="preserve">An identity-only baseline (sequence identity ≥ 75%) was computed alongside, for reference, consistent with prior baseline comparisons in this validation.</w:t>
      </w:r>
    </w:p>
    <w:p>
      <w:pPr>
        <w:pStyle w:val="Heading1"/>
        <w:spacing w:after="150" w:before="300"/>
      </w:pPr>
      <w:r>
        <w:rPr>
          <w:b/>
          <w:bCs/>
        </w:rPr>
        <w:t xml:space="preserve">C.3 Results</w:t>
      </w:r>
    </w:p>
    <w:p>
      <w:pPr>
        <w:pStyle w:val="Heading2"/>
        <w:spacing w:after="120" w:before="240"/>
      </w:pPr>
      <w:r>
        <w:rPr>
          <w:b/>
          <w:bCs/>
        </w:rPr>
        <w:t xml:space="preserve">C.3.1 Pilot run (79 pairs: 19 positives + 60 randomly sampled negatives)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4500"/>
            <w:shd w:fill="D9D9D9" w:val="clear"/>
          </w:tcPr>
          <w:p>
            <w:r>
              <w:rPr>
                <w:b/>
                <w:bCs/>
              </w:rPr>
              <w:t xml:space="preserve">Method</w:t>
            </w:r>
          </w:p>
        </w:tc>
        <w:tc>
          <w:tcPr>
            <w:tcW w:type="dxa" w:w="2500"/>
            <w:shd w:fill="D9D9D9" w:val="clear"/>
          </w:tcPr>
          <w:p>
            <w:r>
              <w:rPr>
                <w:b/>
                <w:bCs/>
              </w:rPr>
              <w:t xml:space="preserve">Precision</w:t>
            </w:r>
          </w:p>
        </w:tc>
        <w:tc>
          <w:tcPr>
            <w:tcW w:type="dxa" w:w="2500"/>
            <w:shd w:fill="D9D9D9" w:val="clear"/>
          </w:tcPr>
          <w:p>
            <w:r>
              <w:rPr>
                <w:b/>
                <w:bCs/>
              </w:rPr>
              <w:t xml:space="preserve">Recall</w:t>
            </w:r>
          </w:p>
        </w:tc>
      </w:tr>
      <w:tr>
        <w:tc>
          <w:tcPr>
            <w:tcW w:type="dxa" w:w="4500"/>
          </w:tcPr>
          <w:p>
            <w:r>
              <w:rPr>
                <w:b w:val="false"/>
                <w:bCs w:val="false"/>
              </w:rPr>
              <w:t xml:space="preserve">Current boolean pipeline</w:t>
            </w:r>
          </w:p>
        </w:tc>
        <w:tc>
          <w:tcPr>
            <w:tcW w:type="dxa" w:w="2500"/>
          </w:tcPr>
          <w:p>
            <w:r>
              <w:rPr>
                <w:b w:val="false"/>
                <w:bCs w:val="false"/>
              </w:rPr>
              <w:t xml:space="preserve">83.3%</w:t>
            </w:r>
          </w:p>
        </w:tc>
        <w:tc>
          <w:tcPr>
            <w:tcW w:type="dxa" w:w="2500"/>
          </w:tcPr>
          <w:p>
            <w:r>
              <w:rPr>
                <w:b w:val="false"/>
                <w:bCs w:val="false"/>
              </w:rPr>
              <w:t xml:space="preserve">27.8%</w:t>
            </w:r>
          </w:p>
        </w:tc>
      </w:tr>
      <w:tr>
        <w:tc>
          <w:tcPr>
            <w:tcW w:type="dxa" w:w="4500"/>
          </w:tcPr>
          <w:p>
            <w:r>
              <w:rPr>
                <w:b w:val="false"/>
                <w:bCs w:val="false"/>
              </w:rPr>
              <w:t xml:space="preserve">Weighted (LOOCV logistic regression)</w:t>
            </w:r>
          </w:p>
        </w:tc>
        <w:tc>
          <w:tcPr>
            <w:tcW w:type="dxa" w:w="2500"/>
          </w:tcPr>
          <w:p>
            <w:r>
              <w:rPr>
                <w:b w:val="false"/>
                <w:bCs w:val="false"/>
              </w:rPr>
              <w:t xml:space="preserve">71.4%</w:t>
            </w:r>
          </w:p>
        </w:tc>
        <w:tc>
          <w:tcPr>
            <w:tcW w:type="dxa" w:w="2500"/>
          </w:tcPr>
          <w:p>
            <w:r>
              <w:rPr>
                <w:b w:val="false"/>
                <w:bCs w:val="false"/>
              </w:rPr>
              <w:t xml:space="preserve">27.8%</w:t>
            </w:r>
          </w:p>
        </w:tc>
      </w:tr>
      <w:tr>
        <w:tc>
          <w:tcPr>
            <w:tcW w:type="dxa" w:w="4500"/>
          </w:tcPr>
          <w:p>
            <w:r>
              <w:rPr>
                <w:b w:val="false"/>
                <w:bCs w:val="false"/>
              </w:rPr>
              <w:t xml:space="preserve">Identity-only baseline (≥75%)</w:t>
            </w:r>
          </w:p>
        </w:tc>
        <w:tc>
          <w:tcPr>
            <w:tcW w:type="dxa" w:w="2500"/>
          </w:tcPr>
          <w:p>
            <w:r>
              <w:rPr>
                <w:b w:val="false"/>
                <w:bCs w:val="false"/>
              </w:rPr>
              <w:t xml:space="preserve">65.0%</w:t>
            </w:r>
          </w:p>
        </w:tc>
        <w:tc>
          <w:tcPr>
            <w:tcW w:type="dxa" w:w="2500"/>
          </w:tcPr>
          <w:p>
            <w:r>
              <w:rPr>
                <w:b w:val="false"/>
                <w:bCs w:val="false"/>
              </w:rPr>
              <w:t xml:space="preserve">72.2%</w:t>
            </w:r>
          </w:p>
        </w:tc>
      </w:tr>
    </w:tbl>
    <w:p>
      <w:pPr>
        <w:spacing w:after="160"/>
      </w:pPr>
    </w:p>
    <w:p>
      <w:pPr>
        <w:pStyle w:val="Heading2"/>
        <w:spacing w:after="120" w:before="240"/>
      </w:pPr>
      <w:r>
        <w:rPr>
          <w:b/>
          <w:bCs/>
        </w:rPr>
        <w:t xml:space="preserve">C.3.2 Full internal benchmark (403 pairs, all available true positives and negatives)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4500"/>
            <w:shd w:fill="D9D9D9" w:val="clear"/>
          </w:tcPr>
          <w:p>
            <w:r>
              <w:rPr>
                <w:b/>
                <w:bCs/>
              </w:rPr>
              <w:t xml:space="preserve">Method</w:t>
            </w:r>
          </w:p>
        </w:tc>
        <w:tc>
          <w:tcPr>
            <w:tcW w:type="dxa" w:w="2500"/>
            <w:shd w:fill="D9D9D9" w:val="clear"/>
          </w:tcPr>
          <w:p>
            <w:r>
              <w:rPr>
                <w:b/>
                <w:bCs/>
              </w:rPr>
              <w:t xml:space="preserve">Precision</w:t>
            </w:r>
          </w:p>
        </w:tc>
        <w:tc>
          <w:tcPr>
            <w:tcW w:type="dxa" w:w="2500"/>
            <w:shd w:fill="D9D9D9" w:val="clear"/>
          </w:tcPr>
          <w:p>
            <w:r>
              <w:rPr>
                <w:b/>
                <w:bCs/>
              </w:rPr>
              <w:t xml:space="preserve">Recall</w:t>
            </w:r>
          </w:p>
        </w:tc>
      </w:tr>
      <w:tr>
        <w:tc>
          <w:tcPr>
            <w:tcW w:type="dxa" w:w="4500"/>
          </w:tcPr>
          <w:p>
            <w:r>
              <w:rPr>
                <w:b w:val="false"/>
                <w:bCs w:val="false"/>
              </w:rPr>
              <w:t xml:space="preserve">Current boolean pipeline</w:t>
            </w:r>
          </w:p>
        </w:tc>
        <w:tc>
          <w:tcPr>
            <w:tcW w:type="dxa" w:w="2500"/>
          </w:tcPr>
          <w:p>
            <w:r>
              <w:rPr>
                <w:b w:val="false"/>
                <w:bCs w:val="false"/>
              </w:rPr>
              <w:t xml:space="preserve">23.8%</w:t>
            </w:r>
          </w:p>
        </w:tc>
        <w:tc>
          <w:tcPr>
            <w:tcW w:type="dxa" w:w="2500"/>
          </w:tcPr>
          <w:p>
            <w:r>
              <w:rPr>
                <w:b w:val="false"/>
                <w:bCs w:val="false"/>
              </w:rPr>
              <w:t xml:space="preserve">27.8%</w:t>
            </w:r>
          </w:p>
        </w:tc>
      </w:tr>
      <w:tr>
        <w:tc>
          <w:tcPr>
            <w:tcW w:type="dxa" w:w="4500"/>
          </w:tcPr>
          <w:p>
            <w:r>
              <w:rPr>
                <w:b w:val="false"/>
                <w:bCs w:val="false"/>
              </w:rPr>
              <w:t xml:space="preserve">Weighted (LOOCV logistic regression)</w:t>
            </w:r>
          </w:p>
        </w:tc>
        <w:tc>
          <w:tcPr>
            <w:tcW w:type="dxa" w:w="2500"/>
          </w:tcPr>
          <w:p>
            <w:r>
              <w:rPr>
                <w:b w:val="false"/>
                <w:bCs w:val="false"/>
              </w:rPr>
              <w:t xml:space="preserve">25.0%</w:t>
            </w:r>
          </w:p>
        </w:tc>
        <w:tc>
          <w:tcPr>
            <w:tcW w:type="dxa" w:w="2500"/>
          </w:tcPr>
          <w:p>
            <w:r>
              <w:rPr>
                <w:b w:val="false"/>
                <w:bCs w:val="false"/>
              </w:rPr>
              <w:t xml:space="preserve">27.8%</w:t>
            </w:r>
          </w:p>
        </w:tc>
      </w:tr>
      <w:tr>
        <w:tc>
          <w:tcPr>
            <w:tcW w:type="dxa" w:w="4500"/>
          </w:tcPr>
          <w:p>
            <w:r>
              <w:rPr>
                <w:b w:val="false"/>
                <w:bCs w:val="false"/>
              </w:rPr>
              <w:t xml:space="preserve">Identity-only baseline (≥75%)</w:t>
            </w:r>
          </w:p>
        </w:tc>
        <w:tc>
          <w:tcPr>
            <w:tcW w:type="dxa" w:w="2500"/>
          </w:tcPr>
          <w:p>
            <w:r>
              <w:rPr>
                <w:b w:val="false"/>
                <w:bCs w:val="false"/>
              </w:rPr>
              <w:t xml:space="preserve">20.3%</w:t>
            </w:r>
          </w:p>
        </w:tc>
        <w:tc>
          <w:tcPr>
            <w:tcW w:type="dxa" w:w="2500"/>
          </w:tcPr>
          <w:p>
            <w:r>
              <w:rPr>
                <w:b w:val="false"/>
                <w:bCs w:val="false"/>
              </w:rPr>
              <w:t xml:space="preserve">72.2%</w:t>
            </w:r>
          </w:p>
        </w:tc>
      </w:tr>
    </w:tbl>
    <w:p>
      <w:pPr>
        <w:spacing w:after="160"/>
      </w:pPr>
    </w:p>
    <w:p>
      <w:pPr>
        <w:spacing w:after="160"/>
      </w:pPr>
      <w:r>
        <w:rPr>
          <w:b/>
          <w:bCs/>
        </w:rPr>
        <w:t xml:space="preserve">Note on the pipeline precision figures above: </w:t>
      </w:r>
      <w:r>
        <w:t xml:space="preserve">the 23.8%/83.3% figures in this table are this comparison script's own recomputation of the current pipeline's precision (defined here as “Functional Redundancy” or “Functional Redundancy (moderate)” calls), not necessarily identical in definition to the previously reported 31.2% headline figure elsewhere in this validation record. Before quoting both numbers together in the manuscript, confirm they use the same definition of a positive call and the same pair set — this note is left here deliberately so that check is not skipped.</w:t>
      </w:r>
    </w:p>
    <w:p>
      <w:pPr>
        <w:pStyle w:val="Heading1"/>
        <w:spacing w:after="150" w:before="300"/>
      </w:pPr>
      <w:r>
        <w:rPr>
          <w:b/>
          <w:bCs/>
        </w:rPr>
        <w:t xml:space="preserve">C.4 Interpretation</w:t>
      </w:r>
    </w:p>
    <w:p>
      <w:pPr>
        <w:pStyle w:val="ListParagraph"/>
        <w:numPr>
          <w:ilvl w:val="0"/>
          <w:numId w:val="1"/>
        </w:numPr>
        <w:spacing w:after="100"/>
      </w:pPr>
      <w:r>
        <w:t xml:space="preserve">Pilot run: the weighted model underperformed the current boolean pipeline at matched recall (71.4% vs. 83.3% precision).</w:t>
      </w:r>
    </w:p>
    <w:p>
      <w:pPr>
        <w:pStyle w:val="ListParagraph"/>
        <w:numPr>
          <w:ilvl w:val="0"/>
          <w:numId w:val="1"/>
        </w:numPr>
        <w:spacing w:after="100"/>
      </w:pPr>
      <w:r>
        <w:t xml:space="preserve">Full-benchmark run: the two approaches were essentially tied (25.0% vs. 23.8% precision), a 1.2-point difference that is not meaningful given the small number of true positives (~18) driving these estimates — a single pair's classification can shift precision by several percentage points at this sample size.</w:t>
      </w:r>
    </w:p>
    <w:p>
      <w:pPr>
        <w:pStyle w:val="ListParagraph"/>
        <w:numPr>
          <w:ilvl w:val="0"/>
          <w:numId w:val="1"/>
        </w:numPr>
        <w:spacing w:after="100"/>
      </w:pPr>
      <w:r>
        <w:t xml:space="preserve">Across both runs, the continuous/weighted approach did not show a clear, reproducible improvement over the existing boolean pipeline.</w:t>
      </w:r>
    </w:p>
    <w:p>
      <w:pPr>
        <w:pStyle w:val="ListParagraph"/>
        <w:numPr>
          <w:ilvl w:val="0"/>
          <w:numId w:val="1"/>
        </w:numPr>
        <w:spacing w:after="100"/>
      </w:pPr>
      <w:r>
        <w:t xml:space="preserve">This is treated as a genuine, informative negative result rather than a failed experiment: it directly answers the question of whether the obvious continuous-scoring alternative helps, using the same ground truth and the same underlying statistics already validated elsewhere in this record.</w:t>
      </w:r>
    </w:p>
    <w:p>
      <w:pPr>
        <w:pStyle w:val="Heading1"/>
        <w:spacing w:after="150" w:before="300"/>
      </w:pPr>
      <w:r>
        <w:rPr>
          <w:b/>
          <w:bCs/>
        </w:rPr>
        <w:t xml:space="preserve">C.5 Disposition</w:t>
      </w:r>
    </w:p>
    <w:p>
      <w:pPr>
        <w:spacing w:after="160"/>
      </w:pPr>
      <w:r>
        <w:t xml:space="preserve">The boolean pass/fail pipeline is retained as the primary, reported method. The continuous/weighted alternative is disclosed here as tested-but-not-adopted, with the reasoning and numbers above, rather than omitted. Suggested manuscript language:</w:t>
      </w:r>
    </w:p>
    <w:p>
      <w:pPr>
        <w:spacing w:after="160"/>
      </w:pPr>
      <w:r>
        <w:rPr>
          <w:i/>
          <w:iCs/>
        </w:rPr>
        <w:t xml:space="preserve">“We additionally tested a logistic-regression-based continuous scoring alternative, combining the same underlying test statistics used by the boolean pipeline (leave-one-out cross-validation, due to the small number of true positives). At matched recall, this alternative did not outperform the existing boolean pipeline (25.0% vs. 23.8% precision on the full internal benchmark; 71.4% vs. 83.3% on a smaller pilot subset) and was not adopted. We report this as a tested, disclosed negative result rather than an unaddressed limitation, and note it as a candidate direction for future work with a larger ground-truth set.”</w:t>
      </w:r>
    </w:p>
    <w:p>
      <w:pPr>
        <w:pStyle w:val="Heading1"/>
        <w:spacing w:after="150" w:before="300"/>
      </w:pPr>
      <w:r>
        <w:rPr>
          <w:b/>
          <w:bCs/>
        </w:rPr>
        <w:t xml:space="preserve">C.6 Reproducibility</w:t>
      </w:r>
    </w:p>
    <w:p>
      <w:pPr>
        <w:spacing w:after="160"/>
      </w:pPr>
      <w:r>
        <w:t xml:space="preserve">Full feature table and per-pair LOOCV scores for the full-benchmark run were written to weighted_fr_features_and_scores.csv, alongside the standard benchmark_pairs.csv ground truth already used elsewhere in this validation. The added code (three additive field exposures in the FR test functions, plus the standalone comparison script) is available for review and changes no existing computation, threshold, or call/confidence logic in the production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2026-07-29T19:58:20.771Z</dcterms:created>
  <dcterms:modified xsi:type="dcterms:W3CDTF">2026-07-29T19:58:20.784Z</dcterms:modified>
</cp:coreProperties>
</file>

<file path=docProps/custom.xml><?xml version="1.0" encoding="utf-8"?>
<Properties xmlns="http://schemas.openxmlformats.org/officeDocument/2006/custom-properties" xmlns:vt="http://schemas.openxmlformats.org/officeDocument/2006/docPropsVTypes"/>
</file>