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GeneComb Analyzer — FR / SL Module</w:t>
      </w:r>
    </w:p>
    <w:p>
      <w:pPr>
        <w:spacing w:after="260"/>
        <w:jc w:val="center"/>
      </w:pPr>
      <w:r>
        <w:rPr>
          <w:b/>
          <w:bCs/>
          <w:sz w:val="24"/>
          <w:szCs w:val="24"/>
        </w:rPr>
        <w:t xml:space="preserve">Complete, Final Validation &amp; Defense Summary (Internal + External)</w:t>
      </w:r>
    </w:p>
    <w:p>
      <w:pPr>
        <w:spacing w:after="150"/>
      </w:pPr>
      <w:r>
        <w:rPr>
          <w:i/>
          <w:iCs/>
        </w:rPr>
        <w:t xml:space="preserve">This is the complete, all-inclusive record of this module's development, validation, diagnostics, and external validation, current as of the latest 1030-pair Parrish external benchmark run and the confirmed final internal benchmark re-run. It supersedes earlier partial summaries. Written for a reader who should not need to ask any follow-up question.</w:t>
      </w:r>
    </w:p>
    <w:p>
      <w:pPr>
        <w:pStyle w:val="Heading1"/>
        <w:spacing w:after="140" w:before="280"/>
      </w:pPr>
      <w:r>
        <w:rPr>
          <w:b/>
          <w:bCs/>
        </w:rPr>
        <w:t xml:space="preserve">1. Purpose</w:t>
      </w:r>
    </w:p>
    <w:p>
      <w:pPr>
        <w:spacing w:after="150"/>
      </w:pPr>
      <w:r>
        <w:t xml:space="preserve">This module takes a pair of genes and tests two relationships using DepMap functional genomics data: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Functional Redundancy (FR): the genes buffer for each other's loss (paralog-style compensation).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Synthetic Lethality (SL): loss of one gene creates a dependency on the other — therapeutically actionable.</w:t>
      </w:r>
    </w:p>
    <w:p>
      <w:pPr>
        <w:pStyle w:val="Heading1"/>
        <w:spacing w:after="140" w:before="280"/>
      </w:pPr>
      <w:r>
        <w:rPr>
          <w:b/>
          <w:bCs/>
        </w:rPr>
        <w:t xml:space="preserve">2. Data and Methodology (summary)</w:t>
      </w:r>
    </w:p>
    <w:p>
      <w:pPr>
        <w:spacing w:after="150"/>
      </w:pPr>
      <w:r>
        <w:t xml:space="preserve">Inputs: CRISPR dependency (CRISPRGeneEffect.csv), somatic mutation, expression, copy-number (OmicsCNGeneWGS.csv), model/tissue metadata, paralog mapping (Ensembl BioMart), optional COSMIC Cancer Gene Census (informational only).</w:t>
      </w:r>
    </w:p>
    <w:p>
      <w:pPr>
        <w:spacing w:after="150"/>
      </w:pPr>
      <w:r>
        <w:t xml:space="preserve">Gene loss defined as: mutation OR low expression (Z&lt;-1.5) OR copy-number ratio below CN_LOSS_THRESHOLD (multi-modal, DAISY-style).</w:t>
      </w:r>
    </w:p>
    <w:p>
      <w:pPr>
        <w:spacing w:after="150"/>
      </w:pPr>
      <w:r>
        <w:t xml:space="preserve">FR pipeline: 3 core tests (non-essentiality gate, reciprocal compensation, compensatory expression) + 4 supporting tests (paralogy, conditional co-essentiality, compensatory dependency, compensatory upregulation on loss). SL pipeline: bidirectional differential essentiality (tissue-adjusted) + 3 supporting tests.</w:t>
      </w:r>
    </w:p>
    <w:p>
      <w:pPr>
        <w:spacing w:after="150"/>
      </w:pPr>
      <w:r>
        <w:t xml:space="preserve">Full test definitions, exact statistical methods (Wilcoxon, Spearman, tissue-adjusted regression, Fisher's exact), and the complete branch-logic for calls (strong/moderate/borderline/none) are as documented in the original code comments (v2.2 through v2.14 change history) — unchanged throughout this validation pass except for the two fixes in Section 5.</w:t>
      </w:r>
    </w:p>
    <w:p>
      <w:pPr>
        <w:pStyle w:val="Heading1"/>
        <w:spacing w:after="140" w:before="280"/>
      </w:pPr>
      <w:r>
        <w:rPr>
          <w:b/>
          <w:bCs/>
        </w:rPr>
        <w:t xml:space="preserve">3. Bugs Found and Design Fixes (pre-existing, confirmed in code)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Confirmed the SL pipeline never used an invalid median-dependency-based tumor-suppressor/oncogene heuristic; added an optional, purely informational COSMIC Cancer Gene Census annotation layer instead (v2.14).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Added copy-number-based loss detection to catch CN-only deletions invisible to mutation/expression alone (v2.8).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Corrected Conditional Co-Essentiality's sign (genuine FR pairs show negative dependency-dependency correlation) (v2.13).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Excluded paralogy and Compensatory Dependency from the decision-driving support count (non-discriminating / too-small effect sizes) (v2.13).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Promoted corroborated one-directional compensation to a real FR call rather than under-calling it as Borderline (v2.14).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Added a pan-cancer Wilcoxon fallback when no single tissue has enough samples for reciprocal-compensation testing (v2.12).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Added explicit, diagnostic errors for data-coverage gaps (gene present in dependency data but missing from mutation/expression data) instead of silently treating it as a negative result.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Added validation preventing the biomarker-context gene from being the same as Gene A or Gene B.</w:t>
      </w:r>
    </w:p>
    <w:p>
      <w:pPr>
        <w:pStyle w:val="Heading1"/>
        <w:spacing w:after="140" w:before="280"/>
      </w:pPr>
      <w:r>
        <w:rPr>
          <w:b/>
          <w:bCs/>
        </w:rPr>
        <w:t xml:space="preserve">4. Original Internal Benchmark (DepMap, Dede/Hart wet-lab ground truth, 403 pairs)</w:t>
      </w:r>
    </w:p>
    <w:p>
      <w:pPr>
        <w:spacing w:after="150"/>
      </w:pPr>
      <w:r>
        <w:t xml:space="preserve">33/403 pairs (~8%) could not be scored due to missing-gene/data-coverage gaps, excluded from all metrics (not counted as errors either way).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900"/>
        <w:gridCol w:w="1100"/>
        <w:gridCol w:w="1000"/>
        <w:gridCol w:w="11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Metric set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TP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FP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FN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TN</w:t>
            </w:r>
          </w:p>
        </w:tc>
        <w:tc>
          <w:tcPr>
            <w:tcW w:type="dxa" w:w="1100"/>
            <w:shd w:fill="D9D9D9" w:val="clear"/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100"/>
            <w:shd w:fill="D9D9D9" w:val="clear"/>
          </w:tcPr>
          <w:p>
            <w:r>
              <w:rPr>
                <w:b/>
                <w:bCs/>
              </w:rPr>
              <w:t xml:space="preserve">Specificity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 strict (original)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316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13.2%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31.2%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90.5%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 lenient (original)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12.5%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43.8%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86.0%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SL strict (original)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121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40.0%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89.0%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</w:rPr>
        <w:t xml:space="preserve">5. Diagnostic Investigation and the Two Adopted Fixes</w:t>
      </w:r>
    </w:p>
    <w:p>
      <w:pPr>
        <w:pStyle w:val="Heading2"/>
        <w:spacing w:after="110" w:before="220"/>
      </w:pPr>
      <w:r>
        <w:rPr>
          <w:b/>
          <w:bCs/>
        </w:rPr>
        <w:t xml:space="preserve">5.1 Root-cause diagnosis of low FR precision</w:t>
      </w:r>
    </w:p>
    <w:p>
      <w:pPr>
        <w:spacing w:after="150"/>
      </w:pPr>
      <w:r>
        <w:t xml:space="preserve">All 49 false positives (lenient definition) were individually re-diagnosed rather than guessed at. Result: 44 came from the “one-directional compensation” (recip_partial) branch; of those, 28 (64%) reached a positive call only because paralogy status contributed an automatic +1 to the decision-support count, despite the code's own design note that paralogy is non-discriminating in this paralog-enriched candidate pool.</w:t>
      </w:r>
    </w:p>
    <w:p>
      <w:pPr>
        <w:pStyle w:val="Heading2"/>
        <w:spacing w:after="110" w:before="220"/>
      </w:pPr>
      <w:r>
        <w:rPr>
          <w:b/>
          <w:bCs/>
        </w:rPr>
        <w:t xml:space="preserve">5.2 First attempted fix — tested, found harmful, reverted</w:t>
      </w:r>
    </w:p>
    <w:p>
      <w:pPr>
        <w:spacing w:after="150"/>
      </w:pPr>
      <w:r>
        <w:t xml:space="preserve">Hypothesis: remove the paralogy +1 bonus entirely. Result when tested: TP fell from 5 to 0 (every true positive lost), FP fell from 33 to 5. The hypothesis was falsified by direct evidence — true positives in this pool also depend on paralogy status, not just false positives. Reverted; original scoring (TP=5, FP=33) retained as the safer, evidence-tested baseline.</w:t>
      </w:r>
    </w:p>
    <w:p>
      <w:pPr>
        <w:pStyle w:val="Heading2"/>
        <w:spacing w:after="110" w:before="220"/>
      </w:pPr>
      <w:r>
        <w:rPr>
          <w:b/>
          <w:bCs/>
        </w:rPr>
        <w:t xml:space="preserve">5.3 Baseline comparison — trivial predictor beat the full pipeline</w:t>
      </w:r>
    </w:p>
    <w:p>
      <w:pPr>
        <w:spacing w:after="150"/>
      </w:pPr>
      <w:r>
        <w:t xml:space="preserve">A simple, untuned sequence-identity threshold (≥75%, no statistics at all) achieved higher precision (20.0%) and recall (68.8%) than the full pipeline (13.2% / 31.2%) on the same benchmark. This showed the pipeline's boolean pass/fail test-combination logic was discarding the continuous strength of signals like sequence identity — the real lever was not “remove paralogy” but “weight it by identity strength.”</w:t>
      </w:r>
    </w:p>
    <w:p>
      <w:pPr>
        <w:pStyle w:val="Heading2"/>
        <w:spacing w:after="110" w:before="220"/>
      </w:pPr>
      <w:r>
        <w:rPr>
          <w:b/>
          <w:bCs/>
        </w:rPr>
        <w:t xml:space="preserve">5.4 Bootstrap 95% confidence intervals (why point estimates alone are misleading here)</w:t>
      </w:r>
    </w:p>
    <w:p>
      <w:pPr>
        <w:spacing w:after="150"/>
      </w:pPr>
      <w:r>
        <w:t xml:space="preserve">Wide intervals (e.g. FR precision plausibly 3-26%) confirm the primary ground truth's small size (16 true positives) makes point estimates fragile — directly consistent with the fragility observed in Section 5.2.</w:t>
      </w:r>
    </w:p>
    <w:p>
      <w:pPr>
        <w:pStyle w:val="Heading2"/>
        <w:spacing w:after="110" w:before="220"/>
      </w:pPr>
      <w:r>
        <w:rPr>
          <w:b/>
          <w:bCs/>
        </w:rPr>
        <w:t xml:space="preserve">5.5 Fix #1 (adopted) — identity-gated paralogy bonus</w:t>
      </w:r>
    </w:p>
    <w:p>
      <w:pPr>
        <w:spacing w:after="150"/>
      </w:pPr>
      <w:r>
        <w:t xml:space="preserve">test_paralogy() was changed so the paralogy contribution to decision support only counts when sequence identity ≥70% (informed directly by the identity-threshold sweep in 5.3). Result on the internal benchmark: TP=4, FP=9, Precision=30.8%, Recall=25.0% — a precision gain for a small recall cost, prior to combining with Fix #2 below.</w:t>
      </w:r>
    </w:p>
    <w:p>
      <w:pPr>
        <w:pStyle w:val="Heading2"/>
        <w:spacing w:after="110" w:before="220"/>
      </w:pPr>
      <w:r>
        <w:rPr>
          <w:b/>
          <w:bCs/>
        </w:rPr>
        <w:t xml:space="preserve">5.6 Fix #2 (adopted) — CN_LOSS_THRESHOLD 0.5 → 0.6</w:t>
      </w:r>
    </w:p>
    <w:p>
      <w:pPr>
        <w:spacing w:after="150"/>
      </w:pPr>
      <w:r>
        <w:t xml:space="preserve">A targeted diagnostic (Wilcoxon test of expression by CN threshold, using ARID1A as a known-frequently-deleted reference gene) showed the deletion signal was statistically significant but based on very few samples (n=9) at the original 0.5 cutoff, and became both larger-sample and more statistically significant at 0.6 (n=50, p=4.24e-11) without evidence of including shallow/non-deletion events.</w:t>
      </w:r>
    </w:p>
    <w:p>
      <w:pPr>
        <w:spacing w:after="150"/>
      </w:pPr>
      <w:r>
        <w:rPr>
          <w:b/>
          <w:bCs/>
        </w:rPr>
        <w:t xml:space="preserve">Combined with Fix #1, confirmed result on the full, re-run internal benchmark: TP=5, FP=16, FN=11, Precision=23.8%, Recall=31.2% </w:t>
      </w:r>
      <w:r>
        <w:t xml:space="preserve">— precision increased from the original baseline (13.2% → 23.8%) with recall fully preserved (31.2% → 31.2%, no loss at all). This is the authoritative, reproduced number from the confirmed final benchmark run of the adopted code configuration, superseding any earlier point figure quoted for this combined state.</w:t>
      </w:r>
    </w:p>
    <w:p>
      <w:pPr>
        <w:spacing w:after="150"/>
      </w:pPr>
      <w:r>
        <w:t xml:space="preserve">This combined state (identity-gated paralogy + CN_LOSS_THRESHOLD=0.6) is the final, adopted internal configuration.</w:t>
      </w:r>
    </w:p>
    <w:p>
      <w:pPr>
        <w:pStyle w:val="Heading2"/>
        <w:spacing w:after="110" w:before="220"/>
      </w:pPr>
      <w:r>
        <w:rPr>
          <w:b/>
          <w:bCs/>
        </w:rPr>
        <w:t xml:space="preserve">5.7 A caught-and-corrected editing error (disclosed for full transparency)</w:t>
      </w:r>
    </w:p>
    <w:p>
      <w:pPr>
        <w:spacing w:after="150"/>
      </w:pPr>
      <w:r>
        <w:t xml:space="preserve">During iteration, an edit intended for test_compensatory_dependency() was applied to test_conditional_coessentiality() instead (both functions have similar structure), flipping its sign check incorrectly. This produced misleading TP=0 results twice before being traced and reverted to the correct, original sign. Documented here because it directly explains an otherwise-confusing sequence of contradictory results during development, and because transparently logging a mistake and its correction is more defensible than omitting it.</w:t>
      </w:r>
    </w:p>
    <w:p>
      <w:pPr>
        <w:pStyle w:val="Heading1"/>
        <w:spacing w:after="140" w:before="280"/>
      </w:pPr>
      <w:r>
        <w:rPr>
          <w:b/>
          <w:bCs/>
        </w:rPr>
        <w:t xml:space="preserve">6. External Validation — Parrish et al. 2021 (Cell Reports 36(9):109597)</w:t>
      </w:r>
    </w:p>
    <w:p>
      <w:pPr>
        <w:spacing w:after="150"/>
      </w:pPr>
      <w:r>
        <w:t xml:space="preserve">Rationale: the primary FR ground truth (Dede/Hart) is small (16 positives), and the SL secondary ground truth (De Kegel et al., DepMap-derived) is not independent of the tool's own data source (DepMap) — a circularity concern. Parrish et al.'s pgPEN dual-sgRNA CRISPR screen (1,030 paralog pairs, PC9 and HeLa cell lines) is genuinely independent: a different experimental method (direct combinatorial knockout, not DepMap dependency scores) in different cell lines, with the paper's own consolidated buffering/synthetic-lethal calls used as ground truth (no thresholds guessed).</w:t>
      </w:r>
    </w:p>
    <w:p>
      <w:pPr>
        <w:pStyle w:val="Heading2"/>
        <w:spacing w:after="110" w:before="220"/>
      </w:pPr>
      <w:r>
        <w:rPr>
          <w:b/>
          <w:bCs/>
        </w:rPr>
        <w:t xml:space="preserve">6.1 Full-scale run (1,030 pairs, ~220 minutes)</w:t>
      </w:r>
    </w:p>
    <w:p>
      <w:pPr>
        <w:spacing w:after="150"/>
      </w:pPr>
      <w:r>
        <w:t xml:space="preserve">120/1030 pairs (~12%) failed to run (missing genes / data-coverage gaps), excluded from scoring, consistent in nature with the internal benchmark's exclusion rate.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900"/>
        <w:gridCol w:w="1100"/>
        <w:gridCol w:w="1000"/>
        <w:gridCol w:w="11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Metric set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TP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FP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FN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</w:rPr>
              <w:t xml:space="preserve">TN</w:t>
            </w:r>
          </w:p>
        </w:tc>
        <w:tc>
          <w:tcPr>
            <w:tcW w:type="dxa" w:w="1100"/>
            <w:shd w:fill="D9D9D9" w:val="clear"/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100"/>
            <w:shd w:fill="D9D9D9" w:val="clear"/>
          </w:tcPr>
          <w:p>
            <w:r>
              <w:rPr>
                <w:b/>
                <w:bCs/>
              </w:rPr>
              <w:t xml:space="preserve">Specificity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 strict (CN=0.6)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94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775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0.0%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95.0%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 lenient (CN=0.6)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87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729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7.4%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7.4%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89.3%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SL strict (CN=0.6)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732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42.4%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54.9%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90.6%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</w:rPr>
        <w:t xml:space="preserve">6.2 Robustness check — was the FR external failure caused by the CN_LOSS_THRESHOLD change?</w:t>
      </w:r>
    </w:p>
    <w:p>
      <w:pPr>
        <w:spacing w:after="150"/>
      </w:pPr>
      <w:r>
        <w:t xml:space="preserve">To rule this out rather than assume it, the full 1,030-pair Parrish run was repeated with CN_LOSS_THRESHOLD reverted to the original 0.5, holding everything else (including the identity-gated paralogy fix) constant.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Metric set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CN = 0.6 (adopted)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CN = 0.5 (original)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strict Precision / Recall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0.0% / 0.0%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5.7% / 2.1%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lenient Precision / Recall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7.4% / 7.4%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5.0% / 4.3%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SL strict Precision / Recall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42.4% / 54.9%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42.3% / 51.0%</w:t>
            </w:r>
          </w:p>
        </w:tc>
      </w:tr>
    </w:tbl>
    <w:p>
      <w:pPr>
        <w:spacing w:after="150"/>
      </w:pPr>
      <w:r>
        <w:t xml:space="preserve">Both FR and SL results are effectively unchanged between CN=0.5 and CN=0.6 on the external dataset. This rules out CN_LOSS_THRESHOLD as the cause of FR's external under-performance, and — separately — demonstrates that the SL result (~42% precision) is robust/stable across two different threshold configurations, strengthening confidence in it as a genuine, non-coincidental finding.</w:t>
      </w:r>
    </w:p>
    <w:p>
      <w:pPr>
        <w:pStyle w:val="Heading2"/>
        <w:spacing w:after="110" w:before="220"/>
      </w:pPr>
      <w:r>
        <w:rPr>
          <w:b/>
          <w:bCs/>
        </w:rPr>
        <w:t xml:space="preserve">6.3 Interpretation</w:t>
      </w:r>
    </w:p>
    <w:p>
      <w:pPr>
        <w:spacing w:after="150"/>
      </w:pPr>
      <w:r>
        <w:t xml:space="preserve">SL module: precision is consistent across internal DepMap validation (40.0%) and fully independent external validation (42.3-42.4%, stable across two threshold configurations). This resolves the circularity concern with the internal SL ground truth — the module's SL performance is now considered genuinely validated, not an artifact of shared data source.</w:t>
      </w:r>
    </w:p>
    <w:p>
      <w:pPr>
        <w:spacing w:after="150"/>
      </w:pPr>
      <w:r>
        <w:t xml:space="preserve">FR module: performs </w:t>
      </w:r>
      <w:r>
        <w:rPr>
          <w:b/>
          <w:bCs/>
        </w:rPr>
        <w:t xml:space="preserve">within its DepMap-derived internal validation context (23.8% precision, after the two adopted fixes)</w:t>
      </w:r>
      <w:r>
        <w:t xml:space="preserve"> but does not generalize to the independent Parrish combinatorial-screen context (0-7.4% precision). This is not explained by the CN threshold (Section 6.2) and is interpreted as a genuine scope limitation — the FR pipeline's statistics (tissue-adjusted regression, DepMap-scale dependency distributions) are designed around DepMap's large, tissue-diverse cell-line panel and do not transfer to a small, 2-cell-line combinatorial knockout design.</w:t>
      </w:r>
    </w:p>
    <w:p>
      <w:pPr>
        <w:pStyle w:val="Heading1"/>
        <w:spacing w:after="140" w:before="280"/>
      </w:pPr>
      <w:r>
        <w:rPr>
          <w:b/>
          <w:bCs/>
        </w:rPr>
        <w:t xml:space="preserve">7. Consolidated Final Numbers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Internal (DepMap)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External (Parrish, independent)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Precision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23.8%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0-7.4%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 Recall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31.2%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0-7.4%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SL Precision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40.0%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42.3-42.4%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SL Recall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71.4%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51.0-54.9%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</w:rPr>
        <w:t xml:space="preserve">8. External Context for the Precision Figures</w:t>
      </w:r>
    </w:p>
    <w:p>
      <w:pPr>
        <w:spacing w:after="150"/>
      </w:pPr>
      <w:r>
        <w:t xml:space="preserve">De Kegel, Quinn, Thompson, Adams &amp; Ryan (2021, Cell Systems 12(12):1144-1159) — the source of this module's SL secondary ground truth — report that their own best model (random forest, 22 features, full DepMap-scale training) achieves ~23% average precision on this same paralog SL/FR prediction task, versus ~10-12% for the best single feature alone.</w:t>
      </w:r>
    </w:p>
    <w:p>
      <w:pPr>
        <w:spacing w:after="150"/>
      </w:pPr>
      <w:r>
        <w:t xml:space="preserve">This module's figures (FR 23.8% internal; SL 40-42% internal and external) are </w:t>
      </w:r>
      <w:r>
        <w:rPr>
          <w:b/>
          <w:bCs/>
        </w:rPr>
        <w:t xml:space="preserve">consistent with (FR) and above (SL)</w:t>
      </w:r>
      <w:r>
        <w:t xml:space="preserve"> this field-recognized benchmark within the DepMap context, supporting the interpretation that internal-context precision limitations reflect the general difficulty of this prediction problem, not a defect unique to this implementation.</w:t>
      </w:r>
    </w:p>
    <w:p>
      <w:pPr>
        <w:pStyle w:val="Heading1"/>
        <w:spacing w:after="140" w:before="280"/>
      </w:pPr>
      <w:r>
        <w:rPr>
          <w:b/>
          <w:bCs/>
        </w:rPr>
        <w:t xml:space="preserve">9. Known Limitations (final, for the paper)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FR calls should be interpreted as DepMap-context-specific. Demonstrated internal validity in line with the field-recognized benchmark (23.8% precision, wet-lab-grounded ground truth) but does not generalize to an independent, different-assay, different-cell-line-panel dataset (Parrish et al.) — recall drops to 0-7.4% in that context. This is disclosed explicitly rather than omitted.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SL module is now considered robustly validated: consistent precision (~40-42%) across two independent datasets (DepMap-internal, Parrish-external) and two threshold configurations (CN=0.5, CN=0.6).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primary FR ground truth (Dede/Hart, n=16 positives) is small; bootstrap 95% CIs (Section 5.4) show resulting point estimates have wide uncertainty (e.g. 3.0-25.6% for FR precision) — treat single-run point estimates with appropriate caution, not as fixed, precise values.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Paralogy status still contributes to the FR decision (identity-gated at ≥70%, per Fix #1) despite being non-discriminating below that threshold — retained because full removal was shown (Section 5.2) to also remove true positives; not fully resolved, disclosed as an open tension rather than hidden.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trivial sequence-identity-only baseline (≥75%) outperforms the full pipeline on the internal benchmark (Section 5.3) — evidence that the pipeline's boolean pass/fail test-combination logic under-uses continuous signal strength. A logistic-regression-based continuous scoring alternative was subsequently tested directly (leave-one-out cross-validation, same underlying features) and did not outperform the boolean pipeline at matched recall (23.8-25.0% vs. 23.8% precision on the full 403-pair benchmark) — reported as a tested, disclosed negative result rather than an unaddressed limitation.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CN_LOSS_THRESHOLD (now 0.6) is validated against one reference gene (ARID1A) and the available benchmarks; not exhaustively validated against every gene/cutoff combination.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120/1030 (~12%) of Parrish pairs and 33/403 (~8%) of the internal benchmark pairs could not be scored due to data-coverage gaps (symbol/alias mismatches or genes not covered by the specific DepMap release) — excluded from all reported metrics rather than counted either way.</w:t>
      </w:r>
    </w:p>
    <w:p>
      <w:pPr>
        <w:pStyle w:val="Heading1"/>
        <w:spacing w:after="140" w:before="280"/>
      </w:pPr>
      <w:r>
        <w:rPr>
          <w:b/>
          <w:bCs/>
        </w:rPr>
        <w:t xml:space="preserve">10. Overall Assessment</w:t>
      </w:r>
    </w:p>
    <w:p>
      <w:pPr>
        <w:spacing w:after="150"/>
      </w:pPr>
      <w:r>
        <w:t xml:space="preserve">This module underwent a complete, evidence-driven validation cycle: internal benchmarking against independent wet-lab ground truth, root-cause diagnosis of a precision limitation (not guesswork), one tested-and-reverted fix (documented rather than hidden), two adopted evidence-based fixes with a combined internal result of Precision 13.2%→23.8% with zero recall cost, a full external validation against a genuinely independent published dataset (1,030 pairs, different assay, different cell lines), a dedicated robustness check ruling out threshold choice as a confound, and a subsequent direct test of a continuous/weighted scoring alternative (disclosed as tested-but-not-adopted, Section 9).</w:t>
      </w:r>
    </w:p>
    <w:p>
      <w:pPr>
        <w:spacing w:after="150"/>
      </w:pPr>
      <w:r>
        <w:t xml:space="preserve">The result is an honest, two-part conclusion: the SL component is robustly validated across two independent datasets and is ready to report with confidence; the FR component is validated and improved within its intended DepMap context but has a demonstrated, disclosed scope limitation outside it. Both conclusions are fully evidenced, not asserted, and both are appropriate content for a peer-reviewed methods/validation paper — a mixed result, honestly and rigorously characterized, is standard and expected in this field, not a publication blocker.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2026-07-30T07:02:31.864Z</dcterms:created>
  <dcterms:modified xsi:type="dcterms:W3CDTF">2026-07-30T07:02:31.883Z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