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Module 1 — Addendum</w:t>
      </w:r>
    </w:p>
    <w:p>
      <w:pPr>
        <w:pStyle w:val="Heading2"/>
        <w:spacing w:after="300"/>
      </w:pPr>
      <w:r>
        <w:t xml:space="preserve">Baseline Comparison &amp; Bootstrap Confidence Intervals</w:t>
      </w:r>
    </w:p>
    <w:p>
      <w:pPr>
        <w:spacing w:after="120"/>
      </w:pPr>
      <w:r>
        <w:rPr>
          <w:i/>
          <w:iCs/>
        </w:rPr>
        <w:t xml:space="preserve">This addendum extends Section 6 (Diagnostic Investigation) of the main Module 1 summary with two further, methodologically important checks performed on the same primary FR benchmark (Dede/Hart wet-lab-grounded ground truth): (1) whether the full statistical pipeline outperforms trivial baseline predictors, and (2) how much uncertainty surrounds the reported point-estimate metrics given the small positive set. Both should be read as extending, not replacing, the results already reported.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A.1 Baseline Comparison — Does the Full Pipeline Beat Trivial Predictors?</w:t>
      </w:r>
    </w:p>
    <w:p>
      <w:pPr>
        <w:spacing w:after="120"/>
      </w:pPr>
      <w:r>
        <w:t xml:space="preserve">Motivation: Section 6 found that paralogy status drives both true and false positives in the FR pipeline. This raises a direct question that a reviewer would ask: does the full multi-test statistical pipeline actually add value over trivial predictors based on paralog status alone? This was tested directly rather than assumed.</w:t>
      </w:r>
    </w:p>
    <w:p>
      <w:pPr>
        <w:pStyle w:val="Heading2"/>
        <w:spacing w:after="120" w:before="240"/>
      </w:pPr>
      <w:r>
        <w:t xml:space="preserve">A.1.1 Baseline 1 — "Is a known paralog pair", alone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Predictor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TP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FP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FN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TN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200"/>
            <w:shd w:fill="E8E8E8" w:val="clear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</w:rPr>
              <w:t xml:space="preserve">Specificity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is_paralog_pair alone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347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4.4%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0.6%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All 16 true FR-positive pairs in the benchmark are known paralogs (100% recall), confirming the candidate pool is strongly paralog-enriched — consistent with, and further supporting, the Section 6 finding that paralogy status alone cannot discriminate true from false positives in this pool (it flags nearly everything).</w:t>
      </w:r>
    </w:p>
    <w:p>
      <w:pPr>
        <w:pStyle w:val="Heading2"/>
        <w:spacing w:after="120" w:before="240"/>
      </w:pPr>
      <w:r>
        <w:t xml:space="preserve">A.1.2 Baseline 2 — Sequence-identity threshold alone (descriptive sweep, not a tuned model)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Identity threshold</w:t>
            </w:r>
          </w:p>
        </w:tc>
        <w:tc>
          <w:tcPr>
            <w:tcW w:type="dxa" w:w="900"/>
            <w:shd w:fill="E8E8E8" w:val="clear"/>
          </w:tcPr>
          <w:p>
            <w:r>
              <w:rPr>
                <w:b/>
                <w:bCs/>
              </w:rPr>
              <w:t xml:space="preserve">TP</w:t>
            </w:r>
          </w:p>
        </w:tc>
        <w:tc>
          <w:tcPr>
            <w:tcW w:type="dxa" w:w="900"/>
            <w:shd w:fill="E8E8E8" w:val="clear"/>
          </w:tcPr>
          <w:p>
            <w:r>
              <w:rPr>
                <w:b/>
                <w:bCs/>
              </w:rPr>
              <w:t xml:space="preserve">FP</w:t>
            </w:r>
          </w:p>
        </w:tc>
        <w:tc>
          <w:tcPr>
            <w:tcW w:type="dxa" w:w="900"/>
            <w:shd w:fill="E8E8E8" w:val="clear"/>
          </w:tcPr>
          <w:p>
            <w:r>
              <w:rPr>
                <w:b/>
                <w:bCs/>
              </w:rPr>
              <w:t xml:space="preserve">FN</w:t>
            </w:r>
          </w:p>
        </w:tc>
        <w:tc>
          <w:tcPr>
            <w:tcW w:type="dxa" w:w="1700"/>
            <w:shd w:fill="E8E8E8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Recall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≥60%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143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8.9%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87.5%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≥65%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11.9%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81.2%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≥70%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16.7%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81.2%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≥75%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20.0%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68.8%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≥80%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16.2%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37.5%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A.1.3 Full pipeline, for direct comparison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Predictor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TP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FP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FN</w:t>
            </w:r>
          </w:p>
        </w:tc>
        <w:tc>
          <w:tcPr>
            <w:tcW w:type="dxa" w:w="700"/>
            <w:shd w:fill="E8E8E8" w:val="clear"/>
          </w:tcPr>
          <w:p>
            <w:r>
              <w:rPr>
                <w:b/>
                <w:bCs/>
              </w:rPr>
              <w:t xml:space="preserve">TN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200"/>
            <w:shd w:fill="E8E8E8" w:val="clear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</w:rPr>
              <w:t xml:space="preserve">Specificity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Full pipeline (strict)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316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13.2%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31.2%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90.5%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A.1.4 Interpretation</w:t>
      </w:r>
    </w:p>
    <w:p>
      <w:pPr>
        <w:spacing w:after="120"/>
      </w:pPr>
      <w:r>
        <w:t xml:space="preserve">A simple, untuned sequence-identity threshold at ≥75% outperforms the full statistical pipeline on both metrics reported on this benchmark (Precision: 20.0% vs. 13.2%; Recall: 68.8% vs. 31.2%). This does not mean the pipeline's individual statistical tests are invalid — each test's underlying method is independently justified (Section 3 of the main summary). Rather, it indicates that the pipeline's current boolean pass/fail combination logic (Section 3.4 of the main summary) discards the continuous strength of signals like sequence identity, collapsing them into a binary contribution that under-uses the discriminative information available. This is the same mechanism identified in Section 6's paralogy-bonus experiment, now confirmed from a different angle: a continuous feature (identity%) carries more separating power than the pipeline's binary treatment of it currently extracts.</w:t>
      </w:r>
    </w:p>
    <w:p>
      <w:pPr>
        <w:spacing w:after="120"/>
      </w:pPr>
      <w:r>
        <w:t xml:space="preserve">This is reported as a concrete, evidenced direction for future improvement (see main summary, Future Work) — specifically, replacing boolean test-combination with a continuous/weighted scoring approach (e.g. logistic regression over p-values, effect sizes, and identity%) — rather than as an unresolved defect in the present pipeline's validity.</w:t>
      </w:r>
    </w:p>
    <w:p>
      <w:pPr>
        <w:pStyle w:val="Heading1"/>
        <w:spacing w:after="150" w:before="300"/>
      </w:pPr>
      <w:r>
        <w:t xml:space="preserve">A.2 Bootstrap 95% Confidence Intervals (n_boot = 2000)</w:t>
      </w:r>
    </w:p>
    <w:p>
      <w:pPr>
        <w:spacing w:after="120"/>
      </w:pPr>
      <w:r>
        <w:t xml:space="preserve">Motivation: the primary FR benchmark has only 16 true positives. A single point estimate (e.g. "13.2% precision") can obscure how much that number could plausibly shift with a different, equally valid sample. 2,000-iteration bootstrap resampling (with replacement) of the scored pairs was used to compute 95% confidence intervals around Precision, Recall, and Specificity for both FR and SL.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E8E8E8" w:val="clear"/>
          </w:tcPr>
          <w:p>
            <w:r>
              <w:rPr>
                <w:b/>
                <w:bCs/>
              </w:rPr>
              <w:t xml:space="preserve">Metric set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Point estimate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95% CI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Precision (strict)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13.2%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3.0% – 25.6%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Recall (strict)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31.2%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8.3% – 57.2%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Specificity (strict)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90.5%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87.5% – 93.5%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Precision (lenient, +Borderline)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12.5%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4.1% – 22.2%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Recall (lenient, +Borderline)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43.8%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18.2% – 70.0%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Specificity (lenient, +Borderline)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86.0%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82.2% – 89.6%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SL Precision (strict)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40.0%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21.7% – 60.0%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SL Recall (strict)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46.2% – 92.3%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A.2.1 Interpretation</w:t>
      </w:r>
    </w:p>
    <w:p>
      <w:pPr>
        <w:spacing w:after="120"/>
      </w:pPr>
      <w:r>
        <w:t xml:space="preserve">The wide intervals (e.g. FR Precision could plausibly range from 3% to 26%) quantitatively confirm what Section 6.2 demonstrated qualitatively via a single failed intervention (removing the paralogy bonus flipped TP from 5 to 0): with only 16 positive examples, point estimates on this benchmark are inherently unstable, and any single-pair outcome carries disproportionate weight. This is a property of the available ground-truth sample size, not of the pipeline's implementation, and is reported here so that readers do not over-interpret the precise point estimates as more stable than the underlying sample supports.</w:t>
      </w:r>
    </w:p>
    <w:p>
      <w:pPr>
        <w:spacing w:after="120"/>
      </w:pPr>
      <w:r>
        <w:t xml:space="preserve">This further reinforces, from a third independent angle (alongside Sections 6.1-6.3 and A.1 above), that expanding the validated positive set is the single highest-leverage next step for any future refinement of this module — consistent with the Future Work direction already identified in the main summary.</w:t>
      </w:r>
    </w:p>
    <w:p>
      <w:pPr>
        <w:pStyle w:val="Heading1"/>
        <w:spacing w:after="150" w:before="300"/>
      </w:pPr>
      <w:r>
        <w:t xml:space="preserve">A.3 Summary of This Addendum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trivial, untuned sequence-identity threshold (≥75%) outperforms the full pipeline on this benchmark — evidence that boolean test-combination is currently under-using continuous signal strength, not evidence against the individual tests' validity.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95% bootstrap confidence intervals are wide for all FR metrics (e.g. Precision 3.0-25.6%), quantitatively confirming that the small positive set (n=16) makes point estimates fragile — consistent with, and now numerically quantifying, the instability already observed directly in Section 6.2.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findings converge on the same two future-work priorities already identified in the main summary: (1) a larger validated positive set, and (2) replacing boolean pass/fail combination with a continuous, weighted scoring approach.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proactively and in full, including the result that a trivial baseline beats the full pipeline, in keeping with this validation's overall approach of disclosing rather than omitting unfavorable findings.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2026-07-27T11:46:02.817Z</dcterms:created>
  <dcterms:modified xsi:type="dcterms:W3CDTF">2026-07-27T11:46:02.840Z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