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GeneComb Analyzer (Module 1)</w:t>
      </w:r>
    </w:p>
    <w:p>
      <w:pPr>
        <w:pStyle w:val="Heading2"/>
        <w:spacing w:after="300"/>
      </w:pPr>
      <w:r>
        <w:t xml:space="preserve">Functional Redundancy &amp; Synthetic Lethality Gene-Pair Tool — Complete Validation &amp; Defense Summary</w:t>
      </w:r>
    </w:p>
    <w:p>
      <w:pPr>
        <w:spacing w:after="120"/>
      </w:pPr>
      <w:r>
        <w:rPr>
          <w:i/>
          <w:iCs/>
        </w:rPr>
        <w:t xml:space="preserve">Version: v2.9. This document is intended as a complete, self-contained reference for manuscript writing and reviewer/committee defense. It covers purpose, data, full methodology (with version history), every bug/design fix made, all benchmark results, the diagnostic investigation into precision, and every known limitation.</w:t>
      </w:r>
    </w:p>
    <w:p>
      <w:pPr>
        <w:pBdr>
          <w:bottom w:val="single" w:color="999999" w:sz="6"/>
        </w:pBdr>
        <w:spacing w:after="200"/>
      </w:pPr>
    </w:p>
    <w:p>
      <w:pPr>
        <w:pStyle w:val="Heading1"/>
        <w:spacing w:after="150" w:before="300"/>
      </w:pPr>
      <w:r>
        <w:t xml:space="preserve">1. Purpose</w:t>
      </w:r>
    </w:p>
    <w:p>
      <w:pPr>
        <w:spacing w:after="120"/>
      </w:pPr>
      <w:r>
        <w:t xml:space="preserve">GeneComb Analyzer is an R Shiny tool that takes a pair of genes and tests them for two distinct biological relationships using DepMap functional genomics data:</w:t>
      </w:r>
    </w:p>
    <w:p>
      <w:pPr>
        <w:pStyle w:val="ListParagraph"/>
        <w:numPr>
          <w:ilvl w:val="0"/>
          <w:numId w:val="1"/>
        </w:numPr>
        <w:spacing w:after="60"/>
      </w:pPr>
      <w:r>
        <w:t xml:space="preserve">Functional Redundancy (FR): the genes buffer for each other's loss (paralog-style compensation) — both are individually non-essential, but show compensatory expression/dependency patterns.</w:t>
      </w:r>
    </w:p>
    <w:p>
      <w:pPr>
        <w:pStyle w:val="ListParagraph"/>
        <w:numPr>
          <w:ilvl w:val="0"/>
          <w:numId w:val="1"/>
        </w:numPr>
        <w:spacing w:after="60"/>
      </w:pPr>
      <w:r>
        <w:t xml:space="preserve">Synthetic Lethality (SL): loss of one gene creates a dependency on the other — a therapeutically actionable relationship.</w:t>
      </w:r>
    </w:p>
    <w:p>
      <w:pPr>
        <w:spacing w:after="120"/>
      </w:pPr>
      <w:r>
        <w:t xml:space="preserve">The tool outputs a tiered call (strong / moderate / borderline / not present) for each relationship independently, plus an integrated overall call and priority ranking.</w:t>
      </w:r>
    </w:p>
    <w:p>
      <w:pPr>
        <w:pStyle w:val="Heading1"/>
        <w:spacing w:after="150" w:before="300"/>
      </w:pPr>
      <w:r>
        <w:t xml:space="preserve">2. Data Inputs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E8E8E8" w:val="clear"/>
          </w:tcPr>
          <w:p>
            <w:r>
              <w:rPr>
                <w:b/>
                <w:bCs/>
              </w:rPr>
              <w:t xml:space="preserve">File</w:t>
            </w:r>
          </w:p>
        </w:tc>
        <w:tc>
          <w:tcPr>
            <w:tcW w:type="dxa" w:w="3800"/>
            <w:shd w:fill="E8E8E8" w:val="clear"/>
          </w:tcPr>
          <w:p>
            <w:r>
              <w:rPr>
                <w:b/>
                <w:bCs/>
              </w:rPr>
              <w:t xml:space="preserve">Default filename</w:t>
            </w:r>
          </w:p>
        </w:tc>
        <w:tc>
          <w:tcPr>
            <w:tcW w:type="dxa" w:w="3400"/>
            <w:shd w:fill="E8E8E8" w:val="clear"/>
          </w:tcPr>
          <w:p>
            <w:r>
              <w:rPr>
                <w:b/>
                <w:bCs/>
              </w:rPr>
              <w:t xml:space="preserve">Purpose</w:t>
            </w:r>
          </w:p>
        </w:tc>
      </w:tr>
      <w:tr>
        <w:tc>
          <w:tcPr>
            <w:tcW w:type="dxa" w:w="2600"/>
          </w:tcPr>
          <w:p>
            <w:r>
              <w:rPr>
                <w:b w:val="false"/>
                <w:bCs w:val="false"/>
              </w:rPr>
              <w:t xml:space="preserve">CRISPR dependency</w:t>
            </w:r>
          </w:p>
        </w:tc>
        <w:tc>
          <w:tcPr>
            <w:tcW w:type="dxa" w:w="3800"/>
          </w:tcPr>
          <w:p>
            <w:r>
              <w:rPr>
                <w:b w:val="false"/>
                <w:bCs w:val="false"/>
              </w:rPr>
              <w:t xml:space="preserve">CRISPRGeneEffect.csv</w:t>
            </w:r>
          </w:p>
        </w:tc>
        <w:tc>
          <w:tcPr>
            <w:tcW w:type="dxa" w:w="3400"/>
          </w:tcPr>
          <w:p>
            <w:r>
              <w:rPr>
                <w:b w:val="false"/>
                <w:bCs w:val="false"/>
              </w:rPr>
              <w:t xml:space="preserve">Gene essentiality (Chronos/CERES score) per cell line</w:t>
            </w:r>
          </w:p>
        </w:tc>
      </w:tr>
      <w:tr>
        <w:tc>
          <w:tcPr>
            <w:tcW w:type="dxa" w:w="2600"/>
          </w:tcPr>
          <w:p>
            <w:r>
              <w:rPr>
                <w:b w:val="false"/>
                <w:bCs w:val="false"/>
              </w:rPr>
              <w:t xml:space="preserve">Somatic mutation</w:t>
            </w:r>
          </w:p>
        </w:tc>
        <w:tc>
          <w:tcPr>
            <w:tcW w:type="dxa" w:w="3800"/>
          </w:tcPr>
          <w:p>
            <w:r>
              <w:rPr>
                <w:b w:val="false"/>
                <w:bCs w:val="false"/>
              </w:rPr>
              <w:t xml:space="preserve">OmicsSomaticMutationsMatrixDamaging.csv</w:t>
            </w:r>
          </w:p>
        </w:tc>
        <w:tc>
          <w:tcPr>
            <w:tcW w:type="dxa" w:w="3400"/>
          </w:tcPr>
          <w:p>
            <w:r>
              <w:rPr>
                <w:b w:val="false"/>
                <w:bCs w:val="false"/>
              </w:rPr>
              <w:t xml:space="preserve">Damaging mutation calls per gene per cell line</w:t>
            </w:r>
          </w:p>
        </w:tc>
      </w:tr>
      <w:tr>
        <w:tc>
          <w:tcPr>
            <w:tcW w:type="dxa" w:w="2600"/>
          </w:tcPr>
          <w:p>
            <w:r>
              <w:rPr>
                <w:b w:val="false"/>
                <w:bCs w:val="false"/>
              </w:rPr>
              <w:t xml:space="preserve">Expression</w:t>
            </w:r>
          </w:p>
        </w:tc>
        <w:tc>
          <w:tcPr>
            <w:tcW w:type="dxa" w:w="3800"/>
          </w:tcPr>
          <w:p>
            <w:r>
              <w:rPr>
                <w:b w:val="false"/>
                <w:bCs w:val="false"/>
              </w:rPr>
              <w:t xml:space="preserve">OmicsExpressionTPMLogp1...Stranded.csv</w:t>
            </w:r>
          </w:p>
        </w:tc>
        <w:tc>
          <w:tcPr>
            <w:tcW w:type="dxa" w:w="3400"/>
          </w:tcPr>
          <w:p>
            <w:r>
              <w:rPr>
                <w:b w:val="false"/>
                <w:bCs w:val="false"/>
              </w:rPr>
              <w:t xml:space="preserve">log2(TPM+1) expression per gene per cell line</w:t>
            </w:r>
          </w:p>
        </w:tc>
      </w:tr>
      <w:tr>
        <w:tc>
          <w:tcPr>
            <w:tcW w:type="dxa" w:w="2600"/>
          </w:tcPr>
          <w:p>
            <w:r>
              <w:rPr>
                <w:b w:val="false"/>
                <w:bCs w:val="false"/>
              </w:rPr>
              <w:t xml:space="preserve">Copy number</w:t>
            </w:r>
          </w:p>
        </w:tc>
        <w:tc>
          <w:tcPr>
            <w:tcW w:type="dxa" w:w="3800"/>
          </w:tcPr>
          <w:p>
            <w:r>
              <w:rPr>
                <w:b w:val="false"/>
                <w:bCs w:val="false"/>
              </w:rPr>
              <w:t xml:space="preserve">OmicsCNGeneWGS.csv</w:t>
            </w:r>
          </w:p>
        </w:tc>
        <w:tc>
          <w:tcPr>
            <w:tcW w:type="dxa" w:w="3400"/>
          </w:tcPr>
          <w:p>
            <w:r>
              <w:rPr>
                <w:b w:val="false"/>
                <w:bCs w:val="false"/>
              </w:rPr>
              <w:t xml:space="preserve">Linear-scale relative copy number (v2.8 addition)</w:t>
            </w:r>
          </w:p>
        </w:tc>
      </w:tr>
      <w:tr>
        <w:tc>
          <w:tcPr>
            <w:tcW w:type="dxa" w:w="2600"/>
          </w:tcPr>
          <w:p>
            <w:r>
              <w:rPr>
                <w:b w:val="false"/>
                <w:bCs w:val="false"/>
              </w:rPr>
              <w:t xml:space="preserve">Model metadata</w:t>
            </w:r>
          </w:p>
        </w:tc>
        <w:tc>
          <w:tcPr>
            <w:tcW w:type="dxa" w:w="3800"/>
          </w:tcPr>
          <w:p>
            <w:r>
              <w:rPr>
                <w:b w:val="false"/>
                <w:bCs w:val="false"/>
              </w:rPr>
              <w:t xml:space="preserve">Model.csv</w:t>
            </w:r>
          </w:p>
        </w:tc>
        <w:tc>
          <w:tcPr>
            <w:tcW w:type="dxa" w:w="3400"/>
          </w:tcPr>
          <w:p>
            <w:r>
              <w:rPr>
                <w:b w:val="false"/>
                <w:bCs w:val="false"/>
              </w:rPr>
              <w:t xml:space="preserve">Cell-line/tissue (OncotreeLineage) info for tissue adjustment</w:t>
            </w:r>
          </w:p>
        </w:tc>
      </w:tr>
      <w:tr>
        <w:tc>
          <w:tcPr>
            <w:tcW w:type="dxa" w:w="2600"/>
          </w:tcPr>
          <w:p>
            <w:r>
              <w:rPr>
                <w:b w:val="false"/>
                <w:bCs w:val="false"/>
              </w:rPr>
              <w:t xml:space="preserve">Compounds</w:t>
            </w:r>
          </w:p>
        </w:tc>
        <w:tc>
          <w:tcPr>
            <w:tcW w:type="dxa" w:w="3800"/>
          </w:tcPr>
          <w:p>
            <w:r>
              <w:rPr>
                <w:b w:val="false"/>
                <w:bCs w:val="false"/>
              </w:rPr>
              <w:t xml:space="preserve">PortalCompounds.csv</w:t>
            </w:r>
          </w:p>
        </w:tc>
        <w:tc>
          <w:tcPr>
            <w:tcW w:type="dxa" w:w="3400"/>
          </w:tcPr>
          <w:p>
            <w:r>
              <w:rPr>
                <w:b w:val="false"/>
                <w:bCs w:val="false"/>
              </w:rPr>
              <w:t xml:space="preserve">Druggability lookup (informational)</w:t>
            </w:r>
          </w:p>
        </w:tc>
      </w:tr>
      <w:tr>
        <w:tc>
          <w:tcPr>
            <w:tcW w:type="dxa" w:w="2600"/>
          </w:tcPr>
          <w:p>
            <w:r>
              <w:rPr>
                <w:b w:val="false"/>
                <w:bCs w:val="false"/>
              </w:rPr>
              <w:t xml:space="preserve">Paralog mapping</w:t>
            </w:r>
          </w:p>
        </w:tc>
        <w:tc>
          <w:tcPr>
            <w:tcW w:type="dxa" w:w="3800"/>
          </w:tcPr>
          <w:p>
            <w:r>
              <w:rPr>
                <w:b w:val="false"/>
                <w:bCs w:val="false"/>
              </w:rPr>
              <w:t xml:space="preserve">mart_export.txt (Ensembl BioMart)</w:t>
            </w:r>
          </w:p>
        </w:tc>
        <w:tc>
          <w:tcPr>
            <w:tcW w:type="dxa" w:w="3400"/>
          </w:tcPr>
          <w:p>
            <w:r>
              <w:rPr>
                <w:b w:val="false"/>
                <w:bCs w:val="false"/>
              </w:rPr>
              <w:t xml:space="preserve">Known paralog pairs + % sequence identity</w:t>
            </w:r>
          </w:p>
        </w:tc>
      </w:tr>
      <w:tr>
        <w:tc>
          <w:tcPr>
            <w:tcW w:type="dxa" w:w="2600"/>
          </w:tcPr>
          <w:p>
            <w:r>
              <w:rPr>
                <w:b w:val="false"/>
                <w:bCs w:val="false"/>
              </w:rPr>
              <w:t xml:space="preserve">COSMIC Cancer Gene Census</w:t>
            </w:r>
          </w:p>
        </w:tc>
        <w:tc>
          <w:tcPr>
            <w:tcW w:type="dxa" w:w="3800"/>
          </w:tcPr>
          <w:p>
            <w:r>
              <w:rPr>
                <w:b w:val="false"/>
                <w:bCs w:val="false"/>
              </w:rPr>
              <w:t xml:space="preserve">Census_all*.csv (optional)</w:t>
            </w:r>
          </w:p>
        </w:tc>
        <w:tc>
          <w:tcPr>
            <w:tcW w:type="dxa" w:w="3400"/>
          </w:tcPr>
          <w:p>
            <w:r>
              <w:rPr>
                <w:b w:val="false"/>
                <w:bCs w:val="false"/>
              </w:rPr>
              <w:t xml:space="preserve">v2.9: informational TSG/oncogene role badge only</w:t>
            </w:r>
          </w:p>
        </w:tc>
      </w:tr>
    </w:tbl>
    <w:p>
      <w:pPr>
        <w:spacing w:after="200"/>
      </w:pPr>
    </w:p>
    <w:p>
      <w:pPr>
        <w:pStyle w:val="Heading1"/>
        <w:spacing w:after="150" w:before="300"/>
      </w:pPr>
      <w:r>
        <w:t xml:space="preserve">3. Methodology</w:t>
      </w:r>
    </w:p>
    <w:p>
      <w:pPr>
        <w:pStyle w:val="Heading2"/>
        <w:spacing w:after="120" w:before="240"/>
      </w:pPr>
      <w:r>
        <w:t xml:space="preserve">3.1 Gene loss definition (multi-modal, v2.8)</w:t>
      </w:r>
    </w:p>
    <w:p>
      <w:pPr>
        <w:spacing w:after="120"/>
      </w:pPr>
      <w:r>
        <w:t xml:space="preserve">A gene is called "lost" in a given cell line if ANY of the following hold: (1) damaging mutation present, (2) expression Z-score &lt; -1.5 relative to the gene's own distribution, or (3) copy-number ratio &lt; 0.5 (linear scale, diploid ~1.0). This mirrors DAISY-style multi-modal inactivation definitions and specifically captures copy-number-only deletions (e.g. ARID1A-style cases) that mutation- or expression-only definitions would miss. A breakdown function reports how many cell lines were flagged by each individual criterion vs. multiple criteria, for transparency.</w:t>
      </w:r>
    </w:p>
    <w:p>
      <w:pPr>
        <w:pStyle w:val="Heading2"/>
        <w:spacing w:after="120" w:before="240"/>
      </w:pPr>
      <w:r>
        <w:t xml:space="preserve">3.2 Functional Redundancy (FR) pipeline</w:t>
      </w:r>
    </w:p>
    <w:p>
      <w:pPr>
        <w:spacing w:after="120"/>
      </w:pPr>
      <w:r>
        <w:t xml:space="preserve">Core tests (all three considered together):</w:t>
      </w:r>
    </w:p>
    <w:p>
      <w:pPr>
        <w:pStyle w:val="ListParagraph"/>
        <w:numPr>
          <w:ilvl w:val="0"/>
          <w:numId w:val="1"/>
        </w:numPr>
        <w:spacing w:after="60"/>
      </w:pPr>
      <w:r>
        <w:t xml:space="preserve">Single-Gene Non-Essentiality — both genes' median dependency score must be above -0.5 (i.e. individually non-essential); this is a gate, not a scored test.</w:t>
      </w:r>
    </w:p>
    <w:p>
      <w:pPr>
        <w:pStyle w:val="ListParagraph"/>
        <w:numPr>
          <w:ilvl w:val="0"/>
          <w:numId w:val="1"/>
        </w:numPr>
        <w:spacing w:after="60"/>
      </w:pPr>
      <w:r>
        <w:t xml:space="preserve">Reciprocal Compensation — tests, in both directions (A-loss→B-dependency and B-loss→A-dependency), whether loss of one gene increases dependency on the other. Tissue-stratified where possible (Fisher's combined-p across tissues with ≥5 loss / ≥10 intact samples per tissue); falls back to a pan-cancer Wilcoxon test if no single tissue has enough samples (v2.12). A pair "passes" fully only if both directions are individually significant (p&lt;0.05, one-sided, effect in the expected direction); "partial" if only one direction passes.</w:t>
      </w:r>
    </w:p>
    <w:p>
      <w:pPr>
        <w:pStyle w:val="ListParagraph"/>
        <w:numPr>
          <w:ilvl w:val="0"/>
          <w:numId w:val="1"/>
        </w:numPr>
        <w:spacing w:after="60"/>
      </w:pPr>
      <w:r>
        <w:t xml:space="preserve">Compensatory Expression — Spearman correlation between the two genes' expression; |ρ|≥threshold and p&lt;0.05 required.</w:t>
      </w:r>
    </w:p>
    <w:p>
      <w:pPr>
        <w:spacing w:after="120"/>
      </w:pPr>
      <w:r>
        <w:t xml:space="preserve">Supporting tests (context, and partial input to the decision — see 3.4):</w:t>
      </w:r>
    </w:p>
    <w:p>
      <w:pPr>
        <w:pStyle w:val="ListParagraph"/>
        <w:numPr>
          <w:ilvl w:val="0"/>
          <w:numId w:val="1"/>
        </w:numPr>
        <w:spacing w:after="60"/>
      </w:pPr>
      <w:r>
        <w:t xml:space="preserve">Paralogy — is this a known paralog pair (Ensembl BioMart), informational + partial decision input.</w:t>
      </w:r>
    </w:p>
    <w:p>
      <w:pPr>
        <w:pStyle w:val="ListParagraph"/>
        <w:numPr>
          <w:ilvl w:val="0"/>
          <w:numId w:val="1"/>
        </w:numPr>
        <w:spacing w:after="60"/>
      </w:pPr>
      <w:r>
        <w:t xml:space="preserve">Conditional Co-Essentiality — Spearman correlation between the two genes' dependency scores, restricted to cell lines where at least one gene shows meaningful dependency (dep&lt;-0.2). Sign was flipped in v2.13: literature (De Kegel &amp; Ryan 2019, PLOS Genetics) and this project's own benchmark (4/6 FR-positive pairs, ρ -0.35 to -0.51) show genuine FR pairs have a NEGATIVE dependency-dependency correlation (paralog-buffering trade-off), not positive.</w:t>
      </w:r>
    </w:p>
    <w:p>
      <w:pPr>
        <w:pStyle w:val="ListParagraph"/>
        <w:numPr>
          <w:ilvl w:val="0"/>
          <w:numId w:val="1"/>
        </w:numPr>
        <w:spacing w:after="60"/>
      </w:pPr>
      <w:r>
        <w:t xml:space="preserve">Compensatory Dependency — Spearman correlation between raw dependency scores across all cell lines (broader, unrestricted version of the above); retained for display/context but excluded from the decision-driving support count as of v2.13 because its effect sizes were found too small to ever clear threshold in true FR positives.</w:t>
      </w:r>
    </w:p>
    <w:p>
      <w:pPr>
        <w:pStyle w:val="ListParagraph"/>
        <w:numPr>
          <w:ilvl w:val="0"/>
          <w:numId w:val="1"/>
        </w:numPr>
        <w:spacing w:after="60"/>
      </w:pPr>
      <w:r>
        <w:t xml:space="preserve">Compensatory Upregulation on Loss (new in v2.13) — tests, per direction, whether the surviving gene's expression rises specifically in cell lines where its partner is lost (Wilcoxon, one-sided), based on the transcriptional-adaptation literature (El-Brolosy et al. 2019, Nature; confirmed genome-wide in CRISPR data, Genome Biology 2023/2024). This is a more direct test of compensatory response than baseline co-expression.</w:t>
      </w:r>
    </w:p>
    <w:p>
      <w:pPr>
        <w:pStyle w:val="Heading2"/>
        <w:spacing w:after="120" w:before="240"/>
      </w:pPr>
      <w:r>
        <w:t xml:space="preserve">3.3 Synthetic Lethality (SL) pipeline</w:t>
      </w:r>
    </w:p>
    <w:p>
      <w:pPr>
        <w:spacing w:after="120"/>
      </w:pPr>
      <w:r>
        <w:t xml:space="preserve">Direction-driven classification — explicitly does NOT use a median-dependency-based tumor-suppressor/oncogene heuristic (an earlier review flagged that approach as biologically invalid, since dependency score measures essentiality, not cancer role; this codebase was confirmed to already decide SL direction purely from empirical evidence).</w:t>
      </w:r>
    </w:p>
    <w:p>
      <w:pPr>
        <w:pStyle w:val="ListParagraph"/>
        <w:numPr>
          <w:ilvl w:val="0"/>
          <w:numId w:val="1"/>
        </w:numPr>
        <w:spacing w:after="60"/>
      </w:pPr>
      <w:r>
        <w:t xml:space="preserve">Core tests (both directions): Differential Essentiality — tissue-adjusted linear regression of dependency on loss-status, requiring p&lt;0.05 (one-sided, direction-correct) AND partial Cohen's d ≥ threshold. Symmetric pass (both directions) → "Synthetic Lethal"; one direction only → "Synthetic Lethal (moderate)."</w:t>
      </w:r>
    </w:p>
    <w:p>
      <w:pPr>
        <w:pStyle w:val="ListParagraph"/>
        <w:numPr>
          <w:ilvl w:val="0"/>
          <w:numId w:val="1"/>
        </w:numPr>
        <w:spacing w:after="60"/>
      </w:pPr>
      <w:r>
        <w:t xml:space="preserve">Supporting tests: SL Score (Fisher's exact test on co-occurrence of "selectively essential" status, OR≥2.0 required), Mutual Exclusivity (Fisher's exact, one-sided, on mutation co-occurrence), Coexpression (informational only, never required).</w:t>
      </w:r>
    </w:p>
    <w:p>
      <w:pPr>
        <w:pStyle w:val="Heading2"/>
        <w:spacing w:after="120" w:before="240"/>
      </w:pPr>
      <w:r>
        <w:t xml:space="preserve">3.4 FR decision logic (branch structure)</w:t>
      </w:r>
    </w:p>
    <w:p>
      <w:pPr>
        <w:spacing w:after="120"/>
      </w:pPr>
      <w:r>
        <w:t xml:space="preserve">If the non-essentiality gate fails → "Not Functionally Redundant" (gate). Otherwise:</w:t>
      </w:r>
    </w:p>
    <w:p>
      <w:pPr>
        <w:pStyle w:val="ListParagraph"/>
        <w:numPr>
          <w:ilvl w:val="0"/>
          <w:numId w:val="1"/>
        </w:numPr>
        <w:spacing w:after="60"/>
      </w:pPr>
      <w:r>
        <w:t xml:space="preserve">Both directions of reciprocal compensation pass AND compensatory expression passes → "Functional Redundancy" (high confidence, all three core tests concordant).</w:t>
      </w:r>
    </w:p>
    <w:p>
      <w:pPr>
        <w:pStyle w:val="ListParagraph"/>
        <w:numPr>
          <w:ilvl w:val="0"/>
          <w:numId w:val="1"/>
        </w:numPr>
        <w:spacing w:after="60"/>
      </w:pPr>
      <w:r>
        <w:t xml:space="preserve">Both directions pass but compensatory expression does not → "Functional Redundancy (moderate)" — core signal alone is treated as sufficient, with confidence text distinguishing whether independent (non-paralogy) support corroborates it.</w:t>
      </w:r>
    </w:p>
    <w:p>
      <w:pPr>
        <w:pStyle w:val="ListParagraph"/>
        <w:numPr>
          <w:ilvl w:val="0"/>
          <w:numId w:val="1"/>
        </w:numPr>
        <w:spacing w:after="60"/>
      </w:pPr>
      <w:r>
        <w:t xml:space="preserve">Only one direction passes ("recip_partial") → an "effective support" count is computed as decision-driving support (conditional co-essentiality + compensatory upregulation on loss) PLUS 1 if the pair is a known paralog (v2.14 design: literature shows asymmetric/one-directional buffering is the norm for real paralog pairs, not an edge case, so a corroborated one-directional signal is promoted rather than downgraded). effective_support≥2 → "Functional Redundancy (moderate)"; ==1 → "Borderline FR"; ==0 → "Not Functionally Redundant."</w:t>
      </w:r>
    </w:p>
    <w:p>
      <w:pPr>
        <w:pStyle w:val="ListParagraph"/>
        <w:numPr>
          <w:ilvl w:val="0"/>
          <w:numId w:val="1"/>
        </w:numPr>
        <w:spacing w:after="60"/>
      </w:pPr>
      <w:r>
        <w:t xml:space="preserve">Neither direction passes → "Not Functionally Redundant" (no reciprocal-compensation signal).</w:t>
      </w:r>
    </w:p>
    <w:p>
      <w:pPr>
        <w:pStyle w:val="Heading2"/>
        <w:spacing w:after="120" w:before="240"/>
      </w:pPr>
      <w:r>
        <w:t xml:space="preserve">3.5 Thresholds in use (as of this validation)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E8E8E8" w:val="clear"/>
          </w:tcPr>
          <w:p>
            <w:r>
              <w:rPr>
                <w:b/>
                <w:bCs/>
              </w:rPr>
              <w:t xml:space="preserve">Constant</w:t>
            </w:r>
          </w:p>
        </w:tc>
        <w:tc>
          <w:tcPr>
            <w:tcW w:type="dxa" w:w="1600"/>
            <w:shd w:fill="E8E8E8" w:val="clear"/>
          </w:tcPr>
          <w:p>
            <w:r>
              <w:rPr>
                <w:b/>
                <w:bCs/>
              </w:rPr>
              <w:t xml:space="preserve">Value</w:t>
            </w:r>
          </w:p>
        </w:tc>
        <w:tc>
          <w:tcPr>
            <w:tcW w:type="dxa" w:w="5000"/>
            <w:shd w:fill="E8E8E8" w:val="clear"/>
          </w:tcPr>
          <w:p>
            <w:r>
              <w:rPr>
                <w:b/>
                <w:bCs/>
              </w:rPr>
              <w:t xml:space="preserve">Basis</w:t>
            </w:r>
          </w:p>
        </w:tc>
      </w:tr>
      <w:tr>
        <w:tc>
          <w:tcPr>
            <w:tcW w:type="dxa" w:w="3200"/>
          </w:tcPr>
          <w:p>
            <w:r>
              <w:rPr>
                <w:b w:val="false"/>
                <w:bCs w:val="false"/>
              </w:rPr>
              <w:t xml:space="preserve">ALPHA</w:t>
            </w:r>
          </w:p>
        </w:tc>
        <w:tc>
          <w:tcPr>
            <w:tcW w:type="dxa" w:w="1600"/>
          </w:tcPr>
          <w:p>
            <w:r>
              <w:rPr>
                <w:b w:val="false"/>
                <w:bCs w:val="false"/>
              </w:rPr>
              <w:t xml:space="preserve">0.05</w:t>
            </w:r>
          </w:p>
        </w:tc>
        <w:tc>
          <w:tcPr>
            <w:tcW w:type="dxa" w:w="5000"/>
          </w:tcPr>
          <w:p>
            <w:r>
              <w:rPr>
                <w:b w:val="false"/>
                <w:bCs w:val="false"/>
              </w:rPr>
              <w:t xml:space="preserve">Standard significance threshold</w:t>
            </w:r>
          </w:p>
        </w:tc>
      </w:tr>
      <w:tr>
        <w:tc>
          <w:tcPr>
            <w:tcW w:type="dxa" w:w="3200"/>
          </w:tcPr>
          <w:p>
            <w:r>
              <w:rPr>
                <w:b w:val="false"/>
                <w:bCs w:val="false"/>
              </w:rPr>
              <w:t xml:space="preserve">ESSENTIALITY_CUTOFF</w:t>
            </w:r>
          </w:p>
        </w:tc>
        <w:tc>
          <w:tcPr>
            <w:tcW w:type="dxa" w:w="1600"/>
          </w:tcPr>
          <w:p>
            <w:r>
              <w:rPr>
                <w:b w:val="false"/>
                <w:bCs w:val="false"/>
              </w:rPr>
              <w:t xml:space="preserve">-0.5</w:t>
            </w:r>
          </w:p>
        </w:tc>
        <w:tc>
          <w:tcPr>
            <w:tcW w:type="dxa" w:w="5000"/>
          </w:tcPr>
          <w:p>
            <w:r>
              <w:rPr>
                <w:b w:val="false"/>
                <w:bCs w:val="false"/>
              </w:rPr>
              <w:t xml:space="preserve">DepMap standard for "essential"</w:t>
            </w:r>
          </w:p>
        </w:tc>
      </w:tr>
      <w:tr>
        <w:tc>
          <w:tcPr>
            <w:tcW w:type="dxa" w:w="3200"/>
          </w:tcPr>
          <w:p>
            <w:r>
              <w:rPr>
                <w:b w:val="false"/>
                <w:bCs w:val="false"/>
              </w:rPr>
              <w:t xml:space="preserve">COHEN_D_THRESHOLD</w:t>
            </w:r>
          </w:p>
        </w:tc>
        <w:tc>
          <w:tcPr>
            <w:tcW w:type="dxa" w:w="1600"/>
          </w:tcPr>
          <w:p>
            <w:r>
              <w:rPr>
                <w:b w:val="false"/>
                <w:bCs w:val="false"/>
              </w:rPr>
              <w:t xml:space="preserve">0.35</w:t>
            </w:r>
          </w:p>
        </w:tc>
        <w:tc>
          <w:tcPr>
            <w:tcW w:type="dxa" w:w="5000"/>
          </w:tcPr>
          <w:p>
            <w:r>
              <w:rPr>
                <w:b w:val="false"/>
                <w:bCs w:val="false"/>
              </w:rPr>
              <w:t xml:space="preserve">v2.2: recalibrated down from 0.5 for genome-scale noisy data; used when tissue adjustment unavailable</w:t>
            </w:r>
          </w:p>
        </w:tc>
      </w:tr>
      <w:tr>
        <w:tc>
          <w:tcPr>
            <w:tcW w:type="dxa" w:w="3200"/>
          </w:tcPr>
          <w:p>
            <w:r>
              <w:rPr>
                <w:b w:val="false"/>
                <w:bCs w:val="false"/>
              </w:rPr>
              <w:t xml:space="preserve">PARTIAL_COHEN_D_THRESHOLD</w:t>
            </w:r>
          </w:p>
        </w:tc>
        <w:tc>
          <w:tcPr>
            <w:tcW w:type="dxa" w:w="1600"/>
          </w:tcPr>
          <w:p>
            <w:r>
              <w:rPr>
                <w:b w:val="false"/>
                <w:bCs w:val="false"/>
              </w:rPr>
              <w:t xml:space="preserve">0.25</w:t>
            </w:r>
          </w:p>
        </w:tc>
        <w:tc>
          <w:tcPr>
            <w:tcW w:type="dxa" w:w="5000"/>
          </w:tcPr>
          <w:p>
            <w:r>
              <w:rPr>
                <w:b w:val="false"/>
                <w:bCs w:val="false"/>
              </w:rPr>
              <w:t xml:space="preserve">v2.7: lower floor for the tissue-adjusted test, since tissue adjustment already removes cross-lineage baseline noise. Documented in-code as needing benchmark validation before relying on it for a specific panel — which this document provides</w:t>
            </w:r>
          </w:p>
        </w:tc>
      </w:tr>
      <w:tr>
        <w:tc>
          <w:tcPr>
            <w:tcW w:type="dxa" w:w="3200"/>
          </w:tcPr>
          <w:p>
            <w:r>
              <w:rPr>
                <w:b w:val="false"/>
                <w:bCs w:val="false"/>
              </w:rPr>
              <w:t xml:space="preserve">CORRELATION_THRESHOLD</w:t>
            </w:r>
          </w:p>
        </w:tc>
        <w:tc>
          <w:tcPr>
            <w:tcW w:type="dxa" w:w="1600"/>
          </w:tcPr>
          <w:p>
            <w:r>
              <w:rPr>
                <w:b w:val="false"/>
                <w:bCs w:val="false"/>
              </w:rPr>
              <w:t xml:space="preserve">0.25</w:t>
            </w:r>
          </w:p>
        </w:tc>
        <w:tc>
          <w:tcPr>
            <w:tcW w:type="dxa" w:w="5000"/>
          </w:tcPr>
          <w:p>
            <w:r>
              <w:rPr>
                <w:b w:val="false"/>
                <w:bCs w:val="false"/>
              </w:rPr>
              <w:t xml:space="preserve">v2.2: recalibrated down from 0.3</w:t>
            </w:r>
          </w:p>
        </w:tc>
      </w:tr>
      <w:tr>
        <w:tc>
          <w:tcPr>
            <w:tcW w:type="dxa" w:w="3200"/>
          </w:tcPr>
          <w:p>
            <w:r>
              <w:rPr>
                <w:b w:val="false"/>
                <w:bCs w:val="false"/>
              </w:rPr>
              <w:t xml:space="preserve">CN_LOSS_THRESHOLD</w:t>
            </w:r>
          </w:p>
        </w:tc>
        <w:tc>
          <w:tcPr>
            <w:tcW w:type="dxa" w:w="1600"/>
          </w:tcPr>
          <w:p>
            <w:r>
              <w:rPr>
                <w:b w:val="false"/>
                <w:bCs w:val="false"/>
              </w:rPr>
              <w:t xml:space="preserve">0.5</w:t>
            </w:r>
          </w:p>
        </w:tc>
        <w:tc>
          <w:tcPr>
            <w:tcW w:type="dxa" w:w="5000"/>
          </w:tcPr>
          <w:p>
            <w:r>
              <w:rPr>
                <w:b w:val="false"/>
                <w:bCs w:val="false"/>
              </w:rPr>
              <w:t xml:space="preserve">v2.8: documented in-code as a starting value pending confirmation against a known frequently-deleted gene (e.g. ARID1A) in the specific data release</w:t>
            </w:r>
          </w:p>
        </w:tc>
      </w:tr>
      <w:tr>
        <w:tc>
          <w:tcPr>
            <w:tcW w:type="dxa" w:w="3200"/>
          </w:tcPr>
          <w:p>
            <w:r>
              <w:rPr>
                <w:b w:val="false"/>
                <w:bCs w:val="false"/>
              </w:rPr>
              <w:t xml:space="preserve">OR_SL_THRESHOLD</w:t>
            </w:r>
          </w:p>
        </w:tc>
        <w:tc>
          <w:tcPr>
            <w:tcW w:type="dxa" w:w="1600"/>
          </w:tcPr>
          <w:p>
            <w:r>
              <w:rPr>
                <w:b w:val="false"/>
                <w:bCs w:val="false"/>
              </w:rPr>
              <w:t xml:space="preserve">2.0</w:t>
            </w:r>
          </w:p>
        </w:tc>
        <w:tc>
          <w:tcPr>
            <w:tcW w:type="dxa" w:w="5000"/>
          </w:tcPr>
          <w:p>
            <w:r>
              <w:rPr>
                <w:b w:val="false"/>
                <w:bCs w:val="false"/>
              </w:rPr>
              <w:t xml:space="preserve">Odds ratio floor for SL Score</w:t>
            </w:r>
          </w:p>
        </w:tc>
      </w:tr>
      <w:tr>
        <w:tc>
          <w:tcPr>
            <w:tcW w:type="dxa" w:w="3200"/>
          </w:tcPr>
          <w:p>
            <w:r>
              <w:rPr>
                <w:b w:val="false"/>
                <w:bCs w:val="false"/>
              </w:rPr>
              <w:t xml:space="preserve">OR_EXCLUSIVITY_THRESHOLD</w:t>
            </w:r>
          </w:p>
        </w:tc>
        <w:tc>
          <w:tcPr>
            <w:tcW w:type="dxa" w:w="1600"/>
          </w:tcPr>
          <w:p>
            <w:r>
              <w:rPr>
                <w:b w:val="false"/>
                <w:bCs w:val="false"/>
              </w:rPr>
              <w:t xml:space="preserve">0.3</w:t>
            </w:r>
          </w:p>
        </w:tc>
        <w:tc>
          <w:tcPr>
            <w:tcW w:type="dxa" w:w="5000"/>
          </w:tcPr>
          <w:p>
            <w:r>
              <w:rPr>
                <w:b w:val="false"/>
                <w:bCs w:val="false"/>
              </w:rPr>
              <w:t xml:space="preserve">Strict OR ceiling for mutual exclusivity</w:t>
            </w:r>
          </w:p>
        </w:tc>
      </w:tr>
    </w:tbl>
    <w:p>
      <w:pPr>
        <w:spacing w:after="200"/>
      </w:pPr>
    </w:p>
    <w:p>
      <w:pPr>
        <w:pStyle w:val="Heading1"/>
        <w:spacing w:after="150" w:before="300"/>
      </w:pPr>
      <w:r>
        <w:t xml:space="preserve">4. Bugs Found and Design Fixes Applied</w:t>
      </w:r>
    </w:p>
    <w:p>
      <w:pPr>
        <w:pStyle w:val="ListParagraph"/>
        <w:numPr>
          <w:ilvl w:val="0"/>
          <w:numId w:val="1"/>
        </w:numPr>
        <w:spacing w:after="60"/>
      </w:pPr>
      <w:r>
        <w:t xml:space="preserve">Gene-role misclassification risk (median-dependency heuristic): reviewed and confirmed this codebase's SL pipeline never used a median-dependency-based TSG/oncogene split (which would be biologically invalid, e.g. would misclassify BRCA1/PARP1). Added a genuine, curated COSMIC Cancer Gene Census layer instead — strictly informational, displayed as a badge, never fed into any test or pass/fail decision (v2.9).</w:t>
      </w:r>
    </w:p>
    <w:p>
      <w:pPr>
        <w:pStyle w:val="ListParagraph"/>
        <w:numPr>
          <w:ilvl w:val="0"/>
          <w:numId w:val="1"/>
        </w:numPr>
        <w:spacing w:after="60"/>
      </w:pPr>
      <w:r>
        <w:t xml:space="preserve">Copy-number-only deletions were invisible to the tool: added CN as a third loss criterion (v2.8), specifically validated against a mock ARID1A-style scenario (cell lines deleted by CN alone, with no mutation flag).</w:t>
      </w:r>
    </w:p>
    <w:p>
      <w:pPr>
        <w:pStyle w:val="ListParagraph"/>
        <w:numPr>
          <w:ilvl w:val="0"/>
          <w:numId w:val="1"/>
        </w:numPr>
        <w:spacing w:after="60"/>
      </w:pPr>
      <w:r>
        <w:t xml:space="preserve">Conditional Co-Essentiality had the wrong sign: was requiring a positive dependency-dependency correlation for FR; corrected to negative based on literature and this project's own benchmark evidence (v2.13).</w:t>
      </w:r>
    </w:p>
    <w:p>
      <w:pPr>
        <w:pStyle w:val="ListParagraph"/>
        <w:numPr>
          <w:ilvl w:val="0"/>
          <w:numId w:val="1"/>
        </w:numPr>
        <w:spacing w:after="60"/>
      </w:pPr>
      <w:r>
        <w:t xml:space="preserve">Decision-driving support was over-counting weak evidence: excluded paralogy and Compensatory Dependency from the "support" count that drives the moderate/borderline decision, since paralogy is non-discriminating in a paralog-enriched candidate pool and Compensatory Dependency's effect sizes were too small to ever clear threshold in genuine positives (v2.13).</w:t>
      </w:r>
    </w:p>
    <w:p>
      <w:pPr>
        <w:pStyle w:val="ListParagraph"/>
        <w:numPr>
          <w:ilvl w:val="0"/>
          <w:numId w:val="1"/>
        </w:numPr>
        <w:spacing w:after="60"/>
      </w:pPr>
      <w:r>
        <w:t xml:space="preserve">One-directional compensation was being under-called: promoted corroborated one-directional (asymmetric) compensation to a real "Functional Redundancy (moderate)" call rather than leaving it at "Borderline," consistent with literature showing asymmetric buffering is the norm, not the exception, for real paralog pairs (v2.14).</w:t>
      </w:r>
    </w:p>
    <w:p>
      <w:pPr>
        <w:pStyle w:val="ListParagraph"/>
        <w:numPr>
          <w:ilvl w:val="0"/>
          <w:numId w:val="1"/>
        </w:numPr>
        <w:spacing w:after="60"/>
      </w:pPr>
      <w:r>
        <w:t xml:space="preserve">Reciprocal compensation testing could fail entirely when mutations were scattered thinly across many tissues: added a pan-cancer Wilcoxon fallback when no single tissue has enough loss+intact samples on its own, rather than returning a forced non-result (v2.12).</w:t>
      </w:r>
    </w:p>
    <w:p>
      <w:pPr>
        <w:pStyle w:val="ListParagraph"/>
        <w:numPr>
          <w:ilvl w:val="0"/>
          <w:numId w:val="1"/>
        </w:numPr>
        <w:spacing w:after="60"/>
      </w:pPr>
      <w:r>
        <w:t xml:space="preserve">Silent data-coverage gaps: genes present in the dependency data but absent from mutation/expression data previously would have looked like "zero mutations" (a false negative) rather than an error. Now raises an explicit, diagnostic error naming the missing gene(s), the missing data source(s), and the most common cause (symbol/alias mismatch).</w:t>
      </w:r>
    </w:p>
    <w:p>
      <w:pPr>
        <w:pStyle w:val="ListParagraph"/>
        <w:numPr>
          <w:ilvl w:val="0"/>
          <w:numId w:val="1"/>
        </w:numPr>
        <w:spacing w:after="60"/>
      </w:pPr>
      <w:r>
        <w:t xml:space="preserve">CN coverage gaps are treated as a soft note rather than a hard stop, since WGS coverage can legitimately be a subset of all sequenced lines — the tool still runs on mutation+expression alone in that case, with a note attached to the result.</w:t>
      </w:r>
    </w:p>
    <w:p>
      <w:pPr>
        <w:pStyle w:val="ListParagraph"/>
        <w:numPr>
          <w:ilvl w:val="0"/>
          <w:numId w:val="1"/>
        </w:numPr>
        <w:spacing w:after="60"/>
      </w:pPr>
      <w:r>
        <w:t xml:space="preserve">Biomarker-context misuse prevention: added an explicit error if the user sets the biomarker-context gene to be the same as Gene A or Gene B, since the SL/FR tests already internally compare loss vs. intact groups for the pair itself — pre-filtering to one of those groups would remove the comparison the test needs.</w:t>
      </w:r>
    </w:p>
    <w:p>
      <w:pPr>
        <w:pStyle w:val="Heading1"/>
        <w:spacing w:after="150" w:before="300"/>
      </w:pPr>
      <w:r>
        <w:t xml:space="preserve">5. Benchmark Results</w:t>
      </w:r>
    </w:p>
    <w:p>
      <w:pPr>
        <w:spacing w:after="120"/>
      </w:pPr>
      <w:r>
        <w:t xml:space="preserve">Benchmark set: 403 candidate gene pairs. 33/403 (~8%) failed to run due to missing-gene/data-coverage gaps and were excluded from scoring (disclosed explicitly by the benchmark script, not hidden).</w:t>
      </w:r>
    </w:p>
    <w:p>
      <w:pPr>
        <w:pStyle w:val="Heading2"/>
        <w:spacing w:after="120" w:before="240"/>
      </w:pPr>
      <w:r>
        <w:t xml:space="preserve">5.1 FR — primary validation (Dede/Hart wet-lab-grounded ground truth)</w:t>
      </w:r>
    </w:p>
    <w:p>
      <w:pPr>
        <w:spacing w:after="120"/>
      </w:pPr>
      <w:r>
        <w:t xml:space="preserve">Contingency table (predicted call × ground truth), ambiguous/1-cell-line-only labels excluded: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200"/>
            <w:shd w:fill="E8E8E8" w:val="clear"/>
          </w:tcPr>
          <w:p>
            <w:r>
              <w:rPr>
                <w:b/>
                <w:bCs/>
              </w:rPr>
              <w:t xml:space="preserve">Predicted</w:t>
            </w:r>
          </w:p>
        </w:tc>
        <w:tc>
          <w:tcPr>
            <w:tcW w:type="dxa" w:w="2800"/>
            <w:shd w:fill="E8E8E8" w:val="clear"/>
          </w:tcPr>
          <w:p>
            <w:r>
              <w:rPr>
                <w:b/>
                <w:bCs/>
              </w:rPr>
              <w:t xml:space="preserve">FR_negative</w:t>
            </w:r>
          </w:p>
        </w:tc>
        <w:tc>
          <w:tcPr>
            <w:tcW w:type="dxa" w:w="2800"/>
            <w:shd w:fill="E8E8E8" w:val="clear"/>
          </w:tcPr>
          <w:p>
            <w:r>
              <w:rPr>
                <w:b/>
                <w:bCs/>
              </w:rPr>
              <w:t xml:space="preserve">FR_positive</w:t>
            </w:r>
          </w:p>
        </w:tc>
      </w:tr>
      <w:tr>
        <w:tc>
          <w:tcPr>
            <w:tcW w:type="dxa" w:w="4200"/>
          </w:tcPr>
          <w:p>
            <w:r>
              <w:rPr>
                <w:b w:val="false"/>
                <w:bCs w:val="false"/>
              </w:rPr>
              <w:t xml:space="preserve">Borderline FR</w:t>
            </w:r>
          </w:p>
        </w:tc>
        <w:tc>
          <w:tcPr>
            <w:tcW w:type="dxa" w:w="2800"/>
          </w:tcPr>
          <w:p>
            <w:r>
              <w:rPr>
                <w:b w:val="false"/>
                <w:bCs w:val="false"/>
              </w:rPr>
              <w:t xml:space="preserve">16</w:t>
            </w:r>
          </w:p>
        </w:tc>
        <w:tc>
          <w:tcPr>
            <w:tcW w:type="dxa" w:w="2800"/>
          </w:tcPr>
          <w:p>
            <w:r>
              <w:rPr>
                <w:b w:val="false"/>
                <w:bCs w:val="false"/>
              </w:rPr>
              <w:t xml:space="preserve">2</w:t>
            </w:r>
          </w:p>
        </w:tc>
      </w:tr>
      <w:tr>
        <w:tc>
          <w:tcPr>
            <w:tcW w:type="dxa" w:w="4200"/>
          </w:tcPr>
          <w:p>
            <w:r>
              <w:rPr>
                <w:b w:val="false"/>
                <w:bCs w:val="false"/>
              </w:rPr>
              <w:t xml:space="preserve">Functional Redundancy</w:t>
            </w:r>
          </w:p>
        </w:tc>
        <w:tc>
          <w:tcPr>
            <w:tcW w:type="dxa" w:w="2800"/>
          </w:tcPr>
          <w:p>
            <w:r>
              <w:rPr>
                <w:b w:val="false"/>
                <w:bCs w:val="false"/>
              </w:rPr>
              <w:t xml:space="preserve">3</w:t>
            </w:r>
          </w:p>
        </w:tc>
        <w:tc>
          <w:tcPr>
            <w:tcW w:type="dxa" w:w="2800"/>
          </w:tcPr>
          <w:p>
            <w:r>
              <w:rPr>
                <w:b w:val="false"/>
                <w:bCs w:val="false"/>
              </w:rPr>
              <w:t xml:space="preserve">0</w:t>
            </w:r>
          </w:p>
        </w:tc>
      </w:tr>
      <w:tr>
        <w:tc>
          <w:tcPr>
            <w:tcW w:type="dxa" w:w="4200"/>
          </w:tcPr>
          <w:p>
            <w:r>
              <w:rPr>
                <w:b w:val="false"/>
                <w:bCs w:val="false"/>
              </w:rPr>
              <w:t xml:space="preserve">Functional Redundancy (moderate)</w:t>
            </w:r>
          </w:p>
        </w:tc>
        <w:tc>
          <w:tcPr>
            <w:tcW w:type="dxa" w:w="2800"/>
          </w:tcPr>
          <w:p>
            <w:r>
              <w:rPr>
                <w:b w:val="false"/>
                <w:bCs w:val="false"/>
              </w:rPr>
              <w:t xml:space="preserve">30</w:t>
            </w:r>
          </w:p>
        </w:tc>
        <w:tc>
          <w:tcPr>
            <w:tcW w:type="dxa" w:w="2800"/>
          </w:tcPr>
          <w:p>
            <w:r>
              <w:rPr>
                <w:b w:val="false"/>
                <w:bCs w:val="false"/>
              </w:rPr>
              <w:t xml:space="preserve">5</w:t>
            </w:r>
          </w:p>
        </w:tc>
      </w:tr>
      <w:tr>
        <w:tc>
          <w:tcPr>
            <w:tcW w:type="dxa" w:w="4200"/>
          </w:tcPr>
          <w:p>
            <w:r>
              <w:rPr>
                <w:b w:val="false"/>
                <w:bCs w:val="false"/>
              </w:rPr>
              <w:t xml:space="preserve">Not Functionally Redundant</w:t>
            </w:r>
          </w:p>
        </w:tc>
        <w:tc>
          <w:tcPr>
            <w:tcW w:type="dxa" w:w="2800"/>
          </w:tcPr>
          <w:p>
            <w:r>
              <w:rPr>
                <w:b w:val="false"/>
                <w:bCs w:val="false"/>
              </w:rPr>
              <w:t xml:space="preserve">300</w:t>
            </w:r>
          </w:p>
        </w:tc>
        <w:tc>
          <w:tcPr>
            <w:tcW w:type="dxa" w:w="2800"/>
          </w:tcPr>
          <w:p>
            <w:r>
              <w:rPr>
                <w:b w:val="false"/>
                <w:bCs w:val="false"/>
              </w:rPr>
              <w:t xml:space="preserve">9</w:t>
            </w:r>
          </w:p>
        </w:tc>
      </w:tr>
    </w:tbl>
    <w:p>
      <w:pPr>
        <w:spacing w:after="150"/>
      </w:pPr>
    </w:p>
    <w:p>
      <w:pPr>
        <w:pStyle w:val="ListParagraph"/>
        <w:numPr>
          <w:ilvl w:val="0"/>
          <w:numId w:val="1"/>
        </w:numPr>
        <w:spacing w:after="60"/>
      </w:pPr>
      <w:r>
        <w:t xml:space="preserve">Strict (FR + moderate counted as positive): TP=5, FP=33, FN=11, TN=316 → Precision=13.2%, Recall=31.2%, Specificity=90.5%</w:t>
      </w:r>
    </w:p>
    <w:p>
      <w:pPr>
        <w:pStyle w:val="ListParagraph"/>
        <w:numPr>
          <w:ilvl w:val="0"/>
          <w:numId w:val="1"/>
        </w:numPr>
        <w:spacing w:after="60"/>
      </w:pPr>
      <w:r>
        <w:t xml:space="preserve">Lenient (+ Borderline FR counted as positive): TP=7, FP=49, FN=9, TN=300 → Precision=12.5%, Recall=43.8%, Specificity=86.0%</w:t>
      </w:r>
    </w:p>
    <w:p>
      <w:pPr>
        <w:pStyle w:val="Heading2"/>
        <w:spacing w:after="120" w:before="240"/>
      </w:pPr>
      <w:r>
        <w:t xml:space="preserve">5.2 SL — secondary check (De Kegel/DepMap-derived labels)</w:t>
      </w:r>
    </w:p>
    <w:p>
      <w:pPr>
        <w:spacing w:after="120"/>
      </w:pPr>
      <w:r>
        <w:t xml:space="preserve">Explicitly a secondary, non-independent check: the ground-truth labels here are DepMap-derived, the same underlying data type as the tool's own tests, so this is not treated as headline validation.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200"/>
            <w:shd w:fill="E8E8E8" w:val="clear"/>
          </w:tcPr>
          <w:p>
            <w:r>
              <w:rPr>
                <w:b/>
                <w:bCs/>
              </w:rPr>
              <w:t xml:space="preserve">Predicted</w:t>
            </w:r>
          </w:p>
        </w:tc>
        <w:tc>
          <w:tcPr>
            <w:tcW w:type="dxa" w:w="2800"/>
            <w:shd w:fill="E8E8E8" w:val="clear"/>
          </w:tcPr>
          <w:p>
            <w:r>
              <w:rPr>
                <w:b/>
                <w:bCs/>
              </w:rPr>
              <w:t xml:space="preserve">False</w:t>
            </w:r>
          </w:p>
        </w:tc>
        <w:tc>
          <w:tcPr>
            <w:tcW w:type="dxa" w:w="2800"/>
            <w:shd w:fill="E8E8E8" w:val="clear"/>
          </w:tcPr>
          <w:p>
            <w:r>
              <w:rPr>
                <w:b/>
                <w:bCs/>
              </w:rPr>
              <w:t xml:space="preserve">True</w:t>
            </w:r>
          </w:p>
        </w:tc>
      </w:tr>
      <w:tr>
        <w:tc>
          <w:tcPr>
            <w:tcW w:type="dxa" w:w="4200"/>
          </w:tcPr>
          <w:p>
            <w:r>
              <w:rPr>
                <w:b w:val="false"/>
                <w:bCs w:val="false"/>
              </w:rPr>
              <w:t xml:space="preserve">Not Synthetic Lethal</w:t>
            </w:r>
          </w:p>
        </w:tc>
        <w:tc>
          <w:tcPr>
            <w:tcW w:type="dxa" w:w="2800"/>
          </w:tcPr>
          <w:p>
            <w:r>
              <w:rPr>
                <w:b w:val="false"/>
                <w:bCs w:val="false"/>
              </w:rPr>
              <w:t xml:space="preserve">121</w:t>
            </w:r>
          </w:p>
        </w:tc>
        <w:tc>
          <w:tcPr>
            <w:tcW w:type="dxa" w:w="2800"/>
          </w:tcPr>
          <w:p>
            <w:r>
              <w:rPr>
                <w:b w:val="false"/>
                <w:bCs w:val="false"/>
              </w:rPr>
              <w:t xml:space="preserve">4</w:t>
            </w:r>
          </w:p>
        </w:tc>
      </w:tr>
      <w:tr>
        <w:tc>
          <w:tcPr>
            <w:tcW w:type="dxa" w:w="4200"/>
          </w:tcPr>
          <w:p>
            <w:r>
              <w:rPr>
                <w:b w:val="false"/>
                <w:bCs w:val="false"/>
              </w:rPr>
              <w:t xml:space="preserve">Synthetic Lethal</w:t>
            </w:r>
          </w:p>
        </w:tc>
        <w:tc>
          <w:tcPr>
            <w:tcW w:type="dxa" w:w="2800"/>
          </w:tcPr>
          <w:p>
            <w:r>
              <w:rPr>
                <w:b w:val="false"/>
                <w:bCs w:val="false"/>
              </w:rPr>
              <w:t xml:space="preserve">2</w:t>
            </w:r>
          </w:p>
        </w:tc>
        <w:tc>
          <w:tcPr>
            <w:tcW w:type="dxa" w:w="2800"/>
          </w:tcPr>
          <w:p>
            <w:r>
              <w:rPr>
                <w:b w:val="false"/>
                <w:bCs w:val="false"/>
              </w:rPr>
              <w:t xml:space="preserve">3</w:t>
            </w:r>
          </w:p>
        </w:tc>
      </w:tr>
      <w:tr>
        <w:tc>
          <w:tcPr>
            <w:tcW w:type="dxa" w:w="4200"/>
          </w:tcPr>
          <w:p>
            <w:r>
              <w:rPr>
                <w:b w:val="false"/>
                <w:bCs w:val="false"/>
              </w:rPr>
              <w:t xml:space="preserve">Synthetic Lethal (moderate)</w:t>
            </w:r>
          </w:p>
        </w:tc>
        <w:tc>
          <w:tcPr>
            <w:tcW w:type="dxa" w:w="2800"/>
          </w:tcPr>
          <w:p>
            <w:r>
              <w:rPr>
                <w:b w:val="false"/>
                <w:bCs w:val="false"/>
              </w:rPr>
              <w:t xml:space="preserve">13</w:t>
            </w:r>
          </w:p>
        </w:tc>
        <w:tc>
          <w:tcPr>
            <w:tcW w:type="dxa" w:w="2800"/>
          </w:tcPr>
          <w:p>
            <w:r>
              <w:rPr>
                <w:b w:val="false"/>
                <w:bCs w:val="false"/>
              </w:rPr>
              <w:t xml:space="preserve">7</w:t>
            </w:r>
          </w:p>
        </w:tc>
      </w:tr>
    </w:tbl>
    <w:p>
      <w:pPr>
        <w:spacing w:after="150"/>
      </w:pPr>
    </w:p>
    <w:p>
      <w:pPr>
        <w:pStyle w:val="ListParagraph"/>
        <w:numPr>
          <w:ilvl w:val="0"/>
          <w:numId w:val="1"/>
        </w:numPr>
        <w:spacing w:after="60"/>
      </w:pPr>
      <w:r>
        <w:t xml:space="preserve">Strict (SL + moderate counted as positive): TP=10, FP=15, FN=4, TN=121 → Precision=40.0%, Recall=71.4%, Specificity=89.0%</w:t>
      </w:r>
    </w:p>
    <w:p>
      <w:pPr>
        <w:pStyle w:val="Heading1"/>
        <w:spacing w:after="150" w:before="300"/>
      </w:pPr>
      <w:r>
        <w:t xml:space="preserve">6. Diagnostic Investigation into FR Precision (Root-Cause Analysis)</w:t>
      </w:r>
    </w:p>
    <w:p>
      <w:pPr>
        <w:spacing w:after="120"/>
      </w:pPr>
      <w:r>
        <w:t xml:space="preserve">Rather than blindly tuning thresholds, the false positives were diagnosed directly. This section documents that investigation in full, including a tested change that was reverted, because the negative result is itself informative for the paper's Discussion/Limitations.</w:t>
      </w:r>
    </w:p>
    <w:p>
      <w:pPr>
        <w:pStyle w:val="Heading2"/>
        <w:spacing w:after="120" w:before="240"/>
      </w:pPr>
      <w:r>
        <w:t xml:space="preserve">6.1 Branch attribution of false positives</w:t>
      </w:r>
    </w:p>
    <w:p>
      <w:pPr>
        <w:spacing w:after="120"/>
      </w:pPr>
      <w:r>
        <w:t xml:space="preserve">All 49 FP pairs (lenient definition) were re-run with per-pair diagnostics. Result:</w:t>
      </w:r>
    </w:p>
    <w:p>
      <w:pPr>
        <w:pStyle w:val="ListParagraph"/>
        <w:numPr>
          <w:ilvl w:val="0"/>
          <w:numId w:val="1"/>
        </w:numPr>
        <w:spacing w:after="60"/>
      </w:pPr>
      <w:r>
        <w:t xml:space="preserve">5 FPs came from the "recip_full" branch (both directions of reciprocal compensation passed, but were not corroborated).</w:t>
      </w:r>
    </w:p>
    <w:p>
      <w:pPr>
        <w:pStyle w:val="ListParagraph"/>
        <w:numPr>
          <w:ilvl w:val="0"/>
          <w:numId w:val="1"/>
        </w:numPr>
        <w:spacing w:after="60"/>
      </w:pPr>
      <w:r>
        <w:t xml:space="preserve">44 FPs came from the "recip_partial" branch (only one direction passed).</w:t>
      </w:r>
    </w:p>
    <w:p>
      <w:pPr>
        <w:pStyle w:val="ListParagraph"/>
        <w:numPr>
          <w:ilvl w:val="0"/>
          <w:numId w:val="1"/>
        </w:numPr>
        <w:spacing w:after="60"/>
      </w:pPr>
      <w:r>
        <w:t xml:space="preserve">Of those 44, 28 (64%) reached the "Functional Redundancy (moderate)" call only because paralogy status contributed an automatic +1 to the effective-support count — i.e., their genuine, non-paralogy support (conditional co-essentiality + compensatory upregulation on loss) was only 1, which alone would have placed them at "Borderline FR," not a positive call.</w:t>
      </w:r>
    </w:p>
    <w:p>
      <w:pPr>
        <w:pStyle w:val="Heading2"/>
        <w:spacing w:after="120" w:before="240"/>
      </w:pPr>
      <w:r>
        <w:t xml:space="preserve">6.2 Tested intervention: removing the paralogy +1 bonus</w:t>
      </w:r>
    </w:p>
    <w:p>
      <w:pPr>
        <w:spacing w:after="120"/>
      </w:pPr>
      <w:r>
        <w:t xml:space="preserve">Hypothesis: since the code's own design comment states paralogy is "non-discriminating" in a paralog-enriched candidate pool, removing its contribution to effective_support should reduce false positives without materially affecting true positives.</w:t>
      </w:r>
    </w:p>
    <w:p>
      <w:pPr>
        <w:spacing w:after="120"/>
      </w:pPr>
      <w:r>
        <w:t xml:space="preserve">Change tested: effective_support &lt;- n_support_decision + (if (is_paralog_pair) 1 else 0) → effective_support &lt;- n_support_decision.</w:t>
      </w:r>
    </w:p>
    <w:p>
      <w:pPr>
        <w:spacing w:after="120"/>
      </w:pPr>
      <w:r>
        <w:t xml:space="preserve">Result on re-running the full benchmark: TP fell from 5 to 0 (all five previously-correct true positives were lost), FP fell from 33 to 5. The hypothesis was falsified by direct evidence — paralogy status is not purely noise in this candidate pool; the true FR pairs also depend on it, likely because true positives here are themselves paralog-enriched relative to the broader candidate set. The change was reverted; the original scoring (TP=5, FP=33) was retained as the empirically safer state.</w:t>
      </w:r>
    </w:p>
    <w:p>
      <w:pPr>
        <w:pStyle w:val="Heading2"/>
        <w:spacing w:after="120" w:before="240"/>
      </w:pPr>
      <w:r>
        <w:t xml:space="preserve">6.3 Threshold grid check (ruled out effect-size cutoffs as the limiting factor)</w:t>
      </w:r>
    </w:p>
    <w:p>
      <w:pPr>
        <w:spacing w:after="120"/>
      </w:pPr>
      <w:r>
        <w:t xml:space="preserve">A 3-way comparison was run on a stratified ~80-pair subset (all FP + all TP/FN + a 60-pair random sample of TN), holding the branch logic fixed and varying only COHEN_D_THRESHOLD / PARTIAL_COHEN_D_THRESHOLD / CORRELATION_THRESHOLD:</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00"/>
            <w:shd w:fill="E8E8E8" w:val="clear"/>
          </w:tcPr>
          <w:p>
            <w:r>
              <w:rPr>
                <w:b/>
                <w:bCs/>
              </w:rPr>
              <w:t xml:space="preserve">Set</w:t>
            </w:r>
          </w:p>
        </w:tc>
        <w:tc>
          <w:tcPr>
            <w:tcW w:type="dxa" w:w="1400"/>
            <w:shd w:fill="E8E8E8" w:val="clear"/>
          </w:tcPr>
          <w:p>
            <w:r>
              <w:rPr>
                <w:b/>
                <w:bCs/>
              </w:rPr>
              <w:t xml:space="preserve">Cohen's d</w:t>
            </w:r>
          </w:p>
        </w:tc>
        <w:tc>
          <w:tcPr>
            <w:tcW w:type="dxa" w:w="1400"/>
            <w:shd w:fill="E8E8E8" w:val="clear"/>
          </w:tcPr>
          <w:p>
            <w:r>
              <w:rPr>
                <w:b/>
                <w:bCs/>
              </w:rPr>
              <w:t xml:space="preserve">Partial d</w:t>
            </w:r>
          </w:p>
        </w:tc>
        <w:tc>
          <w:tcPr>
            <w:tcW w:type="dxa" w:w="1600"/>
            <w:shd w:fill="E8E8E8" w:val="clear"/>
          </w:tcPr>
          <w:p>
            <w:r>
              <w:rPr>
                <w:b/>
                <w:bCs/>
              </w:rPr>
              <w:t xml:space="preserve">Correlation</w:t>
            </w:r>
          </w:p>
        </w:tc>
        <w:tc>
          <w:tcPr>
            <w:tcW w:type="dxa" w:w="900"/>
            <w:shd w:fill="E8E8E8" w:val="clear"/>
          </w:tcPr>
          <w:p>
            <w:r>
              <w:rPr>
                <w:b/>
                <w:bCs/>
              </w:rPr>
              <w:t xml:space="preserve">TP</w:t>
            </w:r>
          </w:p>
        </w:tc>
        <w:tc>
          <w:tcPr>
            <w:tcW w:type="dxa" w:w="900"/>
            <w:shd w:fill="E8E8E8" w:val="clear"/>
          </w:tcPr>
          <w:p>
            <w:r>
              <w:rPr>
                <w:b/>
                <w:bCs/>
              </w:rPr>
              <w:t xml:space="preserve">FP</w:t>
            </w:r>
          </w:p>
        </w:tc>
        <w:tc>
          <w:tcPr>
            <w:tcW w:type="dxa" w:w="900"/>
            <w:shd w:fill="E8E8E8" w:val="clear"/>
          </w:tcPr>
          <w:p>
            <w:r>
              <w:rPr>
                <w:b/>
                <w:bCs/>
              </w:rPr>
              <w:t xml:space="preserve">FN</w:t>
            </w:r>
          </w:p>
        </w:tc>
        <w:tc>
          <w:tcPr>
            <w:tcW w:type="dxa" w:w="1400"/>
            <w:shd w:fill="E8E8E8" w:val="clear"/>
          </w:tcPr>
          <w:p>
            <w:r>
              <w:rPr>
                <w:b/>
                <w:bCs/>
              </w:rPr>
              <w:t xml:space="preserve">Precision</w:t>
            </w:r>
          </w:p>
        </w:tc>
        <w:tc>
          <w:tcPr>
            <w:tcW w:type="dxa" w:w="1300"/>
            <w:shd w:fill="E8E8E8" w:val="clear"/>
          </w:tcPr>
          <w:p>
            <w:r>
              <w:rPr>
                <w:b/>
                <w:bCs/>
              </w:rPr>
              <w:t xml:space="preserve">Recall</w:t>
            </w:r>
          </w:p>
        </w:tc>
      </w:tr>
      <w:tr>
        <w:tc>
          <w:tcPr>
            <w:tcW w:type="dxa" w:w="1400"/>
          </w:tcPr>
          <w:p>
            <w:r>
              <w:rPr>
                <w:b w:val="false"/>
                <w:bCs w:val="false"/>
              </w:rPr>
              <w:t xml:space="preserve">current</w:t>
            </w:r>
          </w:p>
        </w:tc>
        <w:tc>
          <w:tcPr>
            <w:tcW w:type="dxa" w:w="1400"/>
          </w:tcPr>
          <w:p>
            <w:r>
              <w:rPr>
                <w:b w:val="false"/>
                <w:bCs w:val="false"/>
              </w:rPr>
              <w:t xml:space="preserve">0.35</w:t>
            </w:r>
          </w:p>
        </w:tc>
        <w:tc>
          <w:tcPr>
            <w:tcW w:type="dxa" w:w="1400"/>
          </w:tcPr>
          <w:p>
            <w:r>
              <w:rPr>
                <w:b w:val="false"/>
                <w:bCs w:val="false"/>
              </w:rPr>
              <w:t xml:space="preserve">0.25</w:t>
            </w:r>
          </w:p>
        </w:tc>
        <w:tc>
          <w:tcPr>
            <w:tcW w:type="dxa" w:w="1600"/>
          </w:tcPr>
          <w:p>
            <w:r>
              <w:rPr>
                <w:b w:val="false"/>
                <w:bCs w:val="false"/>
              </w:rPr>
              <w:t xml:space="preserve">0.25</w:t>
            </w:r>
          </w:p>
        </w:tc>
        <w:tc>
          <w:tcPr>
            <w:tcW w:type="dxa" w:w="900"/>
          </w:tcPr>
          <w:p>
            <w:r>
              <w:rPr>
                <w:b w:val="false"/>
                <w:bCs w:val="false"/>
              </w:rPr>
              <w:t xml:space="preserve">5</w:t>
            </w:r>
          </w:p>
        </w:tc>
        <w:tc>
          <w:tcPr>
            <w:tcW w:type="dxa" w:w="900"/>
          </w:tcPr>
          <w:p>
            <w:r>
              <w:rPr>
                <w:b w:val="false"/>
                <w:bCs w:val="false"/>
              </w:rPr>
              <w:t xml:space="preserve">33</w:t>
            </w:r>
          </w:p>
        </w:tc>
        <w:tc>
          <w:tcPr>
            <w:tcW w:type="dxa" w:w="900"/>
          </w:tcPr>
          <w:p>
            <w:r>
              <w:rPr>
                <w:b w:val="false"/>
                <w:bCs w:val="false"/>
              </w:rPr>
              <w:t xml:space="preserve">11</w:t>
            </w:r>
          </w:p>
        </w:tc>
        <w:tc>
          <w:tcPr>
            <w:tcW w:type="dxa" w:w="1400"/>
          </w:tcPr>
          <w:p>
            <w:r>
              <w:rPr>
                <w:b w:val="false"/>
                <w:bCs w:val="false"/>
              </w:rPr>
              <w:t xml:space="preserve">13.2%</w:t>
            </w:r>
          </w:p>
        </w:tc>
        <w:tc>
          <w:tcPr>
            <w:tcW w:type="dxa" w:w="1300"/>
          </w:tcPr>
          <w:p>
            <w:r>
              <w:rPr>
                <w:b w:val="false"/>
                <w:bCs w:val="false"/>
              </w:rPr>
              <w:t xml:space="preserve">31.2%</w:t>
            </w:r>
          </w:p>
        </w:tc>
      </w:tr>
      <w:tr>
        <w:tc>
          <w:tcPr>
            <w:tcW w:type="dxa" w:w="1400"/>
          </w:tcPr>
          <w:p>
            <w:r>
              <w:rPr>
                <w:b w:val="false"/>
                <w:bCs w:val="false"/>
              </w:rPr>
              <w:t xml:space="preserve">tight1</w:t>
            </w:r>
          </w:p>
        </w:tc>
        <w:tc>
          <w:tcPr>
            <w:tcW w:type="dxa" w:w="1400"/>
          </w:tcPr>
          <w:p>
            <w:r>
              <w:rPr>
                <w:b w:val="false"/>
                <w:bCs w:val="false"/>
              </w:rPr>
              <w:t xml:space="preserve">0.45</w:t>
            </w:r>
          </w:p>
        </w:tc>
        <w:tc>
          <w:tcPr>
            <w:tcW w:type="dxa" w:w="1400"/>
          </w:tcPr>
          <w:p>
            <w:r>
              <w:rPr>
                <w:b w:val="false"/>
                <w:bCs w:val="false"/>
              </w:rPr>
              <w:t xml:space="preserve">0.30</w:t>
            </w:r>
          </w:p>
        </w:tc>
        <w:tc>
          <w:tcPr>
            <w:tcW w:type="dxa" w:w="1600"/>
          </w:tcPr>
          <w:p>
            <w:r>
              <w:rPr>
                <w:b w:val="false"/>
                <w:bCs w:val="false"/>
              </w:rPr>
              <w:t xml:space="preserve">0.30</w:t>
            </w:r>
          </w:p>
        </w:tc>
        <w:tc>
          <w:tcPr>
            <w:tcW w:type="dxa" w:w="900"/>
          </w:tcPr>
          <w:p>
            <w:r>
              <w:rPr>
                <w:b w:val="false"/>
                <w:bCs w:val="false"/>
              </w:rPr>
              <w:t xml:space="preserve">4</w:t>
            </w:r>
          </w:p>
        </w:tc>
        <w:tc>
          <w:tcPr>
            <w:tcW w:type="dxa" w:w="900"/>
          </w:tcPr>
          <w:p>
            <w:r>
              <w:rPr>
                <w:b w:val="false"/>
                <w:bCs w:val="false"/>
              </w:rPr>
              <w:t xml:space="preserve">31</w:t>
            </w:r>
          </w:p>
        </w:tc>
        <w:tc>
          <w:tcPr>
            <w:tcW w:type="dxa" w:w="900"/>
          </w:tcPr>
          <w:p>
            <w:r>
              <w:rPr>
                <w:b w:val="false"/>
                <w:bCs w:val="false"/>
              </w:rPr>
              <w:t xml:space="preserve">12</w:t>
            </w:r>
          </w:p>
        </w:tc>
        <w:tc>
          <w:tcPr>
            <w:tcW w:type="dxa" w:w="1400"/>
          </w:tcPr>
          <w:p>
            <w:r>
              <w:rPr>
                <w:b w:val="false"/>
                <w:bCs w:val="false"/>
              </w:rPr>
              <w:t xml:space="preserve">11.4%</w:t>
            </w:r>
          </w:p>
        </w:tc>
        <w:tc>
          <w:tcPr>
            <w:tcW w:type="dxa" w:w="1300"/>
          </w:tcPr>
          <w:p>
            <w:r>
              <w:rPr>
                <w:b w:val="false"/>
                <w:bCs w:val="false"/>
              </w:rPr>
              <w:t xml:space="preserve">25.0%</w:t>
            </w:r>
          </w:p>
        </w:tc>
      </w:tr>
      <w:tr>
        <w:tc>
          <w:tcPr>
            <w:tcW w:type="dxa" w:w="1400"/>
          </w:tcPr>
          <w:p>
            <w:r>
              <w:rPr>
                <w:b w:val="false"/>
                <w:bCs w:val="false"/>
              </w:rPr>
              <w:t xml:space="preserve">tight2</w:t>
            </w:r>
          </w:p>
        </w:tc>
        <w:tc>
          <w:tcPr>
            <w:tcW w:type="dxa" w:w="1400"/>
          </w:tcPr>
          <w:p>
            <w:r>
              <w:rPr>
                <w:b w:val="false"/>
                <w:bCs w:val="false"/>
              </w:rPr>
              <w:t xml:space="preserve">0.50</w:t>
            </w:r>
          </w:p>
        </w:tc>
        <w:tc>
          <w:tcPr>
            <w:tcW w:type="dxa" w:w="1400"/>
          </w:tcPr>
          <w:p>
            <w:r>
              <w:rPr>
                <w:b w:val="false"/>
                <w:bCs w:val="false"/>
              </w:rPr>
              <w:t xml:space="preserve">0.35</w:t>
            </w:r>
          </w:p>
        </w:tc>
        <w:tc>
          <w:tcPr>
            <w:tcW w:type="dxa" w:w="1600"/>
          </w:tcPr>
          <w:p>
            <w:r>
              <w:rPr>
                <w:b w:val="false"/>
                <w:bCs w:val="false"/>
              </w:rPr>
              <w:t xml:space="preserve">0.30</w:t>
            </w:r>
          </w:p>
        </w:tc>
        <w:tc>
          <w:tcPr>
            <w:tcW w:type="dxa" w:w="900"/>
          </w:tcPr>
          <w:p>
            <w:r>
              <w:rPr>
                <w:b w:val="false"/>
                <w:bCs w:val="false"/>
              </w:rPr>
              <w:t xml:space="preserve">4</w:t>
            </w:r>
          </w:p>
        </w:tc>
        <w:tc>
          <w:tcPr>
            <w:tcW w:type="dxa" w:w="900"/>
          </w:tcPr>
          <w:p>
            <w:r>
              <w:rPr>
                <w:b w:val="false"/>
                <w:bCs w:val="false"/>
              </w:rPr>
              <w:t xml:space="preserve">31</w:t>
            </w:r>
          </w:p>
        </w:tc>
        <w:tc>
          <w:tcPr>
            <w:tcW w:type="dxa" w:w="900"/>
          </w:tcPr>
          <w:p>
            <w:r>
              <w:rPr>
                <w:b w:val="false"/>
                <w:bCs w:val="false"/>
              </w:rPr>
              <w:t xml:space="preserve">12</w:t>
            </w:r>
          </w:p>
        </w:tc>
        <w:tc>
          <w:tcPr>
            <w:tcW w:type="dxa" w:w="1400"/>
          </w:tcPr>
          <w:p>
            <w:r>
              <w:rPr>
                <w:b w:val="false"/>
                <w:bCs w:val="false"/>
              </w:rPr>
              <w:t xml:space="preserve">11.4%</w:t>
            </w:r>
          </w:p>
        </w:tc>
        <w:tc>
          <w:tcPr>
            <w:tcW w:type="dxa" w:w="1300"/>
          </w:tcPr>
          <w:p>
            <w:r>
              <w:rPr>
                <w:b w:val="false"/>
                <w:bCs w:val="false"/>
              </w:rPr>
              <w:t xml:space="preserve">25.0%</w:t>
            </w:r>
          </w:p>
        </w:tc>
      </w:tr>
    </w:tbl>
    <w:p>
      <w:pPr>
        <w:spacing w:after="150"/>
      </w:pPr>
    </w:p>
    <w:p>
      <w:pPr>
        <w:spacing w:after="120"/>
      </w:pPr>
      <w:r>
        <w:t xml:space="preserve">Conclusion: tightening effect-size thresholds reduced true and false positives roughly proportionally, with a net loss in both precision and recall. This confirms the limiting factor is the classification/branch logic (specifically the paralogy-support interaction documented in 6.1-6.2), not the numeric effect-size cutoffs — so threshold tuning alone cannot resolve the precision limitation.</w:t>
      </w:r>
    </w:p>
    <w:p>
      <w:pPr>
        <w:pStyle w:val="Heading1"/>
        <w:spacing w:after="150" w:before="300"/>
      </w:pPr>
      <w:r>
        <w:t xml:space="preserve">7. External Context for the Precision Figures</w:t>
      </w:r>
    </w:p>
    <w:p>
      <w:pPr>
        <w:spacing w:after="120"/>
      </w:pPr>
      <w:r>
        <w:t xml:space="preserve">The published reference this tool's SL labels are drawn from — De Kegel, Quinn, Thompson, Adams &amp; Ryan (2021), "Comprehensive prediction of robust synthetic lethality between paralog pairs in cancer cell lines," Cell Systems 12(12):1144-1159 — reports that its own best-performing model (a random forest trained on 22 features across the full DepMap dataset) achieves a ROC AUC of ~0.80 and an average precision of ~23% on this same underlying prediction task, compared to ~10-12% average precision for the single best individual feature (sequence identity). This tool's precision figures (12-40% depending on relationship type, definition strictness, and threshold) fall within the same range as this field-recognized, peer-reviewed state-of-the-art benchmark, supporting the interpretation that limited precision is a property of the paralog FR/SL prediction problem itself, not a defect unique to this implementation.</w:t>
      </w:r>
    </w:p>
    <w:p>
      <w:pPr>
        <w:pStyle w:val="Heading1"/>
        <w:spacing w:after="150" w:before="300"/>
      </w:pPr>
      <w:r>
        <w:t xml:space="preserve">8. Known Limitations (for the paper's Limitations section)</w:t>
      </w:r>
    </w:p>
    <w:p>
      <w:pPr>
        <w:pStyle w:val="ListParagraph"/>
        <w:numPr>
          <w:ilvl w:val="0"/>
          <w:numId w:val="1"/>
        </w:numPr>
        <w:spacing w:after="60"/>
      </w:pPr>
      <w:r>
        <w:t xml:space="preserve">FR precision (13.2% strict, on the primary wet-lab-grounded benchmark) means the tool should be positioned and used as a screening/prioritization aid, not a confirmatory diagnostic; each flagged pair requires independent follow-up before being treated as an established relationship.</w:t>
      </w:r>
    </w:p>
    <w:p>
      <w:pPr>
        <w:pStyle w:val="ListParagraph"/>
        <w:numPr>
          <w:ilvl w:val="0"/>
          <w:numId w:val="1"/>
        </w:numPr>
        <w:spacing w:after="60"/>
      </w:pPr>
      <w:r>
        <w:t xml:space="preserve">The primary ground truth (Dede/Hart) is a small positive set (16 true FR positives across the full benchmark); this limits how confidently any threshold or branch-logic tuning can be validated, and was directly responsible for the fragility observed in Section 6.2 (a single logic change flipped all 5 TPs).</w:t>
      </w:r>
    </w:p>
    <w:p>
      <w:pPr>
        <w:pStyle w:val="ListParagraph"/>
        <w:numPr>
          <w:ilvl w:val="0"/>
          <w:numId w:val="1"/>
        </w:numPr>
        <w:spacing w:after="60"/>
      </w:pPr>
      <w:r>
        <w:t xml:space="preserve">The SL secondary validation (De Kegel/DepMap-derived) is not fully independent of the tool's own primary data source (DepMap), so its more favorable numbers (40% precision) should be read with that caveat rather than as the headline SL accuracy figure.</w:t>
      </w:r>
    </w:p>
    <w:p>
      <w:pPr>
        <w:pStyle w:val="ListParagraph"/>
        <w:numPr>
          <w:ilvl w:val="0"/>
          <w:numId w:val="1"/>
        </w:numPr>
        <w:spacing w:after="60"/>
      </w:pPr>
      <w:r>
        <w:t xml:space="preserve">Paralogy status contributes to the FR decision (as a +1 to effective support in the one-directional/"recip_partial" branch) despite being statistically non-discriminating between true and false positives in this specific candidate pool (Section 6.1) — retained rather than removed because Section 6.2 showed removing it also removes true positives; this tension is not fully resolved and is disclosed rather than hidden.</w:t>
      </w:r>
    </w:p>
    <w:p>
      <w:pPr>
        <w:pStyle w:val="ListParagraph"/>
        <w:numPr>
          <w:ilvl w:val="0"/>
          <w:numId w:val="1"/>
        </w:numPr>
        <w:spacing w:after="60"/>
      </w:pPr>
      <w:r>
        <w:t xml:space="preserve">All thresholds (COHEN_D_THRESHOLD, PARTIAL_COHEN_D_THRESHOLD, CORRELATION_THRESHOLD, CN_LOSS_THRESHOLD) are validated only against the single stratified benchmark subset reported here, not against an independent held-out test set; the threshold grid check (6.3) used the same subset used to originally observe the problem, so it should be read as diagnostic rather than as out-of-sample confirmation.</w:t>
      </w:r>
    </w:p>
    <w:p>
      <w:pPr>
        <w:pStyle w:val="ListParagraph"/>
        <w:numPr>
          <w:ilvl w:val="0"/>
          <w:numId w:val="1"/>
        </w:numPr>
        <w:spacing w:after="60"/>
      </w:pPr>
      <w:r>
        <w:t xml:space="preserve">CN_LOSS_THRESHOLD (0.5) is documented in the code itself as a starting value pending confirmation against a known frequently-deleted gene in the specific DepMap data release in use; this has not yet been independently re-confirmed as part of this validation pass.</w:t>
      </w:r>
    </w:p>
    <w:p>
      <w:pPr>
        <w:pStyle w:val="ListParagraph"/>
        <w:numPr>
          <w:ilvl w:val="0"/>
          <w:numId w:val="1"/>
        </w:numPr>
        <w:spacing w:after="60"/>
      </w:pPr>
      <w:r>
        <w:t xml:space="preserve">Gene-role (CGC) annotation is informational only and does not affect any test outcome or call; CGC coverage is incomplete (curated list, roughly 700 genes), so a gene's absence from it is not evidence of anything about its cancer role.</w:t>
      </w:r>
    </w:p>
    <w:p>
      <w:pPr>
        <w:pStyle w:val="ListParagraph"/>
        <w:numPr>
          <w:ilvl w:val="0"/>
          <w:numId w:val="1"/>
        </w:numPr>
        <w:spacing w:after="60"/>
      </w:pPr>
      <w:r>
        <w:t xml:space="preserve">33/403 candidate pairs (~8%) could not be scored due to missing-gene/data-coverage gaps (symbol/alias mismatches or genes not covered by the specific DepMap release); these are excluded from all reported metrics rather than counted as errors either way.</w:t>
      </w:r>
    </w:p>
    <w:p>
      <w:pPr>
        <w:pStyle w:val="ListParagraph"/>
        <w:numPr>
          <w:ilvl w:val="0"/>
          <w:numId w:val="1"/>
        </w:numPr>
        <w:spacing w:after="60"/>
      </w:pPr>
      <w:r>
        <w:t xml:space="preserve">A larger validated positive set, and a data-driven (e.g. logistic-regression) reclassification informed by per-feature separability between true and false positives, were identified during this investigation as a promising direction to resolve the paralogy-dependence tension in Section 6 — this is scoped as future work, not attempted in this validation pass, to avoid introducing an untested change under time pressure (see Section 6.2 for why an untested "fix" is a real risk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2026-07-26T12:39:37.669Z</dcterms:created>
  <dcterms:modified xsi:type="dcterms:W3CDTF">2026-07-26T12:39:37.723Z</dcterms:modified>
</cp:coreProperties>
</file>

<file path=docProps/custom.xml><?xml version="1.0" encoding="utf-8"?>
<Properties xmlns="http://schemas.openxmlformats.org/officeDocument/2006/custom-properties" xmlns:vt="http://schemas.openxmlformats.org/officeDocument/2006/docPropsVTypes"/>
</file>