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C5954">
      <w:pPr>
        <w:pStyle w:val="15"/>
        <w:spacing w:after="200"/>
      </w:pPr>
      <w:r>
        <w:t xml:space="preserve">FINAL SUMMARY — Module </w:t>
      </w:r>
      <w:r>
        <w:rPr>
          <w:rFonts w:hint="default"/>
          <w:lang w:val="en-US"/>
        </w:rPr>
        <w:t>2</w:t>
      </w:r>
      <w:bookmarkStart w:id="0" w:name="_GoBack"/>
      <w:bookmarkEnd w:id="0"/>
      <w:r>
        <w:t>: Drug Combination Response Analyzer (Bliss &amp; Loewe Synergy Calculator)</w:t>
      </w:r>
    </w:p>
    <w:p w14:paraId="1221BC7D">
      <w:pPr>
        <w:pStyle w:val="3"/>
        <w:spacing w:before="280" w:after="120"/>
      </w:pPr>
      <w:r>
        <w:t>Purpose</w:t>
      </w:r>
    </w:p>
    <w:p w14:paraId="06205A19">
      <w:pPr>
        <w:spacing w:after="160"/>
      </w:pPr>
      <w:r>
        <w:rPr>
          <w:b w:val="0"/>
          <w:bCs w:val="0"/>
        </w:rPr>
        <w:t>Analyzes two-drug combination dose-response data (from cell viability assays) and calculates Bliss and Loewe synergy scores at each dose pair, classifying the interaction as Synergy, Antagonism, or Additive. Supports both %viability and %inhibition input formats.</w:t>
      </w:r>
    </w:p>
    <w:p w14:paraId="2121FA8B">
      <w:pPr>
        <w:pStyle w:val="3"/>
        <w:spacing w:before="280" w:after="120"/>
      </w:pPr>
      <w:r>
        <w:t>Validation Method</w:t>
      </w:r>
    </w:p>
    <w:p w14:paraId="6C944DB1">
      <w:pPr>
        <w:spacing w:after="160"/>
      </w:pPr>
      <w:r>
        <w:rPr>
          <w:b w:val="0"/>
          <w:bCs w:val="0"/>
        </w:rPr>
        <w:t>Benchmarked against synergyfinder (Bioconductor R package) — a peer-reviewed, published reference tool — using two of its own built-in real datasets:</w:t>
      </w:r>
    </w:p>
    <w:p w14:paraId="1CD23378">
      <w:pPr>
        <w:pStyle w:val="16"/>
        <w:numPr>
          <w:ilvl w:val="0"/>
          <w:numId w:val="1"/>
        </w:numPr>
        <w:spacing w:after="120"/>
      </w:pPr>
      <w:r>
        <w:t>mathews_screening_data — %viability format, DLBCL cell line (TMD8), 2 drug pairs</w:t>
      </w:r>
    </w:p>
    <w:p w14:paraId="11FC798B">
      <w:pPr>
        <w:pStyle w:val="16"/>
        <w:numPr>
          <w:ilvl w:val="0"/>
          <w:numId w:val="1"/>
        </w:numPr>
        <w:spacing w:after="120"/>
      </w:pPr>
      <w:r>
        <w:t>ONEIL_screening_data — %inhibition format, pan-cancer dataset (OCUBM, NCIH2122 cell lines), 2 drug pairs</w:t>
      </w:r>
    </w:p>
    <w:p w14:paraId="4E82A470">
      <w:pPr>
        <w:spacing w:after="160"/>
      </w:pPr>
      <w:r>
        <w:rPr>
          <w:b w:val="0"/>
          <w:bCs w:val="0"/>
        </w:rPr>
        <w:t>Where discrepancies were found, synergyfinder's actual source code was read directly to confirm correct formulas — not inferred from output comparison alone.</w:t>
      </w:r>
    </w:p>
    <w:p w14:paraId="57A58C81">
      <w:pPr>
        <w:pStyle w:val="3"/>
        <w:spacing w:before="280" w:after="120"/>
      </w:pPr>
      <w:r>
        <w:t>Issues Found and Fixed</w:t>
      </w:r>
    </w:p>
    <w:p w14:paraId="1ED2C27D">
      <w:pPr>
        <w:pStyle w:val="16"/>
        <w:numPr>
          <w:ilvl w:val="0"/>
          <w:numId w:val="1"/>
        </w:numPr>
        <w:spacing w:after="120"/>
      </w:pPr>
      <w:r>
        <w:t>Curve-fitting threshold was inconsistent with data-validity checks, causing most single-agent dose-response curves to skip proper fitting.</w:t>
      </w:r>
    </w:p>
    <w:p w14:paraId="74DB2A2F">
      <w:pPr>
        <w:pStyle w:val="16"/>
        <w:numPr>
          <w:ilvl w:val="0"/>
          <w:numId w:val="1"/>
        </w:numPr>
        <w:spacing w:after="120"/>
      </w:pPr>
      <w:r>
        <w:t>Negative inhibition values (real biological effect, e.g., growth stimulation at low dose) were incorrectly clamped to zero.</w:t>
      </w:r>
    </w:p>
    <w:p w14:paraId="418C2B86">
      <w:pPr>
        <w:pStyle w:val="16"/>
        <w:numPr>
          <w:ilvl w:val="0"/>
          <w:numId w:val="1"/>
        </w:numPr>
        <w:spacing w:after="120"/>
      </w:pPr>
      <w:r>
        <w:t>Bliss expected-effect calculation was using fitted-curve values instead of raw observed single-agent data (confirmed against reference source code).</w:t>
      </w:r>
    </w:p>
    <w:p w14:paraId="12DBD621">
      <w:pPr>
        <w:pStyle w:val="16"/>
        <w:numPr>
          <w:ilvl w:val="0"/>
          <w:numId w:val="1"/>
        </w:numPr>
        <w:spacing w:after="120"/>
      </w:pPr>
      <w:r>
        <w:t>Loewe dose-inversion used an overly narrow numeric search, causing unnecessary blank results in solvable cases.</w:t>
      </w:r>
    </w:p>
    <w:p w14:paraId="36F030EB">
      <w:pPr>
        <w:pStyle w:val="16"/>
        <w:numPr>
          <w:ilvl w:val="0"/>
          <w:numId w:val="1"/>
        </w:numPr>
        <w:spacing w:after="120"/>
      </w:pPr>
      <w:r>
        <w:t>Input validation added: tool now explicitly rejects data that isn't on a proper 0–100% viability/inhibition scale, instead of silently producing invalid results.</w:t>
      </w:r>
    </w:p>
    <w:p w14:paraId="3B50B06D">
      <w:pPr>
        <w:pStyle w:val="16"/>
        <w:numPr>
          <w:ilvl w:val="0"/>
          <w:numId w:val="1"/>
        </w:numPr>
        <w:spacing w:after="120"/>
      </w:pPr>
      <w:r>
        <w:t>Viability→inhibition baseline mismatch (root cause of the mathews Bliss discrepancy): for %viability-format data, the tool normalized inhibition against the  control-well average (“control_val”) instead of a flat 100. synergyfinder's own source (Reshape_data.R) confirms it always computes inhibition = 100 − viability, with no per-block control-well normalization. This mismatch only affected %viability data (mathews), never %inhibition data (ONEIL), which is exactly why mathews Bliss classification was stuck at 62% while ONEIL stayed at 100%. Fixed by normalizing against a flat 100 to match the reference; mathews Bliss classification is now 100% (up from 62%).</w:t>
      </w:r>
    </w:p>
    <w:p w14:paraId="577DA97A">
      <w:pPr>
        <w:pStyle w:val="3"/>
        <w:spacing w:before="280" w:after="120"/>
      </w:pPr>
      <w:r>
        <w:t>Accuracy Results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00"/>
      </w:tblGrid>
      <w:tr w14:paraId="389F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AC836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6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C7E0A">
            <w:r>
              <w:rPr>
                <w:b/>
                <w:bCs/>
                <w:color w:val="FFFFFF"/>
              </w:rPr>
              <w:t>Result</w:t>
            </w:r>
          </w:p>
        </w:tc>
      </w:tr>
      <w:tr w14:paraId="63EA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6A0BD">
            <w:r>
              <w:rPr>
                <w:b w:val="0"/>
                <w:bCs w:val="0"/>
              </w:rPr>
              <w:t>Single-agent curve fit (EC50, dose-response shape)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49E33">
            <w:r>
              <w:rPr>
                <w:b w:val="0"/>
                <w:bCs w:val="0"/>
              </w:rPr>
              <w:t>Matches reference to ~4 decimal places, both datasets</w:t>
            </w:r>
          </w:p>
        </w:tc>
      </w:tr>
      <w:tr w14:paraId="0D17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7FA2C">
            <w:r>
              <w:rPr>
                <w:b w:val="0"/>
                <w:bCs w:val="0"/>
              </w:rPr>
              <w:t>Bliss score (continuous)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37A2E">
            <w:r>
              <w:rPr>
                <w:b w:val="0"/>
                <w:bCs w:val="0"/>
              </w:rPr>
              <w:t>Closely tracks reference values on both datasets</w:t>
            </w:r>
          </w:p>
        </w:tc>
      </w:tr>
      <w:tr w14:paraId="6B6A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55A37">
            <w:r>
              <w:rPr>
                <w:b w:val="0"/>
                <w:bCs w:val="0"/>
              </w:rPr>
              <w:t>Bliss classification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FE853">
            <w:r>
              <w:rPr>
                <w:b w:val="0"/>
                <w:bCs w:val="0"/>
              </w:rPr>
              <w:t>100% match to reference across both datasets (mathews n=50, ONEIL n=32 — 82 total rows). All three classes represented (Synergy, Antagonism, Additive); mathews includes 23 Additive rows, all correctly classified.</w:t>
            </w:r>
          </w:p>
        </w:tc>
      </w:tr>
      <w:tr w14:paraId="3D19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94271">
            <w:r>
              <w:rPr>
                <w:b w:val="0"/>
                <w:bCs w:val="0"/>
              </w:rPr>
              <w:t>Loewe score (continuous), when computable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D9F10">
            <w:r>
              <w:rPr>
                <w:b w:val="0"/>
                <w:bCs w:val="0"/>
              </w:rPr>
              <w:t>Closely tracks reference values</w:t>
            </w:r>
          </w:p>
        </w:tc>
      </w:tr>
      <w:tr w14:paraId="4235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14404">
            <w:r>
              <w:rPr>
                <w:b w:val="0"/>
                <w:bCs w:val="0"/>
              </w:rPr>
              <w:t>Loewe classification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D17FA">
            <w:r>
              <w:rPr>
                <w:b w:val="0"/>
                <w:bCs w:val="0"/>
              </w:rPr>
              <w:t>94.1% match to reference on rows where an exact value was computable (16 of 17: mathews 7/8, ONEIL 9/9). One mathews row misclassified as Additive where the reference was Synergy.</w:t>
            </w:r>
          </w:p>
        </w:tc>
      </w:tr>
    </w:tbl>
    <w:p w14:paraId="31987F50">
      <w:pPr>
        <w:spacing w:after="160"/>
      </w:pPr>
    </w:p>
    <w:p w14:paraId="2DF6D126">
      <w:pPr>
        <w:pStyle w:val="3"/>
        <w:spacing w:before="280" w:after="120"/>
      </w:pPr>
      <w:r>
        <w:t>Known, Documented Limitation</w:t>
      </w:r>
    </w:p>
    <w:p w14:paraId="2D17B1E3">
      <w:pPr>
        <w:spacing w:after="160"/>
      </w:pPr>
      <w:r>
        <w:rPr>
          <w:b w:val="0"/>
          <w:bCs w:val="0"/>
        </w:rPr>
        <w:t>Exact Loewe additivity has no mathematical solution when the observed combination effect exceeds what either single drug could achieve alone at the tested doses — a genuine constraint of the method, not a tool defect. In these cases, the tool displays a clearly labeled approximate estimate (using the same “closest candidate” method the reference tool itself uses internally) alongside an explanatory note, rather than hiding the result or fabricating false precision.</w:t>
      </w:r>
    </w:p>
    <w:p w14:paraId="4E6A4F57">
      <w:pPr>
        <w:pStyle w:val="3"/>
        <w:spacing w:before="280" w:after="120"/>
      </w:pPr>
      <w:r>
        <w:t>Reporting Caveats (be explicit about these in your write-up)</w:t>
      </w:r>
    </w:p>
    <w:p w14:paraId="1969E171">
      <w:pPr>
        <w:pStyle w:val="16"/>
        <w:numPr>
          <w:ilvl w:val="0"/>
          <w:numId w:val="2"/>
        </w:numPr>
        <w:spacing w:after="120"/>
      </w:pPr>
      <w:r>
        <w:t>Loewe classification accuracy (94.1%) applies only to rows where an exact score existed, not the full dataset — blanks were excluded from that calculation, not counted as errors.</w:t>
      </w:r>
    </w:p>
    <w:p w14:paraId="19A565BF">
      <w:pPr>
        <w:pStyle w:val="16"/>
        <w:numPr>
          <w:ilvl w:val="0"/>
          <w:numId w:val="2"/>
        </w:numPr>
        <w:spacing w:after="120"/>
      </w:pPr>
      <w:r>
        <w:t>The one Loewe misclassification (mathews) was a reference-Synergy row predicted as Additive — worth a closer look before publication, though it does not affect Bliss.</w:t>
      </w:r>
    </w:p>
    <w:p w14:paraId="0CC9ADDC">
      <w:pPr>
        <w:pStyle w:val="16"/>
        <w:numPr>
          <w:ilvl w:val="0"/>
          <w:numId w:val="2"/>
        </w:numPr>
        <w:spacing w:after="120"/>
      </w:pPr>
      <w:r>
        <w:t>The “Additive” class is now represented and fully validated for Bliss classification (23 mathews rows, 100% correct). It is still not represented in the Loewe computable subset used for this benchmark — Loewe's Additive accuracy remains untested pending a dataset where an exact Additive value is solvable.</w:t>
      </w:r>
    </w:p>
    <w:p w14:paraId="5FE4FDE4">
      <w:pPr>
        <w:pStyle w:val="16"/>
        <w:numPr>
          <w:ilvl w:val="0"/>
          <w:numId w:val="2"/>
        </w:numPr>
        <w:spacing w:after="120"/>
      </w:pPr>
      <w:r>
        <w:t>Tool's input scope is standard 0–100% viability or inhibition dose-response data; other raw data formats are explicitly rejected with a clear error, not silently mishandled.</w:t>
      </w:r>
    </w:p>
    <w:p w14:paraId="2A05D021">
      <w:pPr>
        <w:pStyle w:val="3"/>
        <w:spacing w:before="280" w:after="120"/>
      </w:pPr>
      <w:r>
        <w:t>Status</w:t>
      </w:r>
    </w:p>
    <w:p w14:paraId="3748DAAF">
      <w:pPr>
        <w:spacing w:after="160"/>
      </w:pPr>
      <w:r>
        <w:rPr>
          <w:b/>
          <w:bCs/>
        </w:rPr>
        <w:t>Module validated against two independent, published reference datasets, using a peer-reviewed reference tool, with source-code-level confirmation of formulas. Bliss classification is exact (100%) across both datasets and all three classes. Loewe classification is strong (94.1%) on the subset where an exact value is mathematically solvable, with one known misclassified row noted above for review; the broader blank-result behavior is a genuine, documented limitation of the method rather than a tool defect. Ready to finalize and publish within its documented scope.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04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1D06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693</Words>
  <Characters>4248</Characters>
  <TotalTime>0</TotalTime>
  <ScaleCrop>false</ScaleCrop>
  <LinksUpToDate>false</LinksUpToDate>
  <CharactersWithSpaces>4905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2026-07-29T11:11:00Z</dcterms:created>
  <dc:creator>Un-named</dc:creator>
  <cp:lastModifiedBy>Maryam Muarij</cp:lastModifiedBy>
  <dcterms:modified xsi:type="dcterms:W3CDTF">2026-07-29T11:13:37Z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eyJoZGlkIjoiOTY3NTMwMjNkNDYwNTFjNGM0YjMyMzNjMTFjZDNiYmEiLCJ1c2VySWQiOiIxOTI0MTQ3NzAwODE4In0=</vt:lpwstr>
  </property>
  <property fmtid="{D5CDD505-2E9C-101B-9397-08002B2CF9AE}" pid="3" name="KSOProductBuildVer">
    <vt:lpwstr>1033-12.1.0.27458</vt:lpwstr>
  </property>
  <property fmtid="{D5CDD505-2E9C-101B-9397-08002B2CF9AE}" pid="4" name="ICV">
    <vt:lpwstr>42B2217D890A40A5805DE04FF148AD63_12</vt:lpwstr>
  </property>
</Properties>
</file>