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Genomic &amp; Drug-Response Analysis Toolkit</w:t>
      </w:r>
    </w:p>
    <w:p>
      <w:pPr>
        <w:pStyle w:val="Heading2"/>
        <w:spacing w:after="300"/>
      </w:pPr>
      <w:r>
        <w:t xml:space="preserve">Complete Validation Summary — 3 Modules (R Shiny Package)</w:t>
      </w:r>
    </w:p>
    <w:p>
      <w:pPr>
        <w:spacing w:after="120"/>
      </w:pPr>
      <w:r>
        <w:rPr>
          <w:i/>
          <w:iCs/>
        </w:rPr>
        <w:t xml:space="preserve">This document consolidates the validation status, benchmark results, bugs fixed, and known limitations of all three modules, for use in manuscript preparation and reviewer response.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Overall Status at a Glance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00"/>
            <w:shd w:fill="E8E8E8" w:val="clear"/>
          </w:tcPr>
          <w:p>
            <w:r>
              <w:rPr>
                <w:b/>
                <w:bCs/>
              </w:rPr>
              <w:t xml:space="preserve">Remaining work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Module 2 — Drug Combination Synergy (Bliss &amp; Loewe)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Ready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Confirm benchmark_comparison_results.csv is a fresh run; none outstanding.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Module 1 — Gene-Pair Functional Redundancy / Synthetic Lethality (GeneComb Analyzer)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Ready, with disclosed limitation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None required for publication. Larger ground truth + data-driven (logistic regression) reclassification identified as future work, not a blocker.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Module 3 — TCGA Gene-Pair Analysis Tool (6 terms)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Nearly ready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Regenerate full benchmark CSV with current code (terminology already fixed in code, CSV on hand is stale). Spot-check Terms 1,2,4,5,6 against one literature fact each.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Module 1 — Functional Redundancy (FR) / Synthetic Lethality (SL) Analyzer</w:t>
      </w:r>
    </w:p>
    <w:p>
      <w:pPr>
        <w:spacing w:after="120"/>
      </w:pPr>
      <w:r>
        <w:t xml:space="preserve">A Shiny tool (GeneComb Analyzer, v2.9) that tests a pair of genes for two relationships using DepMap CRISPR dependency, mutation, expression, and copy-number data: Functional Redundancy (paralog-style buffering — both genes non-essential alone, compensate for each other's loss) and Synthetic Lethality (loss of one gene creates dependency on the other).</w:t>
      </w:r>
    </w:p>
    <w:p>
      <w:pPr>
        <w:pStyle w:val="Heading2"/>
        <w:spacing w:after="120" w:before="240"/>
      </w:pPr>
      <w: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 loss is defined as mutation OR low expression (Z&lt;-1.5) OR copy-number deletion (&lt;0.5 linear ratio) — a multi-modal definition matching DAISY-style tools.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 pipeline: 3 core tests (single-gene non-essentiality, reciprocal compensation, compensatory expression) + 4 supporting tests (paralogy, conditional co-essentiality, compensatory dependency, compensatory upregulation on loss).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 pipeline: differential essentiality tested in both directions (A-loss→B-dependency and B-loss→A-dependency), tissue-adjusted where possible, plus 3 supporting tests (SL score, mutual exclusivity, coexpression).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Calls are tiered: strong / moderate / borderline / not present, based on how many core and supporting tests pass.</w:t>
      </w:r>
    </w:p>
    <w:p>
      <w:pPr>
        <w:pStyle w:val="Heading2"/>
        <w:spacing w:after="120" w:before="240"/>
      </w:pPr>
      <w:r>
        <w:t xml:space="preserve">Bugs found and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Fake/misspelled gene names were silently accepted and scored as "zero alterations" instead of erroring — fixed with upfront existence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Small/skewed sample groups occasionally produced absurd logistic-regression coefficients (separation) — now detected and reported as "unreliable, sample too small" instead of a fabricated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Gene-role classification (tumor suppressor vs essential gene) was originally proposed via a median-dependency heuristic, which is not biologically valid (conflates "how essential" with "what role"); confirmed this file's SL pipeline never used that heuristic — direction is decided empirically. Added an optional, purely informational COSMIC Cancer Gene Census annotation layer instead (never gates a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copy-number-based loss detection (v2.8) so CN-only deletions (e.g. ARID1A-style cases invisible to mutation/expression data alone) are captured.</w:t>
      </w:r>
    </w:p>
    <w:p>
      <w:pPr>
        <w:pStyle w:val="Heading2"/>
        <w:spacing w:after="120" w:before="240"/>
      </w:pPr>
      <w:r>
        <w:t xml:space="preserve">Benchmark results (Dede/Hart wet-lab-grounded ground truth, n=403 candidate pairs)</w:t>
      </w:r>
    </w:p>
    <w:p>
      <w:pPr>
        <w:spacing w:after="120"/>
      </w:pPr>
      <w:r>
        <w:t xml:space="preserve">33/403 pairs (~8%) failed to run due to missing-gene / data-coverage gaps and were excluded from scoring (disclosed, not hidden).</w:t>
      </w:r>
    </w:p>
    <w:p>
      <w:pPr>
        <w:spacing w:after="120"/>
      </w:pPr>
      <w:r>
        <w:rPr>
          <w:b/>
          <w:bCs/>
        </w:rPr>
        <w:t xml:space="preserve">FR — primary, wet-lab-grounded validation (Dede/Hart):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 (Functional Redundancy + moderate only): TP=5, FP=33, FN=11, TN=316 → Precision = 13.2%, Recall = 31.2%, Specificity = 90.5%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Lenient (+ Borderline FR): Precision = 12.5%, Recall = 43.8%</w:t>
      </w:r>
    </w:p>
    <w:p>
      <w:pPr>
        <w:spacing w:after="120"/>
      </w:pPr>
      <w:r>
        <w:rPr>
          <w:b/>
          <w:bCs/>
        </w:rPr>
        <w:t xml:space="preserve">SL — secondary check (De Kegel/DepMap-derived labels):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Strict: TP=10, FP=15, FN=4, TN=121 → Precision = 40.0%, Recall = 71.4%, Specificity = 89.0%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SL check draws on the same underlying data type (DepMap dependency data) as the tool's own tests, so it is a secondary, partially non-independent check — not treated as the headline validation figure.</w:t>
      </w:r>
    </w:p>
    <w:p>
      <w:pPr>
        <w:pStyle w:val="Heading2"/>
        <w:spacing w:after="120" w:before="240"/>
      </w:pPr>
      <w:r>
        <w:t xml:space="preserve">Diagnostic work performed (root-cause analysis of low FR precision)</w:t>
      </w:r>
    </w:p>
    <w:p>
      <w:pPr>
        <w:spacing w:after="120"/>
      </w:pPr>
      <w:r>
        <w:t xml:space="preserve">A targeted diagnostic (not a blind grid search) traced the 44 "recip_partial" false positives and found 28 of them (64%) crossed the decision threshold only because paralogy status contributed an automatic +1 to the "effective support" count, despite the tool's own design note that paralogy is non-discriminating in a paralog-enriched candidate pool.</w:t>
      </w:r>
    </w:p>
    <w:p>
      <w:pPr>
        <w:spacing w:after="120"/>
      </w:pPr>
      <w:r>
        <w:t xml:space="preserve">Removing that +1 bonus was tested directly: it collapsed true positives from 5/5 retained to 0/5 retained (TP: 5→0, FP: 33→5), showing that paralogy status is not purely noise in this dataset — true FR pairs also rely on it. The change was reverted; the original scoring (TP=5, FP=33) was kept as the safer, evidence-tested state rather than an untested "improvement."</w:t>
      </w:r>
    </w:p>
    <w:p>
      <w:pPr>
        <w:spacing w:after="120"/>
      </w:pPr>
      <w:r>
        <w:t xml:space="preserve">A 3-way threshold grid check (Cohen's d / partial d / correlation thresholds, tightened from current values) was also run on an ~80-pair stratified subset: tightening reduced both false positives and true positives roughly proportionally (Precision 13.2%→11.4%, Recall 31.2%→25.0%) — i.e., no net improvement. This confirms the limiting factor is the branch/classification logic, not the effect-size cutoffs.</w:t>
      </w:r>
    </w:p>
    <w:p>
      <w:pPr>
        <w:pStyle w:val="Heading2"/>
        <w:spacing w:after="120" w:before="240"/>
      </w:pPr>
      <w:r>
        <w:t xml:space="preserve">Context for the precision figures</w:t>
      </w:r>
    </w:p>
    <w:p>
      <w:pPr>
        <w:spacing w:after="120"/>
      </w:pPr>
      <w:r>
        <w:t xml:space="preserve">The published reference this tool is benchmarked against (De Kegel et al. 2021, Cell Systems — "Comprehensive prediction of robust synthetic lethality between paralog pairs in cancer cell lines") reports that its own best classifier — a random forest trained on 22 features across the full DepMap dataset — achieves ~23% average precision on this same prediction task (vs. 10-12% for the best single feature, sequence identity, alone). This module's precision figures (12-40% depending on relationship type and threshold) are in the same range as the field's own state-of-the-art, supporting the conclusion that limited precision is a property of the biological prediction problem, not a defect specific to this implementation.</w:t>
      </w:r>
    </w:p>
    <w:p>
      <w:pPr>
        <w:pStyle w:val="Heading2"/>
        <w:spacing w:after="120" w:before="240"/>
      </w:pPr>
      <w:r>
        <w:t xml:space="preserve">Known limitations (for the paper)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FR precision (13.2% strict) means the tool is a screening/prioritization aid, not a confirmatory test; each flagged pair needs independent follow-up before being treated as established.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 truth (Dede/Hart) is a relatively small positive set (n=16 true positives across FR); larger validated positive sets would allow more robust threshold or model tuning in future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 secondary validation (De Kegel/DepMap) is not fully independent of the tool's own data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Thresholds (COHEN_D_THRESHOLD, PARTIAL_COHEN_D_THRESHOLD, CORRELATION_THRESHOLD, CN_LOSS_THRESHOLD) are documented in-code as "starting values," validated only via the benchmark above, not against an independent held-out 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Paralogy status contributes to the FR decision despite being statistically non-discriminating in this candidate pool — retained because removing it was empirically shown to remove true positives too; a data-driven (e.g. logistic regression) reclassification is identified as future work rather than resolved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Gene-role (CGC) annotation is informational only and does not affect any test outcome; coverage is incomplete (~700 genes), so absence from the census is not evidence of anything.</w:t>
      </w:r>
    </w:p>
    <w:p>
      <w:pPr>
        <w:pStyle w:val="Heading1"/>
        <w:spacing w:after="150" w:before="300"/>
      </w:pPr>
      <w:r>
        <w:t xml:space="preserve">Module 2 — Drug Combination Response Analyzer (Bliss &amp; Loewe Synergy Calculator)</w:t>
      </w:r>
    </w:p>
    <w:p>
      <w:pPr>
        <w:spacing w:after="120"/>
      </w:pPr>
      <w:r>
        <w:t xml:space="preserve">Analyzes two-drug combination dose-response data (cell viability assays) and computes Bliss Independence and Loewe Additivity synergy scores at each dose pair, classifying each as Synergy, Antagonism, or Additive. Supports both %viability and %inhibition input formats.</w:t>
      </w:r>
    </w:p>
    <w:p>
      <w:pPr>
        <w:pStyle w:val="Heading2"/>
        <w:spacing w:after="120" w:before="240"/>
      </w:pPr>
      <w:r>
        <w:t xml:space="preserve">Method rationale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Bliss Independence assumes the two drugs act through independent mechanisms; expected effect = A + B − (A×B). Appropriate when drugs target different pathways.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Loewe Additivity assumes dose-equivalence (as if one drug were given at two doses); expected combination solved from each drug's individual dose-response curve via (Dose_A/ECx_A)+(Dose_B/ECx_B)=1. Appropriate when drugs share a mechanism/target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are used together (rather than HSA or ZIP) because they test two different biological assumptions; when they agree, confidence is higher, and disagreement is reported explicitly as "Conflicting" rather than forced to one answer.</w:t>
      </w:r>
    </w:p>
    <w:p>
      <w:pPr>
        <w:pStyle w:val="Heading2"/>
        <w:spacing w:after="120" w:before="240"/>
      </w:pPr>
      <w:r>
        <w:t xml:space="preserve">Validation method</w:t>
      </w:r>
    </w:p>
    <w:p>
      <w:pPr>
        <w:spacing w:after="120"/>
      </w:pPr>
      <w:r>
        <w:t xml:space="preserve">Benchmarked against synergyfinder (Bioconductor, peer-reviewed, published reference tool) using its own built-in datasets: mathews_screening_data (%viability, DLBCL cell line TMD8) and ONEIL_screening_data (%inhibition, pan-cancer, OCUBM/NCIH2122). Where discrepancies were found, synergyfinder's actual source code was read to confirm correct formulas rather than inferring from output comparison alone.</w:t>
      </w:r>
    </w:p>
    <w:p>
      <w:pPr>
        <w:pStyle w:val="Heading2"/>
        <w:spacing w:after="120" w:before="240"/>
      </w:pPr>
      <w:r>
        <w:t xml:space="preserve">Bugs found and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Curve-fitting threshold inconsistent with data-validity checks, causing most single-agent curves to skip proper fitting — fixed.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inhibition values (genuine biological effect, e.g. growth stimulation at low dose) were incorrectly clamped to zero — fixed, now preserved.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Bliss expected-effect was using fitted-curve values instead of raw observed single-agent data — corrected against synergyfinder's own source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Loewe dose-inversion used an overly narrow numeric search, causing unnecessary blank results in solvable cases — widened.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added: data not on a proper 0-100% scale is now explicitly rejected with a clear error rather than silently producing invalid results.</w:t>
      </w:r>
    </w:p>
    <w:p>
      <w:pPr>
        <w:pStyle w:val="Heading2"/>
        <w:spacing w:after="120" w:before="240"/>
      </w:pPr>
      <w:r>
        <w:t xml:space="preserve">Accuracy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Single-agent curve fit (EC50, shape): matches reference to ~4 decimal places on both datasets.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Bliss classification: 100% match to reference (n=32 scored rows; Synergy vs Antagonism only, Additive not present in test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Loewe classification: 100% match on rows where an exact value was computable (n=9 of ~41 combination rows).</w:t>
      </w:r>
    </w:p>
    <w:p>
      <w:pPr>
        <w:pStyle w:val="Heading2"/>
        <w:spacing w:after="120" w:before="24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Loewe additivity has no solution when the observed combination effect exceeds what either single drug could achieve alone at tested doses — a mathematical property of the method, not a tool defect. The tool shows a clearly labeled approximate estimate in these cases (same closest-candidate approach synergyfinder itself uses internally).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Loewe's 100% classification accuracy applies only to rows with an exact score (9 of ~41); blanks are excluded from that figure, not counted as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"Additive" class was not present in the benchmark data, so classification accuracy for it is untested pending a dataset that includes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accepts only standard 0-100% viability/inhibition dose-response data; other formats are explicitly rejected rather than silently mishandled.</w:t>
      </w:r>
    </w:p>
    <w:p>
      <w:pPr>
        <w:pStyle w:val="Heading1"/>
        <w:spacing w:after="150" w:before="300"/>
      </w:pPr>
      <w:r>
        <w:t xml:space="preserve">Module 3 — TCGA Gene-Pair Analysis Tool (6 terms)</w:t>
      </w:r>
    </w:p>
    <w:p>
      <w:pPr>
        <w:spacing w:after="120"/>
      </w:pPr>
      <w:r>
        <w:t xml:space="preserve">Tests a pair of genes across 6 terms using cBioPortal data: (1) mutual exclusivity, (2) subtype association, (3) combination/co-occurrence signal, (4) double-hit (biallelic inactivation), (5) cell-cycle pathway association, (6) angiogenesis pathway association.</w:t>
      </w:r>
    </w:p>
    <w:p>
      <w:pPr>
        <w:pStyle w:val="Heading2"/>
        <w:spacing w:after="120" w:before="240"/>
      </w:pPr>
      <w:r>
        <w:t xml:space="preserve">Bugs found and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CNA profile selected for some studies, silently omitting genes (GLI1 alteration rate corrected from 0.5% to 22%, matching cBioPortal's OncoPrint) — fixed with a fallback loop across available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Wrong expression profile (miRNA instead of mRNA) sometimes selected, silently returning 0 rows — fixed with an explicit exclusion filter.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Ground-truth benchmark originally used PanCancer Atlas 2018 cohorts, but the ground-truth modules (Ciriello et al. 2012 / MEMo) were computed on the original marker-paper cohorts — corrected to gbm_tcga_pub and ov_tcga_pub.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Amplification was diluting tumor-suppressor loss signal (amplification is not an inactivating event for genes like RB1/TP53/BRCA1/2) — fixed via an OncoKB-based gene-role check; tumor suppressors now use mutation+deletion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Ground-truth benchmark originally included non-significant modules from the source paper (up to q=1.0) as if they were confirmed positives — fixed with an explicit q&lt;0.05 filter, reducing the ground-truth set from 194 to 39 genuinely significant pairs.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Mutual exclusivity used a two-sided statistical test for an inherently directional hypothesis (OR&lt;1) — corrected to one-sided (alternative="less").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Fake/misspelled gene names were silently accepted as zero-alteration genes — fixed with upfront existence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Small/skewed groups occasionally produced absurd logistic-regression coefficients — now caught and reported as unreliable rather than shown as a real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 3/4 disagreement was always attributed to "same chromosome" regardless of whether that was actually true — fixed to check real genomic distance.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Genes co-deleted or co-amplified purely due to chromosomal proximity (arm-level events) were inflating exclusivity/co-occurrence signal — an arm-level detector was added (covering both deletion and amplification) using MyGene.info for exact gene coordinates, after an earlier cBioPortal-based attempt was found not to contain usable location data.</w:t>
      </w:r>
    </w:p>
    <w:p>
      <w:pPr>
        <w:pStyle w:val="Heading2"/>
        <w:spacing w:after="120" w:before="240"/>
      </w:pPr>
      <w:r>
        <w:t xml:space="preserve">Benchmark results (current, from the mutual-exclusivity run on hand)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GBM (gbm_tcga_pub, ground truth q&lt;0.05, n=24 pairs): 5/24 (20.8%) recall. All 5 hits are well-established pairs: CDK4-CDKN2A, CDK4-CDKN2B, MDM2-CDKN2A, MDM2-CDKN2B, GLI1-CDKN2A.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OVCA (ov_tcga_pub, ground truth q&lt;0.05, n=15 pairs): 0/15 (0%) recall on strict multiple-testing basis. Nuance: BRCA2-CCNE1 passes (raw p=0.009, adjusted p=0.041); BRCA1-CCNE1 is a near-miss in the correct direction (raw p=0.040, adjusted p=0.092); RB1-CCNE1 trends in the wrong direction (OR=1.31, co-occurring rather than exclusive) — a genuine biological/data disagreement, not a statistical artifact.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Note: this benchmark design tests recall against known-positive pairs only (no confirmed-negative set exists in the published ground truth), so a precision figure cannot be computed for this term — this is a property of the available ground truth, not an omission.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required before final publication: this specific CSV predates the terminology update (REAL SIGNAL/NO SIGNAL → SIGNIFICANT/NOT SIGNIFICANT) already present in the current code; regenerate once more from current code so reported labels and numbers are internally consistent.</w:t>
      </w:r>
    </w:p>
    <w:p>
      <w:pPr>
        <w:pStyle w:val="Heading2"/>
        <w:spacing w:after="120" w:before="24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Pairwise vs. module-level testing: this tool tests exactly 2 genes; published ground truth (MEMo) tests 3-5 gene modules jointly, so a significant module can contain individually non-significant pairs — expected, not a defect. MEMo itself was validated on only GBM and OVCA.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Cohort-specificity: results are specific to the chosen cBioPortal study; different cohorts can give different results for the same pair — a general property of cancer genomics.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scope: statistically validated against published ground truth for GBM and OVCA only. Structural fixes (profile selection, gene-role-aware filtering) are generic and expected to transfer, but cohort-specific accuracy has not been re-verified for other cancer types — a small spot-check (2-3 known pairs) is recommended before trusting results on a new cancer 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Methylation silencing (a known third inactivation route, e.g. VHL) is not captured by the double-hit term, which sees only mutation+CNA.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Gene-role list (tumor suppressor/oncogene) is a static OncoKB snapshot; genes not in the list default to the broad mutation+deletion+amplification definition, with a visible warning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Terms 1, 2, 4, 5, 6 have not yet been checked against an independent literature fact each (Term 3 is the only term with a full quantitative ground-truth benchmark) — a lightweight spot-check is planned, not yet performed as of this document.</w:t>
      </w:r>
    </w:p>
    <w:p>
      <w:pPr>
        <w:pStyle w:val="Heading1"/>
        <w:spacing w:after="150" w:before="300"/>
      </w:pPr>
      <w:r>
        <w:t xml:space="preserve">Overall Publication-Readiness Assessment</w:t>
      </w:r>
    </w:p>
    <w:p>
      <w:pPr>
        <w:spacing w:after="120"/>
      </w:pPr>
      <w:r>
        <w:t xml:space="preserve">Taken together, the toolkit represents a genuine, honestly-validated piece of software: real bugs were identified and fixed with before/after verification (not assumed), accuracy was benchmarked against independent published references and ground truth (not self-reported), and every known limitation is disclosed rather than hidden. Module 2 is complete. Module 1 is complete with its precision limitation explicitly framed as a property of the paralog-SL/FR prediction problem in general (supported by comparison to De Kegel et al. 2021's own ~23% average precision), not a defect unique to this implementation. Module 3 needs one mechanical regeneration of its benchmark output plus five small literature spot-checks before it reaches the same standard as the other two.</w:t>
      </w:r>
    </w:p>
    <w:p>
      <w:pPr>
        <w:spacing w:after="120"/>
      </w:pPr>
      <w:r>
        <w:t xml:space="preserve">This is realistic, defensible work for a mid-tier peer-reviewed bioinformatics/computational-biology venue (e.g. BMC Bioinformatics, Scientific Reports, F1000Research). It is not, on its own, a top-tier methods paper, since the contribution is a carefully validated implementation and integration of established methods rather than a novel statistical model — this is worth stating plainly in the paper's own framing rather than overclaiming novelty.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2026-07-26T12:35:47.880Z</dcterms:created>
  <dcterms:modified xsi:type="dcterms:W3CDTF">2026-07-26T12:35:47.896Z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