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10: Evaluation</w:t>
      </w:r>
    </w:p>
    <w:p>
      <w:pPr>
        <w:pStyle w:val="Heading1"/>
      </w:pPr>
      <w:r>
        <w:t>1. Step Objective</w:t>
      </w:r>
    </w:p>
    <w:p>
      <w:r>
        <w:t>To quantitatively assess the performance of each trained visual model and the final ensemble on the unseen test dataset. This provides empirical data to select the best-performing approach.</w:t>
      </w:r>
    </w:p>
    <w:p>
      <w:pPr>
        <w:pStyle w:val="Heading1"/>
      </w:pPr>
      <w:r>
        <w:t>2. Files Created</w:t>
      </w:r>
    </w:p>
    <w:p>
      <w:pPr>
        <w:pStyle w:val="Heading1"/>
      </w:pPr>
      <w:r>
        <w:t>3. Evaluation Metrics</w:t>
      </w:r>
    </w:p>
    <w:p>
      <w:r>
        <w:t>The following standard classification metrics were used:</w:t>
      </w:r>
    </w:p>
    <w:p>
      <w:r>
        <w:t xml:space="preserve"> - Accuracy: Overall correctness.</w:t>
      </w:r>
    </w:p>
    <w:p>
      <w:r>
        <w:t xml:space="preserve"> - Precision: Of predicted positives, how many were correct?</w:t>
      </w:r>
    </w:p>
    <w:p>
      <w:r>
        <w:t xml:space="preserve"> - Recall: Of actual positives, how many were found?</w:t>
      </w:r>
    </w:p>
    <w:p>
      <w:r>
        <w:t xml:space="preserve"> - F1-Score: Harmonic mean of precision and recall.</w:t>
      </w:r>
    </w:p>
    <w:p>
      <w:r>
        <w:t xml:space="preserve"> - AUC-ROC: Ability to distinguish between classes.</w:t>
      </w:r>
    </w:p>
    <w:p>
      <w:pPr>
        <w:pStyle w:val="Heading1"/>
      </w:pPr>
      <w:r>
        <w:t>4. Results</w:t>
      </w:r>
    </w:p>
    <w:p>
      <w:r>
        <w:t>The evaluation was run on the full test set. Results were saved to `evaluation_results.json`.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F1-Score</w:t>
            </w:r>
          </w:p>
        </w:tc>
        <w:tc>
          <w:tcPr>
            <w:tcW w:type="dxa" w:w="1440"/>
          </w:tcPr>
          <w:p>
            <w:r>
              <w:t>AUC-ROC</w:t>
            </w:r>
          </w:p>
        </w:tc>
      </w:tr>
      <w:tr>
        <w:tc>
          <w:tcPr>
            <w:tcW w:type="dxa" w:w="1440"/>
          </w:tcPr>
          <w:p>
            <w:r>
              <w:t>xceptionnet</w:t>
            </w:r>
          </w:p>
        </w:tc>
        <w:tc>
          <w:tcPr>
            <w:tcW w:type="dxa" w:w="1440"/>
          </w:tcPr>
          <w:p>
            <w:r>
              <w:t>0.8933</w:t>
            </w:r>
          </w:p>
        </w:tc>
        <w:tc>
          <w:tcPr>
            <w:tcW w:type="dxa" w:w="1440"/>
          </w:tcPr>
          <w:p>
            <w:r>
              <w:t>0.9314</w:t>
            </w:r>
          </w:p>
        </w:tc>
        <w:tc>
          <w:tcPr>
            <w:tcW w:type="dxa" w:w="1440"/>
          </w:tcPr>
          <w:p>
            <w:r>
              <w:t>0.8491</w:t>
            </w:r>
          </w:p>
        </w:tc>
        <w:tc>
          <w:tcPr>
            <w:tcW w:type="dxa" w:w="1440"/>
          </w:tcPr>
          <w:p>
            <w:r>
              <w:t>0.8884</w:t>
            </w:r>
          </w:p>
        </w:tc>
        <w:tc>
          <w:tcPr>
            <w:tcW w:type="dxa" w:w="1440"/>
          </w:tcPr>
          <w:p>
            <w:r>
              <w:t>0.9497</w:t>
            </w:r>
          </w:p>
        </w:tc>
      </w:tr>
      <w:tr>
        <w:tc>
          <w:tcPr>
            <w:tcW w:type="dxa" w:w="1440"/>
          </w:tcPr>
          <w:p>
            <w:r>
              <w:t>efficientnet</w:t>
            </w:r>
          </w:p>
        </w:tc>
        <w:tc>
          <w:tcPr>
            <w:tcW w:type="dxa" w:w="1440"/>
          </w:tcPr>
          <w:p>
            <w:r>
              <w:t>0.8616</w:t>
            </w:r>
          </w:p>
        </w:tc>
        <w:tc>
          <w:tcPr>
            <w:tcW w:type="dxa" w:w="1440"/>
          </w:tcPr>
          <w:p>
            <w:r>
              <w:t>0.8347</w:t>
            </w:r>
          </w:p>
        </w:tc>
        <w:tc>
          <w:tcPr>
            <w:tcW w:type="dxa" w:w="1440"/>
          </w:tcPr>
          <w:p>
            <w:r>
              <w:t>0.9017</w:t>
            </w:r>
          </w:p>
        </w:tc>
        <w:tc>
          <w:tcPr>
            <w:tcW w:type="dxa" w:w="1440"/>
          </w:tcPr>
          <w:p>
            <w:r>
              <w:t>0.8669</w:t>
            </w:r>
          </w:p>
        </w:tc>
        <w:tc>
          <w:tcPr>
            <w:tcW w:type="dxa" w:w="1440"/>
          </w:tcPr>
          <w:p>
            <w:r>
              <w:t>0.9451</w:t>
            </w:r>
          </w:p>
        </w:tc>
      </w:tr>
      <w:tr>
        <w:tc>
          <w:tcPr>
            <w:tcW w:type="dxa" w:w="1440"/>
          </w:tcPr>
          <w:p>
            <w:r>
              <w:t>vit</w:t>
            </w:r>
          </w:p>
        </w:tc>
        <w:tc>
          <w:tcPr>
            <w:tcW w:type="dxa" w:w="1440"/>
          </w:tcPr>
          <w:p>
            <w:r>
              <w:t>0.8583</w:t>
            </w:r>
          </w:p>
        </w:tc>
        <w:tc>
          <w:tcPr>
            <w:tcW w:type="dxa" w:w="1440"/>
          </w:tcPr>
          <w:p>
            <w:r>
              <w:t>0.8701</w:t>
            </w:r>
          </w:p>
        </w:tc>
        <w:tc>
          <w:tcPr>
            <w:tcW w:type="dxa" w:w="1440"/>
          </w:tcPr>
          <w:p>
            <w:r>
              <w:t>0.8423</w:t>
            </w:r>
          </w:p>
        </w:tc>
        <w:tc>
          <w:tcPr>
            <w:tcW w:type="dxa" w:w="1440"/>
          </w:tcPr>
          <w:p>
            <w:r>
              <w:t>0.8560</w:t>
            </w:r>
          </w:p>
        </w:tc>
        <w:tc>
          <w:tcPr>
            <w:tcW w:type="dxa" w:w="1440"/>
          </w:tcPr>
          <w:p>
            <w:r>
              <w:t>0.9324</w:t>
            </w:r>
          </w:p>
        </w:tc>
      </w:tr>
      <w:tr>
        <w:tc>
          <w:tcPr>
            <w:tcW w:type="dxa" w:w="1440"/>
          </w:tcPr>
          <w:p>
            <w:r>
              <w:t>ensemble</w:t>
            </w:r>
          </w:p>
        </w:tc>
        <w:tc>
          <w:tcPr>
            <w:tcW w:type="dxa" w:w="1440"/>
          </w:tcPr>
          <w:p>
            <w:r>
              <w:t>0.9139</w:t>
            </w:r>
          </w:p>
        </w:tc>
        <w:tc>
          <w:tcPr>
            <w:tcW w:type="dxa" w:w="1440"/>
          </w:tcPr>
          <w:p>
            <w:r>
              <w:t>0.9556</w:t>
            </w:r>
          </w:p>
        </w:tc>
        <w:tc>
          <w:tcPr>
            <w:tcW w:type="dxa" w:w="1440"/>
          </w:tcPr>
          <w:p>
            <w:r>
              <w:t>0.8680</w:t>
            </w:r>
          </w:p>
        </w:tc>
        <w:tc>
          <w:tcPr>
            <w:tcW w:type="dxa" w:w="1440"/>
          </w:tcPr>
          <w:p>
            <w:r>
              <w:t>0.9097</w:t>
            </w:r>
          </w:p>
        </w:tc>
        <w:tc>
          <w:tcPr>
            <w:tcW w:type="dxa" w:w="1440"/>
          </w:tcPr>
          <w:p>
            <w:r>
              <w:t>0.9562</w:t>
            </w:r>
          </w:p>
        </w:tc>
      </w:tr>
    </w:tbl>
    <w:p>
      <w:pPr>
        <w:pStyle w:val="Heading1"/>
      </w:pPr>
      <w:r>
        <w:t>5. Conclusion</w:t>
      </w:r>
    </w:p>
    <w:p>
      <w:r>
        <w:t>The ensemble model outperformed all individual models across most metrics, particularly in accuracy, precision and AUC-ROC. This confirms the effectiveness of the weighted average ensemble strategy.</w:t>
      </w:r>
    </w:p>
    <w:p>
      <w:pPr>
        <w:pStyle w:val="Heading1"/>
      </w:pPr>
      <w:r>
        <w:t>6. Next Step</w:t>
      </w:r>
    </w:p>
    <w:p>
      <w:r>
        <w:t>Step 11: FastAPI Backend. Create the web server API that will expose the prediction functionality.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