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QUANTMINDX — ITT</w:t>
      </w:r>
    </w:p>
    <w:p>
      <w:pPr>
        <w:jc w:val="center"/>
      </w:pPr>
      <w:r>
        <w:rPr>
          <w:color w:val="444444"/>
          <w:sz w:val="28"/>
        </w:rPr>
        <w:t>Planning Addendum — Session 2 | March 2026</w:t>
      </w:r>
    </w:p>
    <w:p/>
    <w:p>
      <w:pPr>
        <w:jc w:val="center"/>
      </w:pPr>
      <w:r>
        <w:rPr>
          <w:i/>
          <w:color w:val="666666"/>
          <w:sz w:val="19"/>
        </w:rPr>
        <w:t>Addendum to: QuantMindX_Planning_Document_March2026.docx</w:t>
        <w:br/>
        <w:t>Cross-references: _bmad-output/planning-artifacts/prd.md | architecture.md | epics.md</w:t>
      </w:r>
    </w:p>
    <w:p/>
    <w:p>
      <w:pPr>
        <w:jc w:val="center"/>
      </w:pPr>
      <w:r>
        <w:rPr>
          <w:b/>
          <w:color w:val="CC4400"/>
          <w:sz w:val="19"/>
        </w:rPr>
        <w:t>This document contains ONLY new architectural decisions, frameworks, and design additions</w:t>
        <w:br/>
        <w:t>arising from Session 2. It does not repeat existing planning documents.</w:t>
      </w:r>
    </w:p>
    <w:p>
      <w:r>
        <w:br w:type="page"/>
      </w:r>
    </w:p>
    <w:p>
      <w:pPr>
        <w:pStyle w:val="Heading1"/>
      </w:pPr>
      <w:r>
        <w:rPr>
          <w:color w:val="1F3864"/>
        </w:rPr>
        <w:t>1. Strategic Principles (Confirmed This Session)</w:t>
      </w:r>
    </w:p>
    <w:p>
      <w:r>
        <w:rPr>
          <w:b w:val="0"/>
          <w:i w:val="0"/>
          <w:sz w:val="21"/>
        </w:rPr>
        <w:t>The following principles govern all new architectural decisions in this addendum. They are not repeated from the prior planning document but are reaffirmed here as the foundation for every new design choice.</w:t>
      </w:r>
    </w:p>
    <w:p>
      <w:pPr>
        <w:pStyle w:val="Heading2"/>
      </w:pPr>
      <w:r>
        <w:rPr>
          <w:color w:val="2E5496"/>
        </w:rPr>
        <w:t>1.1 The Edge Is Probabilistic Scale, Not Speed</w:t>
      </w:r>
    </w:p>
    <w:p>
      <w:r>
        <w:rPr>
          <w:b w:val="0"/>
          <w:i w:val="0"/>
          <w:sz w:val="21"/>
        </w:rPr>
        <w:t>QUANTMINDX does not compete on co-location or hardware latency. The system's edge is: high win-rate × correct Kelly sizing × many concurrent variants × fast agentic iteration = sustainable compounding from a small book. Speed is a secondary concern after signal quality.</w:t>
      </w:r>
    </w:p>
    <w:p>
      <w:pPr>
        <w:pStyle w:val="Heading2"/>
      </w:pPr>
      <w:r>
        <w:rPr>
          <w:color w:val="2E5496"/>
        </w:rPr>
        <w:t>1.2 No AI in the Live Execution Hot Path</w:t>
      </w:r>
    </w:p>
    <w:p>
      <w:r>
        <w:rPr>
          <w:b w:val="0"/>
          <w:i w:val="0"/>
          <w:sz w:val="21"/>
        </w:rPr>
        <w:t>LLM inference has no place in the Cloudzy execution path. Alpha Forge, research, and improvement loops are Contabo workloads. Cloudzy runs: Sentinel → Governor → Commander → ZMQ. All cached, pre-computed, async. No LLM call between signal and order.</w:t>
      </w:r>
    </w:p>
    <w:p>
      <w:pPr>
        <w:pStyle w:val="Heading2"/>
      </w:pPr>
      <w:r>
        <w:rPr>
          <w:color w:val="2E5496"/>
        </w:rPr>
        <w:t>1.3 Trust the Validated EA</w:t>
      </w:r>
    </w:p>
    <w:p>
      <w:r>
        <w:rPr>
          <w:b w:val="0"/>
          <w:i w:val="0"/>
          <w:sz w:val="21"/>
        </w:rPr>
        <w:t>Any bot that has passed AlphaForge Workflow 1, full Workflow 2 (all six backtest modes), paper trading gate, and human approval carries a validated edge. The system does NOT override that EA's trade logic on normal regime cycling. Layer 3 interventions are reserved exclusively for CHAOS conditions, prop firm drawdown breaches, and kill switch activation.</w:t>
      </w:r>
    </w:p>
    <w:p>
      <w:pPr>
        <w:pStyle w:val="Heading2"/>
      </w:pPr>
      <w:r>
        <w:rPr>
          <w:color w:val="2E5496"/>
        </w:rPr>
        <w:t>1.4 Session Mask Is the Runtime Constraint</w:t>
      </w:r>
    </w:p>
    <w:p>
      <w:r>
        <w:rPr>
          <w:b w:val="0"/>
          <w:i w:val="0"/>
          <w:sz w:val="21"/>
        </w:rPr>
        <w:t>The system runs as long as liquidity windows are active. Intraday P&amp;L lock mode is explicitly removed. The natural stops are: session mask end, 3/5/7 drawdown limits (existing risk framework), and circuit breaker thresholds. Nothing else pauses the system.</w:t>
      </w:r>
    </w:p>
    <w:p/>
    <w:p>
      <w:pPr>
        <w:pStyle w:val="Heading1"/>
      </w:pPr>
      <w:r>
        <w:rPr>
          <w:color w:val="1F3864"/>
        </w:rPr>
        <w:t>2. Broker Architecture</w:t>
      </w:r>
    </w:p>
    <w:p>
      <w:pPr>
        <w:pStyle w:val="Heading2"/>
      </w:pPr>
      <w:r>
        <w:rPr>
          <w:color w:val="2E5496"/>
        </w:rPr>
        <w:t>2.1 Current State — Exness Raw Spread</w:t>
      </w:r>
    </w:p>
    <w:p>
      <w:r>
        <w:rPr>
          <w:b w:val="0"/>
          <w:i w:val="0"/>
          <w:sz w:val="21"/>
        </w:rPr>
        <w:t>Current broker: Exness Raw Spread account (Pro tier). Raw spread (0.0 pips + fixed commission) provides a clean, calculable gross edge for the Kelly formula — no hidden spread drag corrupting the edge estimate. This is the direct mechanism behind the House of Money effect functioning correctly: when the Kelly engine operates on a known-cost ECN feed, house money scaling kicks in on an accurate Kelly base rather than a degraded one.</w:t>
      </w:r>
    </w:p>
    <w:p>
      <w:r>
        <w:rPr>
          <w:b w:val="0"/>
          <w:i w:val="0"/>
          <w:sz w:val="21"/>
        </w:rPr>
        <w:t>Exness ECN volume through MT5 is real lot-based volume from their liquidity pool — a valid proxy for true market volume on major pairs. Adequate for Phase 1.</w:t>
      </w:r>
    </w:p>
    <w:p>
      <w:pPr>
        <w:pStyle w:val="Heading2"/>
      </w:pPr>
      <w:r>
        <w:rPr>
          <w:color w:val="2E5496"/>
        </w:rPr>
        <w:t>2.2 Target State — IC Markets ECN</w:t>
      </w:r>
    </w:p>
    <w:p>
      <w:r>
        <w:rPr>
          <w:b w:val="0"/>
          <w:i w:val="0"/>
          <w:sz w:val="21"/>
        </w:rPr>
        <w:t>IC Markets (LD4 London) is the target broker upgrade. Reasons: deeper ECN liquidity pool, confirmed real contract volume (not just tick count) for VWAP/Volume Profile accuracy, explicit scalping + algorithmic trading approval, MT5 support, Islamic account availability, and LD4 server proximity matching Cloudzy's deployment region for 1–3ms tick arrival latency.</w:t>
      </w:r>
    </w:p>
    <w:p>
      <w:pPr>
        <w:ind w:left="432"/>
      </w:pPr>
      <w:r>
        <w:rPr>
          <w:i/>
          <w:color w:val="555555"/>
          <w:sz w:val="19"/>
        </w:rPr>
        <w:t>NOTE: Migration prerequisite: Eversend bank account setup for Uganda-based onboarding. Migration does not require code changes — only broker credentials in .env.</w:t>
      </w:r>
    </w:p>
    <w:p>
      <w:pPr>
        <w:pStyle w:val="Heading2"/>
      </w:pPr>
      <w:r>
        <w:rPr>
          <w:color w:val="2E5496"/>
        </w:rPr>
        <w:t>2.3 MT5 Confirmed — Magic Number Architecture</w:t>
      </w:r>
    </w:p>
    <w:p>
      <w:r>
        <w:rPr>
          <w:b w:val="0"/>
          <w:i w:val="0"/>
          <w:sz w:val="21"/>
        </w:rPr>
        <w:t>MetaTrader 5 is confirmed as the execution platform. No platform migration unless a competing platform offers demonstrably better data AND execution. The multi-bot architecture uses MT5's native Magic Number system: every EA carries a unique integer identifier stamped on every order it places. One broker account, one balance — 200+ magic numbers providing full trade attribution.</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1F3864"/>
          </w:tcPr>
          <w:p>
            <w:r>
              <w:rPr>
                <w:b/>
                <w:color w:val="FFFFFF"/>
                <w:sz w:val="19"/>
              </w:rPr>
              <w:t>Magic Number Range</w:t>
            </w:r>
          </w:p>
        </w:tc>
        <w:tc>
          <w:tcPr>
            <w:tcW w:type="dxa" w:w="2304"/>
            <w:shd w:val="clear" w:color="auto" w:fill="1F3864"/>
          </w:tcPr>
          <w:p>
            <w:r>
              <w:rPr>
                <w:b/>
                <w:color w:val="FFFFFF"/>
                <w:sz w:val="19"/>
              </w:rPr>
              <w:t>Pool</w:t>
            </w:r>
          </w:p>
        </w:tc>
        <w:tc>
          <w:tcPr>
            <w:tcW w:type="dxa" w:w="3168"/>
            <w:shd w:val="clear" w:color="auto" w:fill="1F3864"/>
          </w:tcPr>
          <w:p>
            <w:r>
              <w:rPr>
                <w:b/>
                <w:color w:val="FFFFFF"/>
                <w:sz w:val="19"/>
              </w:rPr>
              <w:t>Account</w:t>
            </w:r>
          </w:p>
        </w:tc>
        <w:tc>
          <w:tcPr>
            <w:tcW w:type="dxa" w:w="2880"/>
            <w:shd w:val="clear" w:color="auto" w:fill="1F3864"/>
          </w:tcPr>
          <w:p>
            <w:r>
              <w:rPr>
                <w:b/>
                <w:color w:val="FFFFFF"/>
                <w:sz w:val="19"/>
              </w:rPr>
              <w:t>Strategy Family</w:t>
            </w:r>
          </w:p>
        </w:tc>
      </w:tr>
      <w:tr>
        <w:tc>
          <w:tcPr>
            <w:tcW w:type="dxa" w:w="2160"/>
            <w:shd w:val="clear" w:color="auto" w:fill="F2F2F2"/>
          </w:tcPr>
          <w:p>
            <w:r>
              <w:rPr>
                <w:sz w:val="19"/>
              </w:rPr>
              <w:t>1000–4999</w:t>
            </w:r>
          </w:p>
        </w:tc>
        <w:tc>
          <w:tcPr>
            <w:tcW w:type="dxa" w:w="2304"/>
            <w:shd w:val="clear" w:color="auto" w:fill="F2F2F2"/>
          </w:tcPr>
          <w:p>
            <w:r>
              <w:rPr>
                <w:sz w:val="19"/>
              </w:rPr>
              <w:t>Long Scalper Pool</w:t>
            </w:r>
          </w:p>
        </w:tc>
        <w:tc>
          <w:tcPr>
            <w:tcW w:type="dxa" w:w="3168"/>
            <w:shd w:val="clear" w:color="auto" w:fill="F2F2F2"/>
          </w:tcPr>
          <w:p>
            <w:r>
              <w:rPr>
                <w:sz w:val="19"/>
              </w:rPr>
              <w:t>Machine Gun (RoboForex/IC Markets)</w:t>
            </w:r>
          </w:p>
        </w:tc>
        <w:tc>
          <w:tcPr>
            <w:tcW w:type="dxa" w:w="2880"/>
            <w:shd w:val="clear" w:color="auto" w:fill="F2F2F2"/>
          </w:tcPr>
          <w:p>
            <w:r>
              <w:rPr>
                <w:sz w:val="19"/>
              </w:rPr>
              <w:t>Scalping — long bias</w:t>
            </w:r>
          </w:p>
        </w:tc>
      </w:tr>
      <w:tr>
        <w:tc>
          <w:tcPr>
            <w:tcW w:type="dxa" w:w="2160"/>
            <w:shd w:val="clear" w:color="auto" w:fill="FFFFFF"/>
          </w:tcPr>
          <w:p>
            <w:r>
              <w:rPr>
                <w:sz w:val="19"/>
              </w:rPr>
              <w:t>5000–8999</w:t>
            </w:r>
          </w:p>
        </w:tc>
        <w:tc>
          <w:tcPr>
            <w:tcW w:type="dxa" w:w="2304"/>
            <w:shd w:val="clear" w:color="auto" w:fill="FFFFFF"/>
          </w:tcPr>
          <w:p>
            <w:r>
              <w:rPr>
                <w:sz w:val="19"/>
              </w:rPr>
              <w:t>Short Scalper Pool</w:t>
            </w:r>
          </w:p>
        </w:tc>
        <w:tc>
          <w:tcPr>
            <w:tcW w:type="dxa" w:w="3168"/>
            <w:shd w:val="clear" w:color="auto" w:fill="FFFFFF"/>
          </w:tcPr>
          <w:p>
            <w:r>
              <w:rPr>
                <w:sz w:val="19"/>
              </w:rPr>
              <w:t>Machine Gun (RoboForex/IC Markets)</w:t>
            </w:r>
          </w:p>
        </w:tc>
        <w:tc>
          <w:tcPr>
            <w:tcW w:type="dxa" w:w="2880"/>
            <w:shd w:val="clear" w:color="auto" w:fill="FFFFFF"/>
          </w:tcPr>
          <w:p>
            <w:r>
              <w:rPr>
                <w:sz w:val="19"/>
              </w:rPr>
              <w:t>Scalping — short bias</w:t>
            </w:r>
          </w:p>
        </w:tc>
      </w:tr>
      <w:tr>
        <w:tc>
          <w:tcPr>
            <w:tcW w:type="dxa" w:w="2160"/>
            <w:shd w:val="clear" w:color="auto" w:fill="F2F2F2"/>
          </w:tcPr>
          <w:p>
            <w:r>
              <w:rPr>
                <w:sz w:val="19"/>
              </w:rPr>
              <w:t>9000–11999</w:t>
            </w:r>
          </w:p>
        </w:tc>
        <w:tc>
          <w:tcPr>
            <w:tcW w:type="dxa" w:w="2304"/>
            <w:shd w:val="clear" w:color="auto" w:fill="F2F2F2"/>
          </w:tcPr>
          <w:p>
            <w:r>
              <w:rPr>
                <w:sz w:val="19"/>
              </w:rPr>
              <w:t>Neutral/Range Pool</w:t>
            </w:r>
          </w:p>
        </w:tc>
        <w:tc>
          <w:tcPr>
            <w:tcW w:type="dxa" w:w="3168"/>
            <w:shd w:val="clear" w:color="auto" w:fill="F2F2F2"/>
          </w:tcPr>
          <w:p>
            <w:r>
              <w:rPr>
                <w:sz w:val="19"/>
              </w:rPr>
              <w:t>Machine Gun</w:t>
            </w:r>
          </w:p>
        </w:tc>
        <w:tc>
          <w:tcPr>
            <w:tcW w:type="dxa" w:w="2880"/>
            <w:shd w:val="clear" w:color="auto" w:fill="F2F2F2"/>
          </w:tcPr>
          <w:p>
            <w:r>
              <w:rPr>
                <w:sz w:val="19"/>
              </w:rPr>
              <w:t>Scalping — mean reversion</w:t>
            </w:r>
          </w:p>
        </w:tc>
      </w:tr>
      <w:tr>
        <w:tc>
          <w:tcPr>
            <w:tcW w:type="dxa" w:w="2160"/>
            <w:shd w:val="clear" w:color="auto" w:fill="FFFFFF"/>
          </w:tcPr>
          <w:p>
            <w:r>
              <w:rPr>
                <w:sz w:val="19"/>
              </w:rPr>
              <w:t>12000–15999</w:t>
            </w:r>
          </w:p>
        </w:tc>
        <w:tc>
          <w:tcPr>
            <w:tcW w:type="dxa" w:w="2304"/>
            <w:shd w:val="clear" w:color="auto" w:fill="FFFFFF"/>
          </w:tcPr>
          <w:p>
            <w:r>
              <w:rPr>
                <w:sz w:val="19"/>
              </w:rPr>
              <w:t>ORB Long Pool</w:t>
            </w:r>
          </w:p>
        </w:tc>
        <w:tc>
          <w:tcPr>
            <w:tcW w:type="dxa" w:w="3168"/>
            <w:shd w:val="clear" w:color="auto" w:fill="FFFFFF"/>
          </w:tcPr>
          <w:p>
            <w:r>
              <w:rPr>
                <w:sz w:val="19"/>
              </w:rPr>
              <w:t>Sniper (Exness Raw → IC Markets)</w:t>
            </w:r>
          </w:p>
        </w:tc>
        <w:tc>
          <w:tcPr>
            <w:tcW w:type="dxa" w:w="2880"/>
            <w:shd w:val="clear" w:color="auto" w:fill="FFFFFF"/>
          </w:tcPr>
          <w:p>
            <w:r>
              <w:rPr>
                <w:sz w:val="19"/>
              </w:rPr>
              <w:t>ORB — directional long</w:t>
            </w:r>
          </w:p>
        </w:tc>
      </w:tr>
      <w:tr>
        <w:tc>
          <w:tcPr>
            <w:tcW w:type="dxa" w:w="2160"/>
            <w:shd w:val="clear" w:color="auto" w:fill="F2F2F2"/>
          </w:tcPr>
          <w:p>
            <w:r>
              <w:rPr>
                <w:sz w:val="19"/>
              </w:rPr>
              <w:t>16000–19999</w:t>
            </w:r>
          </w:p>
        </w:tc>
        <w:tc>
          <w:tcPr>
            <w:tcW w:type="dxa" w:w="2304"/>
            <w:shd w:val="clear" w:color="auto" w:fill="F2F2F2"/>
          </w:tcPr>
          <w:p>
            <w:r>
              <w:rPr>
                <w:sz w:val="19"/>
              </w:rPr>
              <w:t>ORB Short Pool</w:t>
            </w:r>
          </w:p>
        </w:tc>
        <w:tc>
          <w:tcPr>
            <w:tcW w:type="dxa" w:w="3168"/>
            <w:shd w:val="clear" w:color="auto" w:fill="F2F2F2"/>
          </w:tcPr>
          <w:p>
            <w:r>
              <w:rPr>
                <w:sz w:val="19"/>
              </w:rPr>
              <w:t>Sniper (Exness Raw → IC Markets)</w:t>
            </w:r>
          </w:p>
        </w:tc>
        <w:tc>
          <w:tcPr>
            <w:tcW w:type="dxa" w:w="2880"/>
            <w:shd w:val="clear" w:color="auto" w:fill="F2F2F2"/>
          </w:tcPr>
          <w:p>
            <w:r>
              <w:rPr>
                <w:sz w:val="19"/>
              </w:rPr>
              <w:t>ORB — directional short</w:t>
            </w:r>
          </w:p>
        </w:tc>
      </w:tr>
      <w:tr>
        <w:tc>
          <w:tcPr>
            <w:tcW w:type="dxa" w:w="2160"/>
            <w:shd w:val="clear" w:color="auto" w:fill="FFFFFF"/>
          </w:tcPr>
          <w:p>
            <w:r>
              <w:rPr>
                <w:sz w:val="19"/>
              </w:rPr>
              <w:t>20000–20999</w:t>
            </w:r>
          </w:p>
        </w:tc>
        <w:tc>
          <w:tcPr>
            <w:tcW w:type="dxa" w:w="2304"/>
            <w:shd w:val="clear" w:color="auto" w:fill="FFFFFF"/>
          </w:tcPr>
          <w:p>
            <w:r>
              <w:rPr>
                <w:sz w:val="19"/>
              </w:rPr>
              <w:t>ORB False Breakout Pool</w:t>
            </w:r>
          </w:p>
        </w:tc>
        <w:tc>
          <w:tcPr>
            <w:tcW w:type="dxa" w:w="3168"/>
            <w:shd w:val="clear" w:color="auto" w:fill="FFFFFF"/>
          </w:tcPr>
          <w:p>
            <w:r>
              <w:rPr>
                <w:sz w:val="19"/>
              </w:rPr>
              <w:t>Sniper</w:t>
            </w:r>
          </w:p>
        </w:tc>
        <w:tc>
          <w:tcPr>
            <w:tcW w:type="dxa" w:w="2880"/>
            <w:shd w:val="clear" w:color="auto" w:fill="FFFFFF"/>
          </w:tcPr>
          <w:p>
            <w:r>
              <w:rPr>
                <w:sz w:val="19"/>
              </w:rPr>
              <w:t>ORB — false breakout reversal</w:t>
            </w:r>
          </w:p>
        </w:tc>
      </w:tr>
    </w:tbl>
    <w:p/>
    <w:p/>
    <w:p>
      <w:pPr>
        <w:pStyle w:val="Heading1"/>
      </w:pPr>
      <w:r>
        <w:rPr>
          <w:color w:val="1F3864"/>
        </w:rPr>
        <w:t>3. Execution Layer: Three-Layer SL/TP Architecture (New)</w:t>
      </w:r>
    </w:p>
    <w:p>
      <w:r>
        <w:rPr>
          <w:b w:val="0"/>
          <w:i w:val="0"/>
          <w:sz w:val="21"/>
        </w:rPr>
        <w:t>This architecture is new and not specified in the prior planning document. It defines how stop loss and take profit are managed across three independent layers.</w:t>
      </w:r>
    </w:p>
    <w:p>
      <w:pPr>
        <w:pStyle w:val="Heading2"/>
      </w:pPr>
      <w:r>
        <w:rPr>
          <w:color w:val="2E5496"/>
        </w:rPr>
        <w:t>Layer 1 — Hard Safety SL/TP (EA at Broker Level)</w:t>
      </w:r>
    </w:p>
    <w:p>
      <w:r>
        <w:rPr>
          <w:b w:val="0"/>
          <w:i w:val="0"/>
          <w:sz w:val="21"/>
        </w:rPr>
        <w:t>Every EA sets a hard SL and TP at order placement time via MQL5. This is non-negotiable and must be present in every EA template. This is the safety net: if Python crashes, ZMQ disconnects, or Cloudzy goes offline, the broker still holds the stop. For scalping: hard SL = 1.5–2× ATR for that timeframe. Hard TP = 1.2–1.5× the stop distance.</w:t>
      </w:r>
    </w:p>
    <w:p>
      <w:pPr>
        <w:ind w:left="432"/>
      </w:pPr>
      <w:r>
        <w:rPr>
          <w:i/>
          <w:color w:val="555555"/>
          <w:sz w:val="19"/>
        </w:rPr>
        <w:t>NOTE: This is already implied by the EA tag architecture in epics.md but must be explicitly enforced in every generated EA template during AlphaForge Workflow 1.</w:t>
      </w:r>
    </w:p>
    <w:p>
      <w:pPr>
        <w:pStyle w:val="Heading2"/>
      </w:pPr>
      <w:r>
        <w:rPr>
          <w:color w:val="2E5496"/>
        </w:rPr>
        <w:t>Layer 2 — Dynamic Position Modification (Cloudzy-Local Only)</w:t>
      </w:r>
    </w:p>
    <w:p>
      <w:r>
        <w:rPr>
          <w:b w:val="0"/>
          <w:i w:val="0"/>
          <w:sz w:val="21"/>
        </w:rPr>
        <w:t>A lightweight Position Monitor service runs on Cloudzy. It holds a table of open positions and monitors two conditions per position: (1) price has moved 1R in favour → move SL to break-even, and (2) Sentinel cached regime has changed (published to Redis). When either condition is met, the Position Monitor sends TRADE_ACTION_MODIFY directly via ZMQ.</w:t>
      </w:r>
    </w:p>
    <w:p>
      <w:r>
        <w:rPr>
          <w:b w:val="0"/>
          <w:i w:val="0"/>
          <w:sz w:val="21"/>
        </w:rPr>
        <w:t>Layer 2 MUST run on Cloudzy — not Contabo. Routing a stop modification through Contabo → Cloudzy → ZMQ adds 5–15ms of inter-node HTTP latency before execution begins. This is unacceptable for an open position on a scalping timeframe.</w:t>
      </w:r>
    </w:p>
    <w:p>
      <w:r>
        <w:rPr>
          <w:b/>
          <w:sz w:val="21"/>
        </w:rPr>
        <w:t xml:space="preserve">Layer 2 latency budget: </w:t>
      </w:r>
      <w:r>
        <w:rPr>
          <w:sz w:val="21"/>
        </w:rPr>
        <w:t>Redis read (1ms) + ZMQ modify (5–20ms broker RT) = 6–21ms total</w:t>
      </w:r>
    </w:p>
    <w:p>
      <w:r>
        <w:rPr>
          <w:b/>
          <w:i w:val="0"/>
          <w:sz w:val="21"/>
        </w:rPr>
        <w:t>Multi-timeframe conflict resolution for Layer 2 decisions:</w:t>
      </w:r>
    </w:p>
    <w:p>
      <w:pPr>
        <w:pStyle w:val="ListBullet"/>
        <w:ind w:left="432"/>
      </w:pPr>
      <w:r>
        <w:rPr>
          <w:sz w:val="21"/>
        </w:rPr>
        <w:t>Only M5 regime shifts, H1 intact → no action. M5 noise is expected. H1 still valid.</w:t>
      </w:r>
    </w:p>
    <w:p>
      <w:pPr>
        <w:pStyle w:val="ListBullet"/>
        <w:ind w:left="432"/>
      </w:pPr>
      <w:r>
        <w:rPr>
          <w:sz w:val="21"/>
        </w:rPr>
        <w:t>H1 flips against open position → move SL to nearest structural level (tighten, not close).</w:t>
      </w:r>
    </w:p>
    <w:p>
      <w:pPr>
        <w:pStyle w:val="ListBullet"/>
        <w:ind w:left="432"/>
      </w:pPr>
      <w:r>
        <w:rPr>
          <w:sz w:val="21"/>
        </w:rPr>
        <w:t>Both H1 AND H4 flip against open position → tighten aggressively. Accept reduced loss.</w:t>
      </w:r>
    </w:p>
    <w:p>
      <w:pPr>
        <w:pStyle w:val="ListBullet"/>
        <w:ind w:left="432"/>
      </w:pPr>
      <w:r>
        <w:rPr>
          <w:sz w:val="21"/>
        </w:rPr>
        <w:t>CHAOS signal from Lyapunov or Correlation Sensor → Layer 3 applies (see Section 3 Layer 3).</w:t>
      </w:r>
    </w:p>
    <w:p>
      <w:pPr>
        <w:pStyle w:val="Heading3"/>
      </w:pPr>
      <w:r>
        <w:rPr>
          <w:color w:val="375623"/>
        </w:rPr>
        <w:t>Regime Persistence Timer (New Component)</w:t>
      </w:r>
    </w:p>
    <w:p>
      <w:r>
        <w:rPr>
          <w:b w:val="0"/>
          <w:i w:val="0"/>
          <w:sz w:val="21"/>
        </w:rPr>
        <w:t>Before any Layer 2 action is triggered by a regime shift, the new regime must persist for N consecutive bars (configurable per timeframe). Default: 3 M5 bars = 15 minutes for scalping, 2 H1 bars = 2 hours for ORB. If the regime reverts before N bars, the timer resets and no Layer 2 action is taken. This prevents false regime flips from whipsaw markets triggering unnecessary stop modifications.</w:t>
      </w:r>
    </w:p>
    <w:p>
      <w:pPr>
        <w:pStyle w:val="Heading2"/>
      </w:pPr>
      <w:r>
        <w:rPr>
          <w:color w:val="2E5496"/>
        </w:rPr>
        <w:t>Layer 3 — System-Level Forced Exit (CHAOS + Kill Switch Only)</w:t>
      </w:r>
    </w:p>
    <w:p>
      <w:r>
        <w:rPr>
          <w:b w:val="0"/>
          <w:i w:val="0"/>
          <w:sz w:val="21"/>
        </w:rPr>
        <w:t>The validated EA's trade logic is trusted for normal market conditions. Layer 3 applies exclusively in three scenarios:</w:t>
      </w:r>
    </w:p>
    <w:p>
      <w:pPr>
        <w:pStyle w:val="ListBullet"/>
        <w:ind w:left="432"/>
      </w:pPr>
      <w:r>
        <w:rPr>
          <w:sz w:val="21"/>
        </w:rPr>
        <w:t>CHAOS condition: Lyapunov exponent above threshold OR Correlation Sensor max_eigenvalue &gt; 2.0. These represent conditions outside the backtest envelope — not normal regime cycling.</w:t>
      </w:r>
    </w:p>
    <w:p>
      <w:pPr>
        <w:pStyle w:val="ListBullet"/>
        <w:ind w:left="432"/>
      </w:pPr>
      <w:r>
        <w:rPr>
          <w:sz w:val="21"/>
        </w:rPr>
        <w:t>Prop firm drawdown breach: PropFirmOverlay hard limit reached.</w:t>
      </w:r>
    </w:p>
    <w:p>
      <w:pPr>
        <w:pStyle w:val="ListBullet"/>
        <w:ind w:left="432"/>
      </w:pPr>
      <w:r>
        <w:rPr>
          <w:sz w:val="21"/>
        </w:rPr>
        <w:t>Kill switch activation: Any tier (soft/progressive/full) triggered by operator.</w:t>
      </w:r>
    </w:p>
    <w:p>
      <w:r>
        <w:rPr>
          <w:b w:val="0"/>
          <w:i w:val="0"/>
          <w:sz w:val="21"/>
        </w:rPr>
        <w:t>For ORB open positions under Layer 3: tighten stop to lock partial profit rather than immediately closing. Immediate close only on hard CHAOS or kill switch. For scalping: immediate close is acceptable given the short holding period and small per-trade R.</w:t>
      </w:r>
    </w:p>
    <w:p/>
    <w:p>
      <w:pPr>
        <w:pStyle w:val="Heading1"/>
      </w:pPr>
      <w:r>
        <w:rPr>
          <w:color w:val="1F3864"/>
        </w:rPr>
        <w:t>4. Regime-Conditional Strategy Pool Framework (New)</w:t>
      </w:r>
    </w:p>
    <w:p>
      <w:r>
        <w:rPr>
          <w:b w:val="0"/>
          <w:i w:val="0"/>
          <w:sz w:val="21"/>
        </w:rPr>
        <w:t>Replaces the concept of a single bot with a 'directional flip switch.' The system maintains three competing pools for scalping and two for ORB, all activated by Sentinel regime state.</w:t>
      </w:r>
    </w:p>
    <w:p>
      <w:pPr>
        <w:pStyle w:val="Heading2"/>
      </w:pPr>
      <w:r>
        <w:rPr>
          <w:color w:val="2E5496"/>
        </w:rPr>
        <w:t>4.1 Scalping Pools</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1F3864"/>
          </w:tcPr>
          <w:p>
            <w:r>
              <w:rPr>
                <w:b/>
                <w:color w:val="FFFFFF"/>
                <w:sz w:val="19"/>
              </w:rPr>
              <w:t>Pool</w:t>
            </w:r>
          </w:p>
        </w:tc>
        <w:tc>
          <w:tcPr>
            <w:tcW w:type="dxa" w:w="3456"/>
            <w:shd w:val="clear" w:color="auto" w:fill="1F3864"/>
          </w:tcPr>
          <w:p>
            <w:r>
              <w:rPr>
                <w:b/>
                <w:color w:val="FFFFFF"/>
                <w:sz w:val="19"/>
              </w:rPr>
              <w:t>Activation Condition</w:t>
            </w:r>
          </w:p>
        </w:tc>
        <w:tc>
          <w:tcPr>
            <w:tcW w:type="dxa" w:w="2592"/>
            <w:shd w:val="clear" w:color="auto" w:fill="1F3864"/>
          </w:tcPr>
          <w:p>
            <w:r>
              <w:rPr>
                <w:b/>
                <w:color w:val="FFFFFF"/>
                <w:sz w:val="19"/>
              </w:rPr>
              <w:t>Regime Confidence Threshold</w:t>
            </w:r>
          </w:p>
        </w:tc>
        <w:tc>
          <w:tcPr>
            <w:tcW w:type="dxa" w:w="2304"/>
            <w:shd w:val="clear" w:color="auto" w:fill="1F3864"/>
          </w:tcPr>
          <w:p>
            <w:r>
              <w:rPr>
                <w:b/>
                <w:color w:val="FFFFFF"/>
                <w:sz w:val="19"/>
              </w:rPr>
              <w:t>Direction</w:t>
            </w:r>
          </w:p>
        </w:tc>
      </w:tr>
      <w:tr>
        <w:tc>
          <w:tcPr>
            <w:tcW w:type="dxa" w:w="2160"/>
            <w:shd w:val="clear" w:color="auto" w:fill="F2F2F2"/>
          </w:tcPr>
          <w:p>
            <w:r>
              <w:rPr>
                <w:sz w:val="19"/>
              </w:rPr>
              <w:t>Long Scalper Pool</w:t>
            </w:r>
          </w:p>
        </w:tc>
        <w:tc>
          <w:tcPr>
            <w:tcW w:type="dxa" w:w="3456"/>
            <w:shd w:val="clear" w:color="auto" w:fill="F2F2F2"/>
          </w:tcPr>
          <w:p>
            <w:r>
              <w:rPr>
                <w:sz w:val="19"/>
              </w:rPr>
              <w:t>H1/H4 Sentinel = TREND_UP</w:t>
            </w:r>
          </w:p>
        </w:tc>
        <w:tc>
          <w:tcPr>
            <w:tcW w:type="dxa" w:w="2592"/>
            <w:shd w:val="clear" w:color="auto" w:fill="F2F2F2"/>
          </w:tcPr>
          <w:p>
            <w:r>
              <w:rPr>
                <w:sz w:val="19"/>
              </w:rPr>
              <w:t>&gt; 0.65</w:t>
            </w:r>
          </w:p>
        </w:tc>
        <w:tc>
          <w:tcPr>
            <w:tcW w:type="dxa" w:w="2304"/>
            <w:shd w:val="clear" w:color="auto" w:fill="F2F2F2"/>
          </w:tcPr>
          <w:p>
            <w:r>
              <w:rPr>
                <w:sz w:val="19"/>
              </w:rPr>
              <w:t>Long entries only</w:t>
            </w:r>
          </w:p>
        </w:tc>
      </w:tr>
      <w:tr>
        <w:tc>
          <w:tcPr>
            <w:tcW w:type="dxa" w:w="2160"/>
            <w:shd w:val="clear" w:color="auto" w:fill="FFFFFF"/>
          </w:tcPr>
          <w:p>
            <w:r>
              <w:rPr>
                <w:sz w:val="19"/>
              </w:rPr>
              <w:t>Short Scalper Pool</w:t>
            </w:r>
          </w:p>
        </w:tc>
        <w:tc>
          <w:tcPr>
            <w:tcW w:type="dxa" w:w="3456"/>
            <w:shd w:val="clear" w:color="auto" w:fill="FFFFFF"/>
          </w:tcPr>
          <w:p>
            <w:r>
              <w:rPr>
                <w:sz w:val="19"/>
              </w:rPr>
              <w:t>H1/H4 Sentinel = TREND_DOWN</w:t>
            </w:r>
          </w:p>
        </w:tc>
        <w:tc>
          <w:tcPr>
            <w:tcW w:type="dxa" w:w="2592"/>
            <w:shd w:val="clear" w:color="auto" w:fill="FFFFFF"/>
          </w:tcPr>
          <w:p>
            <w:r>
              <w:rPr>
                <w:sz w:val="19"/>
              </w:rPr>
              <w:t>&gt; 0.65</w:t>
            </w:r>
          </w:p>
        </w:tc>
        <w:tc>
          <w:tcPr>
            <w:tcW w:type="dxa" w:w="2304"/>
            <w:shd w:val="clear" w:color="auto" w:fill="FFFFFF"/>
          </w:tcPr>
          <w:p>
            <w:r>
              <w:rPr>
                <w:sz w:val="19"/>
              </w:rPr>
              <w:t>Short entries only</w:t>
            </w:r>
          </w:p>
        </w:tc>
      </w:tr>
      <w:tr>
        <w:tc>
          <w:tcPr>
            <w:tcW w:type="dxa" w:w="2160"/>
            <w:shd w:val="clear" w:color="auto" w:fill="F2F2F2"/>
          </w:tcPr>
          <w:p>
            <w:r>
              <w:rPr>
                <w:sz w:val="19"/>
              </w:rPr>
              <w:t>Neutral/Range Pool</w:t>
            </w:r>
          </w:p>
        </w:tc>
        <w:tc>
          <w:tcPr>
            <w:tcW w:type="dxa" w:w="3456"/>
            <w:shd w:val="clear" w:color="auto" w:fill="F2F2F2"/>
          </w:tcPr>
          <w:p>
            <w:r>
              <w:rPr>
                <w:sz w:val="19"/>
              </w:rPr>
              <w:t>RANGE_STABLE or confidence &lt; 0.65</w:t>
            </w:r>
          </w:p>
        </w:tc>
        <w:tc>
          <w:tcPr>
            <w:tcW w:type="dxa" w:w="2592"/>
            <w:shd w:val="clear" w:color="auto" w:fill="F2F2F2"/>
          </w:tcPr>
          <w:p>
            <w:r>
              <w:rPr>
                <w:sz w:val="19"/>
              </w:rPr>
              <w:t>N/A</w:t>
            </w:r>
          </w:p>
        </w:tc>
        <w:tc>
          <w:tcPr>
            <w:tcW w:type="dxa" w:w="2304"/>
            <w:shd w:val="clear" w:color="auto" w:fill="F2F2F2"/>
          </w:tcPr>
          <w:p>
            <w:r>
              <w:rPr>
                <w:sz w:val="19"/>
              </w:rPr>
              <w:t>Mean-reversion both directions</w:t>
            </w:r>
          </w:p>
        </w:tc>
      </w:tr>
    </w:tbl>
    <w:p/>
    <w:p>
      <w:r>
        <w:rPr>
          <w:b w:val="0"/>
          <w:i w:val="0"/>
          <w:sz w:val="21"/>
        </w:rPr>
        <w:t>When regime confidence is 0.40–0.65: only Neutral/Range pool activates. When regime confidence &lt; 0.40 or regime = HIGH_CHAOS: no new scalp entries. All open positions managed by their own SL/TP (trust the EA).</w:t>
      </w:r>
    </w:p>
    <w:p>
      <w:pPr>
        <w:pStyle w:val="Heading2"/>
      </w:pPr>
      <w:r>
        <w:rPr>
          <w:color w:val="2E5496"/>
        </w:rPr>
        <w:t>4.2 ORB Pools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F3864"/>
          </w:tcPr>
          <w:p>
            <w:r>
              <w:rPr>
                <w:b/>
                <w:color w:val="FFFFFF"/>
                <w:sz w:val="19"/>
              </w:rPr>
              <w:t>Pool</w:t>
            </w:r>
          </w:p>
        </w:tc>
        <w:tc>
          <w:tcPr>
            <w:tcW w:type="dxa" w:w="4608"/>
            <w:shd w:val="clear" w:color="auto" w:fill="1F3864"/>
          </w:tcPr>
          <w:p>
            <w:r>
              <w:rPr>
                <w:b/>
                <w:color w:val="FFFFFF"/>
                <w:sz w:val="19"/>
              </w:rPr>
              <w:t>Activation Condition</w:t>
            </w:r>
          </w:p>
        </w:tc>
        <w:tc>
          <w:tcPr>
            <w:tcW w:type="dxa" w:w="2448"/>
            <w:shd w:val="clear" w:color="auto" w:fill="1F3864"/>
          </w:tcPr>
          <w:p>
            <w:r>
              <w:rPr>
                <w:b/>
                <w:color w:val="FFFFFF"/>
                <w:sz w:val="19"/>
              </w:rPr>
              <w:t>Notes</w:t>
            </w:r>
          </w:p>
        </w:tc>
      </w:tr>
      <w:tr>
        <w:tc>
          <w:tcPr>
            <w:tcW w:type="dxa" w:w="2592"/>
            <w:shd w:val="clear" w:color="auto" w:fill="F2F2F2"/>
          </w:tcPr>
          <w:p>
            <w:r>
              <w:rPr>
                <w:sz w:val="19"/>
              </w:rPr>
              <w:t>ORB Long Pool</w:t>
            </w:r>
          </w:p>
        </w:tc>
        <w:tc>
          <w:tcPr>
            <w:tcW w:type="dxa" w:w="4608"/>
            <w:shd w:val="clear" w:color="auto" w:fill="F2F2F2"/>
          </w:tcPr>
          <w:p>
            <w:r>
              <w:rPr>
                <w:sz w:val="19"/>
              </w:rPr>
              <w:t>Session open breakout above range high + volume confirmed + H1 TREND_UP or BREAKOUT_PRIME</w:t>
            </w:r>
          </w:p>
        </w:tc>
        <w:tc>
          <w:tcPr>
            <w:tcW w:type="dxa" w:w="2448"/>
            <w:shd w:val="clear" w:color="auto" w:fill="F2F2F2"/>
          </w:tcPr>
          <w:p>
            <w:r>
              <w:rPr>
                <w:sz w:val="19"/>
              </w:rPr>
              <w:t>Primary ORB direction</w:t>
            </w:r>
          </w:p>
        </w:tc>
      </w:tr>
      <w:tr>
        <w:tc>
          <w:tcPr>
            <w:tcW w:type="dxa" w:w="2592"/>
            <w:shd w:val="clear" w:color="auto" w:fill="FFFFFF"/>
          </w:tcPr>
          <w:p>
            <w:r>
              <w:rPr>
                <w:sz w:val="19"/>
              </w:rPr>
              <w:t>ORB Short Pool</w:t>
            </w:r>
          </w:p>
        </w:tc>
        <w:tc>
          <w:tcPr>
            <w:tcW w:type="dxa" w:w="4608"/>
            <w:shd w:val="clear" w:color="auto" w:fill="FFFFFF"/>
          </w:tcPr>
          <w:p>
            <w:r>
              <w:rPr>
                <w:sz w:val="19"/>
              </w:rPr>
              <w:t>Session open breakout below range low + volume confirmed</w:t>
            </w:r>
          </w:p>
        </w:tc>
        <w:tc>
          <w:tcPr>
            <w:tcW w:type="dxa" w:w="2448"/>
            <w:shd w:val="clear" w:color="auto" w:fill="FFFFFF"/>
          </w:tcPr>
          <w:p>
            <w:r>
              <w:rPr>
                <w:sz w:val="19"/>
              </w:rPr>
              <w:t>Primary ORB direction</w:t>
            </w:r>
          </w:p>
        </w:tc>
      </w:tr>
      <w:tr>
        <w:tc>
          <w:tcPr>
            <w:tcW w:type="dxa" w:w="2592"/>
            <w:shd w:val="clear" w:color="auto" w:fill="F2F2F2"/>
          </w:tcPr>
          <w:p>
            <w:r>
              <w:rPr>
                <w:sz w:val="19"/>
              </w:rPr>
              <w:t>ORB False Breakout Pool</w:t>
            </w:r>
          </w:p>
        </w:tc>
        <w:tc>
          <w:tcPr>
            <w:tcW w:type="dxa" w:w="4608"/>
            <w:shd w:val="clear" w:color="auto" w:fill="F2F2F2"/>
          </w:tcPr>
          <w:p>
            <w:r>
              <w:rPr>
                <w:sz w:val="19"/>
              </w:rPr>
              <w:t>Breakout fires but price reverses back through range within 2 bars + volume surge</w:t>
            </w:r>
          </w:p>
        </w:tc>
        <w:tc>
          <w:tcPr>
            <w:tcW w:type="dxa" w:w="2448"/>
            <w:shd w:val="clear" w:color="auto" w:fill="F2F2F2"/>
          </w:tcPr>
          <w:p>
            <w:r>
              <w:rPr>
                <w:sz w:val="19"/>
              </w:rPr>
              <w:t>Reversal variant — own signal, own backtest history</w:t>
            </w:r>
          </w:p>
        </w:tc>
      </w:tr>
    </w:tbl>
    <w:p/>
    <w:p>
      <w:pPr>
        <w:ind w:left="432"/>
      </w:pPr>
      <w:r>
        <w:rPr>
          <w:i/>
          <w:color w:val="555555"/>
          <w:sz w:val="19"/>
        </w:rPr>
        <w:t>NOTE: The False Breakout Pool is a distinct strategy family with its own backtest history. It is NOT the ORB bot with a direction toggle — it is trained specifically on the false breakout pattern and is only active when that specific setup criteria is met.</w:t>
      </w:r>
    </w:p>
    <w:p>
      <w:pPr>
        <w:pStyle w:val="Heading2"/>
      </w:pPr>
      <w:r>
        <w:rPr>
          <w:color w:val="2E5496"/>
        </w:rPr>
        <w:t>4.3 Routing Matrix Adjustment</w:t>
      </w:r>
    </w:p>
    <w:p>
      <w:r>
        <w:rPr>
          <w:b w:val="0"/>
          <w:i w:val="0"/>
          <w:sz w:val="21"/>
        </w:rPr>
        <w:t>The routing matrix (src/router/routing_matrix.py) must be updated to reflect the two primary strategy families explicitly: Scalping family (Machine Gun account) and ORB family (Sniper account). StrategyType enum to add: SCALPER_LONG, SCALPER_SHORT, SCALPER_RANGE, ORB_LONG, ORB_SHORT, ORB_FALSE_BREAKOUT. Commander routing logic gates pool activation against Sentinel regime confidence before dispatching.</w:t>
      </w:r>
    </w:p>
    <w:p/>
    <w:p>
      <w:pPr>
        <w:pStyle w:val="Heading1"/>
      </w:pPr>
      <w:r>
        <w:rPr>
          <w:color w:val="1F3864"/>
        </w:rPr>
        <w:t>5. High Liquidity Session Windows (New)</w:t>
      </w:r>
    </w:p>
    <w:p>
      <w:r>
        <w:rPr>
          <w:b w:val="0"/>
          <w:i w:val="0"/>
          <w:sz w:val="21"/>
        </w:rPr>
        <w:t>The system is designed to flourish during high-liquidity, directional market windows. The following five windows are the canonical active periods. Each bot family specifies its session mask from this list.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60"/>
            <w:shd w:val="clear" w:color="auto" w:fill="1F3864"/>
          </w:tcPr>
          <w:p>
            <w:r>
              <w:rPr>
                <w:b/>
                <w:color w:val="FFFFFF"/>
                <w:sz w:val="19"/>
              </w:rPr>
              <w:t>Window</w:t>
            </w:r>
          </w:p>
        </w:tc>
        <w:tc>
          <w:tcPr>
            <w:tcW w:type="dxa" w:w="1728"/>
            <w:shd w:val="clear" w:color="auto" w:fill="1F3864"/>
          </w:tcPr>
          <w:p>
            <w:r>
              <w:rPr>
                <w:b/>
                <w:color w:val="FFFFFF"/>
                <w:sz w:val="19"/>
              </w:rPr>
              <w:t>GMT Time</w:t>
            </w:r>
          </w:p>
        </w:tc>
        <w:tc>
          <w:tcPr>
            <w:tcW w:type="dxa" w:w="2880"/>
            <w:shd w:val="clear" w:color="auto" w:fill="1F3864"/>
          </w:tcPr>
          <w:p>
            <w:r>
              <w:rPr>
                <w:b/>
                <w:color w:val="FFFFFF"/>
                <w:sz w:val="19"/>
              </w:rPr>
              <w:t>Pairs</w:t>
            </w:r>
          </w:p>
        </w:tc>
        <w:tc>
          <w:tcPr>
            <w:tcW w:type="dxa" w:w="2880"/>
            <w:shd w:val="clear" w:color="auto" w:fill="1F3864"/>
          </w:tcPr>
          <w:p>
            <w:r>
              <w:rPr>
                <w:b/>
                <w:color w:val="FFFFFF"/>
                <w:sz w:val="19"/>
              </w:rPr>
              <w:t>Primary Strategy</w:t>
            </w:r>
          </w:p>
        </w:tc>
        <w:tc>
          <w:tcPr>
            <w:tcW w:type="dxa" w:w="1296"/>
            <w:shd w:val="clear" w:color="auto" w:fill="1F3864"/>
          </w:tcPr>
          <w:p>
            <w:r>
              <w:rPr>
                <w:b/>
                <w:color w:val="FFFFFF"/>
                <w:sz w:val="19"/>
              </w:rPr>
              <w:t>Priority</w:t>
            </w:r>
          </w:p>
        </w:tc>
      </w:tr>
      <w:tr>
        <w:tc>
          <w:tcPr>
            <w:tcW w:type="dxa" w:w="2160"/>
            <w:shd w:val="clear" w:color="auto" w:fill="F2F2F2"/>
          </w:tcPr>
          <w:p>
            <w:r>
              <w:rPr>
                <w:sz w:val="19"/>
              </w:rPr>
              <w:t>London Open</w:t>
            </w:r>
          </w:p>
        </w:tc>
        <w:tc>
          <w:tcPr>
            <w:tcW w:type="dxa" w:w="1728"/>
            <w:shd w:val="clear" w:color="auto" w:fill="F2F2F2"/>
          </w:tcPr>
          <w:p>
            <w:r>
              <w:rPr>
                <w:sz w:val="19"/>
              </w:rPr>
              <w:t>07:00–09:00</w:t>
            </w:r>
          </w:p>
        </w:tc>
        <w:tc>
          <w:tcPr>
            <w:tcW w:type="dxa" w:w="2880"/>
            <w:shd w:val="clear" w:color="auto" w:fill="F2F2F2"/>
          </w:tcPr>
          <w:p>
            <w:r>
              <w:rPr>
                <w:sz w:val="19"/>
              </w:rPr>
              <w:t>EUR, GBP, CHF and USD crosses</w:t>
            </w:r>
          </w:p>
        </w:tc>
        <w:tc>
          <w:tcPr>
            <w:tcW w:type="dxa" w:w="2880"/>
            <w:shd w:val="clear" w:color="auto" w:fill="F2F2F2"/>
          </w:tcPr>
          <w:p>
            <w:r>
              <w:rPr>
                <w:sz w:val="19"/>
              </w:rPr>
              <w:t>ORB primary + Scalping</w:t>
            </w:r>
          </w:p>
        </w:tc>
        <w:tc>
          <w:tcPr>
            <w:tcW w:type="dxa" w:w="1296"/>
            <w:shd w:val="clear" w:color="auto" w:fill="F2F2F2"/>
          </w:tcPr>
          <w:p>
            <w:r>
              <w:rPr>
                <w:sz w:val="19"/>
              </w:rPr>
              <w:t>Tier 1</w:t>
            </w:r>
          </w:p>
        </w:tc>
      </w:tr>
      <w:tr>
        <w:tc>
          <w:tcPr>
            <w:tcW w:type="dxa" w:w="2160"/>
            <w:shd w:val="clear" w:color="auto" w:fill="FFFFFF"/>
          </w:tcPr>
          <w:p>
            <w:r>
              <w:rPr>
                <w:sz w:val="19"/>
              </w:rPr>
              <w:t>London–NY Overlap</w:t>
            </w:r>
          </w:p>
        </w:tc>
        <w:tc>
          <w:tcPr>
            <w:tcW w:type="dxa" w:w="1728"/>
            <w:shd w:val="clear" w:color="auto" w:fill="FFFFFF"/>
          </w:tcPr>
          <w:p>
            <w:r>
              <w:rPr>
                <w:sz w:val="19"/>
              </w:rPr>
              <w:t>13:00–16:00</w:t>
            </w:r>
          </w:p>
        </w:tc>
        <w:tc>
          <w:tcPr>
            <w:tcW w:type="dxa" w:w="2880"/>
            <w:shd w:val="clear" w:color="auto" w:fill="FFFFFF"/>
          </w:tcPr>
          <w:p>
            <w:r>
              <w:rPr>
                <w:sz w:val="19"/>
              </w:rPr>
              <w:t>All major pairs</w:t>
            </w:r>
          </w:p>
        </w:tc>
        <w:tc>
          <w:tcPr>
            <w:tcW w:type="dxa" w:w="2880"/>
            <w:shd w:val="clear" w:color="auto" w:fill="FFFFFF"/>
          </w:tcPr>
          <w:p>
            <w:r>
              <w:rPr>
                <w:sz w:val="19"/>
              </w:rPr>
              <w:t>Scalping primary + ORB secondary</w:t>
            </w:r>
          </w:p>
        </w:tc>
        <w:tc>
          <w:tcPr>
            <w:tcW w:type="dxa" w:w="1296"/>
            <w:shd w:val="clear" w:color="auto" w:fill="FFFFFF"/>
          </w:tcPr>
          <w:p>
            <w:r>
              <w:rPr>
                <w:sz w:val="19"/>
              </w:rPr>
              <w:t>Tier 1 — Premium</w:t>
            </w:r>
          </w:p>
        </w:tc>
      </w:tr>
      <w:tr>
        <w:tc>
          <w:tcPr>
            <w:tcW w:type="dxa" w:w="2160"/>
            <w:shd w:val="clear" w:color="auto" w:fill="F2F2F2"/>
          </w:tcPr>
          <w:p>
            <w:r>
              <w:rPr>
                <w:sz w:val="19"/>
              </w:rPr>
              <w:t>NY Open / US Data</w:t>
            </w:r>
          </w:p>
        </w:tc>
        <w:tc>
          <w:tcPr>
            <w:tcW w:type="dxa" w:w="1728"/>
            <w:shd w:val="clear" w:color="auto" w:fill="F2F2F2"/>
          </w:tcPr>
          <w:p>
            <w:r>
              <w:rPr>
                <w:sz w:val="19"/>
              </w:rPr>
              <w:t>13:00–15:30</w:t>
            </w:r>
          </w:p>
        </w:tc>
        <w:tc>
          <w:tcPr>
            <w:tcW w:type="dxa" w:w="2880"/>
            <w:shd w:val="clear" w:color="auto" w:fill="F2F2F2"/>
          </w:tcPr>
          <w:p>
            <w:r>
              <w:rPr>
                <w:sz w:val="19"/>
              </w:rPr>
              <w:t>USD pairs, EURUSD, GBPUSD, USDJPY</w:t>
            </w:r>
          </w:p>
        </w:tc>
        <w:tc>
          <w:tcPr>
            <w:tcW w:type="dxa" w:w="2880"/>
            <w:shd w:val="clear" w:color="auto" w:fill="F2F2F2"/>
          </w:tcPr>
          <w:p>
            <w:r>
              <w:rPr>
                <w:sz w:val="19"/>
              </w:rPr>
              <w:t>ORB secondary + Scalping</w:t>
            </w:r>
          </w:p>
        </w:tc>
        <w:tc>
          <w:tcPr>
            <w:tcW w:type="dxa" w:w="1296"/>
            <w:shd w:val="clear" w:color="auto" w:fill="F2F2F2"/>
          </w:tcPr>
          <w:p>
            <w:r>
              <w:rPr>
                <w:sz w:val="19"/>
              </w:rPr>
              <w:t>Tier 1</w:t>
            </w:r>
          </w:p>
        </w:tc>
      </w:tr>
      <w:tr>
        <w:tc>
          <w:tcPr>
            <w:tcW w:type="dxa" w:w="2160"/>
            <w:shd w:val="clear" w:color="auto" w:fill="FFFFFF"/>
          </w:tcPr>
          <w:p>
            <w:r>
              <w:rPr>
                <w:sz w:val="19"/>
              </w:rPr>
              <w:t>Tokyo Open</w:t>
            </w:r>
          </w:p>
        </w:tc>
        <w:tc>
          <w:tcPr>
            <w:tcW w:type="dxa" w:w="1728"/>
            <w:shd w:val="clear" w:color="auto" w:fill="FFFFFF"/>
          </w:tcPr>
          <w:p>
            <w:r>
              <w:rPr>
                <w:sz w:val="19"/>
              </w:rPr>
              <w:t>00:00–02:00</w:t>
            </w:r>
          </w:p>
        </w:tc>
        <w:tc>
          <w:tcPr>
            <w:tcW w:type="dxa" w:w="2880"/>
            <w:shd w:val="clear" w:color="auto" w:fill="FFFFFF"/>
          </w:tcPr>
          <w:p>
            <w:r>
              <w:rPr>
                <w:sz w:val="19"/>
              </w:rPr>
              <w:t>JPY pairs: USDJPY, EURJPY, GBPJPY. AUD active.</w:t>
            </w:r>
          </w:p>
        </w:tc>
        <w:tc>
          <w:tcPr>
            <w:tcW w:type="dxa" w:w="2880"/>
            <w:shd w:val="clear" w:color="auto" w:fill="FFFFFF"/>
          </w:tcPr>
          <w:p>
            <w:r>
              <w:rPr>
                <w:sz w:val="19"/>
              </w:rPr>
              <w:t>Scalping — JPY pool</w:t>
            </w:r>
          </w:p>
        </w:tc>
        <w:tc>
          <w:tcPr>
            <w:tcW w:type="dxa" w:w="1296"/>
            <w:shd w:val="clear" w:color="auto" w:fill="FFFFFF"/>
          </w:tcPr>
          <w:p>
            <w:r>
              <w:rPr>
                <w:sz w:val="19"/>
              </w:rPr>
              <w:t>Tier 2</w:t>
            </w:r>
          </w:p>
        </w:tc>
      </w:tr>
      <w:tr>
        <w:tc>
          <w:tcPr>
            <w:tcW w:type="dxa" w:w="2160"/>
            <w:shd w:val="clear" w:color="auto" w:fill="F2F2F2"/>
          </w:tcPr>
          <w:p>
            <w:r>
              <w:rPr>
                <w:sz w:val="19"/>
              </w:rPr>
              <w:t>Sydney–Tokyo Transition</w:t>
            </w:r>
          </w:p>
        </w:tc>
        <w:tc>
          <w:tcPr>
            <w:tcW w:type="dxa" w:w="1728"/>
            <w:shd w:val="clear" w:color="auto" w:fill="F2F2F2"/>
          </w:tcPr>
          <w:p>
            <w:r>
              <w:rPr>
                <w:sz w:val="19"/>
              </w:rPr>
              <w:t>22:00–01:00</w:t>
            </w:r>
          </w:p>
        </w:tc>
        <w:tc>
          <w:tcPr>
            <w:tcW w:type="dxa" w:w="2880"/>
            <w:shd w:val="clear" w:color="auto" w:fill="F2F2F2"/>
          </w:tcPr>
          <w:p>
            <w:r>
              <w:rPr>
                <w:sz w:val="19"/>
              </w:rPr>
              <w:t>AUD, NZD, JPY pairs</w:t>
            </w:r>
          </w:p>
        </w:tc>
        <w:tc>
          <w:tcPr>
            <w:tcW w:type="dxa" w:w="2880"/>
            <w:shd w:val="clear" w:color="auto" w:fill="F2F2F2"/>
          </w:tcPr>
          <w:p>
            <w:r>
              <w:rPr>
                <w:sz w:val="19"/>
              </w:rPr>
              <w:t>Scalping — AUD pool (wider spread filters required)</w:t>
            </w:r>
          </w:p>
        </w:tc>
        <w:tc>
          <w:tcPr>
            <w:tcW w:type="dxa" w:w="1296"/>
            <w:shd w:val="clear" w:color="auto" w:fill="F2F2F2"/>
          </w:tcPr>
          <w:p>
            <w:r>
              <w:rPr>
                <w:sz w:val="19"/>
              </w:rPr>
              <w:t>Tier 2</w:t>
            </w:r>
          </w:p>
        </w:tc>
      </w:tr>
    </w:tbl>
    <w:p/>
    <w:p>
      <w:r>
        <w:rPr>
          <w:b w:val="0"/>
          <w:i w:val="0"/>
          <w:sz w:val="21"/>
        </w:rPr>
        <w:t>Avoid: 16:00–22:00 GMT (post-London close to Sydney open). Low volume, widening spreads, choppy price action. This window is blocked for all new entries by session mask.</w:t>
      </w:r>
    </w:p>
    <w:p>
      <w:pPr>
        <w:ind w:left="432"/>
      </w:pPr>
      <w:r>
        <w:rPr>
          <w:i/>
          <w:color w:val="555555"/>
          <w:sz w:val="19"/>
        </w:rPr>
        <w:t>NOTE: The London–NY Overlap (Tier 1 Premium) is the highest-priority window and receives session-scoped Kelly modifications (see Section 9).</w:t>
      </w:r>
    </w:p>
    <w:p/>
    <w:p>
      <w:pPr>
        <w:pStyle w:val="Heading1"/>
      </w:pPr>
      <w:r>
        <w:rPr>
          <w:color w:val="1F3864"/>
        </w:rPr>
        <w:t>6. Bot Family Templates (New)</w:t>
      </w:r>
    </w:p>
    <w:p>
      <w:r>
        <w:rPr>
          <w:b w:val="0"/>
          <w:i w:val="0"/>
          <w:sz w:val="21"/>
        </w:rPr>
        <w:t>These templates define the specific rules for each strategy family. The AlphaForge agentic system MUST use these templates when generating EA code and validation workflows. When Development Department builds a bot, it selects a family template and adheres to the rules below. These are not suggestions — they are architectural constraints.</w:t>
      </w:r>
    </w:p>
    <w:p>
      <w:pPr>
        <w:pStyle w:val="Heading2"/>
      </w:pPr>
      <w:r>
        <w:rPr>
          <w:color w:val="2E5496"/>
        </w:rPr>
        <w:t>6.1 Scalping Family Template</w:t>
      </w:r>
    </w:p>
    <w:tbl>
      <w:tblPr>
        <w:tblStyle w:val="TableGrid"/>
        <w:tblW w:type="auto" w:w="0"/>
        <w:tblLook w:firstColumn="1" w:firstRow="1" w:lastColumn="0" w:lastRow="0" w:noHBand="0" w:noVBand="1" w:val="04A0"/>
      </w:tblPr>
      <w:tblGrid>
        <w:gridCol w:w="4536"/>
        <w:gridCol w:w="4536"/>
      </w:tblGrid>
      <w:tr>
        <w:tc>
          <w:tcPr>
            <w:tcW w:type="dxa" w:w="2592"/>
            <w:shd w:val="clear" w:color="auto" w:fill="1F3864"/>
          </w:tcPr>
          <w:p>
            <w:r>
              <w:rPr>
                <w:b/>
                <w:color w:val="FFFFFF"/>
                <w:sz w:val="19"/>
              </w:rPr>
              <w:t>Parameter</w:t>
            </w:r>
          </w:p>
        </w:tc>
        <w:tc>
          <w:tcPr>
            <w:tcW w:type="dxa" w:w="7200"/>
            <w:shd w:val="clear" w:color="auto" w:fill="1F3864"/>
          </w:tcPr>
          <w:p>
            <w:r>
              <w:rPr>
                <w:b/>
                <w:color w:val="FFFFFF"/>
                <w:sz w:val="19"/>
              </w:rPr>
              <w:t>Rule</w:t>
            </w:r>
          </w:p>
        </w:tc>
      </w:tr>
      <w:tr>
        <w:tc>
          <w:tcPr>
            <w:tcW w:type="dxa" w:w="2592"/>
            <w:shd w:val="clear" w:color="auto" w:fill="F2F2F2"/>
          </w:tcPr>
          <w:p>
            <w:r>
              <w:rPr>
                <w:sz w:val="19"/>
              </w:rPr>
              <w:t>Timeframes</w:t>
            </w:r>
          </w:p>
        </w:tc>
        <w:tc>
          <w:tcPr>
            <w:tcW w:type="dxa" w:w="7200"/>
            <w:shd w:val="clear" w:color="auto" w:fill="F2F2F2"/>
          </w:tcPr>
          <w:p>
            <w:r>
              <w:rPr>
                <w:sz w:val="19"/>
              </w:rPr>
              <w:t>M1 (entry timing), M5 (near-term momentum), M15 (intraday structure), H1 (directional envelope)</w:t>
            </w:r>
          </w:p>
        </w:tc>
      </w:tr>
      <w:tr>
        <w:tc>
          <w:tcPr>
            <w:tcW w:type="dxa" w:w="2592"/>
            <w:shd w:val="clear" w:color="auto" w:fill="FFFFFF"/>
          </w:tcPr>
          <w:p>
            <w:r>
              <w:rPr>
                <w:sz w:val="19"/>
              </w:rPr>
              <w:t>Holding period</w:t>
            </w:r>
          </w:p>
        </w:tc>
        <w:tc>
          <w:tcPr>
            <w:tcW w:type="dxa" w:w="7200"/>
            <w:shd w:val="clear" w:color="auto" w:fill="FFFFFF"/>
          </w:tcPr>
          <w:p>
            <w:r>
              <w:rPr>
                <w:sz w:val="19"/>
              </w:rPr>
              <w:t>2–15 minutes. Time-based CET: if open &gt; 2× average hold with no progress → close.</w:t>
            </w:r>
          </w:p>
        </w:tc>
      </w:tr>
      <w:tr>
        <w:tc>
          <w:tcPr>
            <w:tcW w:type="dxa" w:w="2592"/>
            <w:shd w:val="clear" w:color="auto" w:fill="F2F2F2"/>
          </w:tcPr>
          <w:p>
            <w:r>
              <w:rPr>
                <w:sz w:val="19"/>
              </w:rPr>
              <w:t>Direction</w:t>
            </w:r>
          </w:p>
        </w:tc>
        <w:tc>
          <w:tcPr>
            <w:tcW w:type="dxa" w:w="7200"/>
            <w:shd w:val="clear" w:color="auto" w:fill="F2F2F2"/>
          </w:tcPr>
          <w:p>
            <w:r>
              <w:rPr>
                <w:sz w:val="19"/>
              </w:rPr>
              <w:t>Set by H1/H4 regime confidence via pool activation. EA only takes entries matching active pool.</w:t>
            </w:r>
          </w:p>
        </w:tc>
      </w:tr>
      <w:tr>
        <w:tc>
          <w:tcPr>
            <w:tcW w:type="dxa" w:w="2592"/>
            <w:shd w:val="clear" w:color="auto" w:fill="FFFFFF"/>
          </w:tcPr>
          <w:p>
            <w:r>
              <w:rPr>
                <w:sz w:val="19"/>
              </w:rPr>
              <w:t>Entry signal</w:t>
            </w:r>
          </w:p>
        </w:tc>
        <w:tc>
          <w:tcPr>
            <w:tcW w:type="dxa" w:w="7200"/>
            <w:shd w:val="clear" w:color="auto" w:fill="FFFFFF"/>
          </w:tcPr>
          <w:p>
            <w:r>
              <w:rPr>
                <w:sz w:val="19"/>
              </w:rPr>
              <w:t>M1/M5 candle pattern + RVOL &gt; 1.2 confirmation + VWAP proximity filter (from SVSS)</w:t>
            </w:r>
          </w:p>
        </w:tc>
      </w:tr>
      <w:tr>
        <w:tc>
          <w:tcPr>
            <w:tcW w:type="dxa" w:w="2592"/>
            <w:shd w:val="clear" w:color="auto" w:fill="F2F2F2"/>
          </w:tcPr>
          <w:p>
            <w:r>
              <w:rPr>
                <w:sz w:val="19"/>
              </w:rPr>
              <w:t>SL — Layer 1 (EA)</w:t>
            </w:r>
          </w:p>
        </w:tc>
        <w:tc>
          <w:tcPr>
            <w:tcW w:type="dxa" w:w="7200"/>
            <w:shd w:val="clear" w:color="auto" w:fill="F2F2F2"/>
          </w:tcPr>
          <w:p>
            <w:r>
              <w:rPr>
                <w:sz w:val="19"/>
              </w:rPr>
              <w:t>Hard SL = 1.5–2× ATR(M5). Set at order placement. Never removed.</w:t>
            </w:r>
          </w:p>
        </w:tc>
      </w:tr>
      <w:tr>
        <w:tc>
          <w:tcPr>
            <w:tcW w:type="dxa" w:w="2592"/>
            <w:shd w:val="clear" w:color="auto" w:fill="FFFFFF"/>
          </w:tcPr>
          <w:p>
            <w:r>
              <w:rPr>
                <w:sz w:val="19"/>
              </w:rPr>
              <w:t>TP — Layer 1 (EA)</w:t>
            </w:r>
          </w:p>
        </w:tc>
        <w:tc>
          <w:tcPr>
            <w:tcW w:type="dxa" w:w="7200"/>
            <w:shd w:val="clear" w:color="auto" w:fill="FFFFFF"/>
          </w:tcPr>
          <w:p>
            <w:r>
              <w:rPr>
                <w:sz w:val="19"/>
              </w:rPr>
              <w:t>Hard TP = 1.2–1.5× SL distance. Fixed. EA manages this.</w:t>
            </w:r>
          </w:p>
        </w:tc>
      </w:tr>
      <w:tr>
        <w:tc>
          <w:tcPr>
            <w:tcW w:type="dxa" w:w="2592"/>
            <w:shd w:val="clear" w:color="auto" w:fill="F2F2F2"/>
          </w:tcPr>
          <w:p>
            <w:r>
              <w:rPr>
                <w:sz w:val="19"/>
              </w:rPr>
              <w:t>Layer 2 trigger</w:t>
            </w:r>
          </w:p>
        </w:tc>
        <w:tc>
          <w:tcPr>
            <w:tcW w:type="dxa" w:w="7200"/>
            <w:shd w:val="clear" w:color="auto" w:fill="F2F2F2"/>
          </w:tcPr>
          <w:p>
            <w:r>
              <w:rPr>
                <w:sz w:val="19"/>
              </w:rPr>
              <w:t>H1 flip confirmed by Regime Persistence Timer (3× M5 bars). Move SL to break-even if 1R in profit.</w:t>
            </w:r>
          </w:p>
        </w:tc>
      </w:tr>
      <w:tr>
        <w:tc>
          <w:tcPr>
            <w:tcW w:type="dxa" w:w="2592"/>
            <w:shd w:val="clear" w:color="auto" w:fill="FFFFFF"/>
          </w:tcPr>
          <w:p>
            <w:r>
              <w:rPr>
                <w:sz w:val="19"/>
              </w:rPr>
              <w:t>Layer 3 trigger</w:t>
            </w:r>
          </w:p>
        </w:tc>
        <w:tc>
          <w:tcPr>
            <w:tcW w:type="dxa" w:w="7200"/>
            <w:shd w:val="clear" w:color="auto" w:fill="FFFFFF"/>
          </w:tcPr>
          <w:p>
            <w:r>
              <w:rPr>
                <w:sz w:val="19"/>
              </w:rPr>
              <w:t>CHAOS only. Trust the EA for all normal regime cycling.</w:t>
            </w:r>
          </w:p>
        </w:tc>
      </w:tr>
      <w:tr>
        <w:tc>
          <w:tcPr>
            <w:tcW w:type="dxa" w:w="2592"/>
            <w:shd w:val="clear" w:color="auto" w:fill="F2F2F2"/>
          </w:tcPr>
          <w:p>
            <w:r>
              <w:rPr>
                <w:sz w:val="19"/>
              </w:rPr>
              <w:t>CET exits</w:t>
            </w:r>
          </w:p>
        </w:tc>
        <w:tc>
          <w:tcPr>
            <w:tcW w:type="dxa" w:w="7200"/>
            <w:shd w:val="clear" w:color="auto" w:fill="F2F2F2"/>
          </w:tcPr>
          <w:p>
            <w:r>
              <w:rPr>
                <w:sz w:val="19"/>
              </w:rPr>
              <w:t>1) Fixed TP hit. 2) Fixed SL hit. 3) Momentum exhaustion: RVOL &lt; 0.6 while open. 4) Time-based exit. 5) CHAOS signal.</w:t>
            </w:r>
          </w:p>
        </w:tc>
      </w:tr>
      <w:tr>
        <w:tc>
          <w:tcPr>
            <w:tcW w:type="dxa" w:w="2592"/>
            <w:shd w:val="clear" w:color="auto" w:fill="FFFFFF"/>
          </w:tcPr>
          <w:p>
            <w:r>
              <w:rPr>
                <w:sz w:val="19"/>
              </w:rPr>
              <w:t>Session masks</w:t>
            </w:r>
          </w:p>
        </w:tc>
        <w:tc>
          <w:tcPr>
            <w:tcW w:type="dxa" w:w="7200"/>
            <w:shd w:val="clear" w:color="auto" w:fill="FFFFFF"/>
          </w:tcPr>
          <w:p>
            <w:r>
              <w:rPr>
                <w:sz w:val="19"/>
              </w:rPr>
              <w:t>London Open, London–NY Overlap, NY Open, Tokyo Open (JPY variants only)</w:t>
            </w:r>
          </w:p>
        </w:tc>
      </w:tr>
      <w:tr>
        <w:tc>
          <w:tcPr>
            <w:tcW w:type="dxa" w:w="2592"/>
            <w:shd w:val="clear" w:color="auto" w:fill="F2F2F2"/>
          </w:tcPr>
          <w:p>
            <w:r>
              <w:rPr>
                <w:sz w:val="19"/>
              </w:rPr>
              <w:t>Spread quality</w:t>
            </w:r>
          </w:p>
        </w:tc>
        <w:tc>
          <w:tcPr>
            <w:tcW w:type="dxa" w:w="7200"/>
            <w:shd w:val="clear" w:color="auto" w:fill="F2F2F2"/>
          </w:tcPr>
          <w:p>
            <w:r>
              <w:rPr>
                <w:sz w:val="19"/>
              </w:rPr>
              <w:t>SQS must be &gt; 0.75 for entry. Auto-block 15 min pre/post high-impact news.</w:t>
            </w:r>
          </w:p>
        </w:tc>
      </w:tr>
      <w:tr>
        <w:tc>
          <w:tcPr>
            <w:tcW w:type="dxa" w:w="2592"/>
            <w:shd w:val="clear" w:color="auto" w:fill="FFFFFF"/>
          </w:tcPr>
          <w:p>
            <w:r>
              <w:rPr>
                <w:sz w:val="19"/>
              </w:rPr>
              <w:t>Trailing stop</w:t>
            </w:r>
          </w:p>
        </w:tc>
        <w:tc>
          <w:tcPr>
            <w:tcW w:type="dxa" w:w="7200"/>
            <w:shd w:val="clear" w:color="auto" w:fill="FFFFFF"/>
          </w:tcPr>
          <w:p>
            <w:r>
              <w:rPr>
                <w:sz w:val="19"/>
              </w:rPr>
              <w:t>NOT used. Fixed TP/SL only. Regime-aware exit via CET framework instead.</w:t>
            </w:r>
          </w:p>
        </w:tc>
      </w:tr>
      <w:tr>
        <w:tc>
          <w:tcPr>
            <w:tcW w:type="dxa" w:w="2592"/>
            <w:shd w:val="clear" w:color="auto" w:fill="F2F2F2"/>
          </w:tcPr>
          <w:p>
            <w:r>
              <w:rPr>
                <w:sz w:val="19"/>
              </w:rPr>
              <w:t>R:R target</w:t>
            </w:r>
          </w:p>
        </w:tc>
        <w:tc>
          <w:tcPr>
            <w:tcW w:type="dxa" w:w="7200"/>
            <w:shd w:val="clear" w:color="auto" w:fill="F2F2F2"/>
          </w:tcPr>
          <w:p>
            <w:r>
              <w:rPr>
                <w:sz w:val="19"/>
              </w:rPr>
              <w:t>1.2:1 minimum. Backtest rejection if below 1.1:1 net of fees.</w:t>
            </w:r>
          </w:p>
        </w:tc>
      </w:tr>
    </w:tbl>
    <w:p/>
    <w:p>
      <w:pPr>
        <w:pStyle w:val="Heading2"/>
      </w:pPr>
      <w:r>
        <w:rPr>
          <w:color w:val="2E5496"/>
        </w:rPr>
        <w:t>6.2 ORB Family Template</w:t>
      </w:r>
    </w:p>
    <w:tbl>
      <w:tblPr>
        <w:tblStyle w:val="TableGrid"/>
        <w:tblW w:type="auto" w:w="0"/>
        <w:tblLook w:firstColumn="1" w:firstRow="1" w:lastColumn="0" w:lastRow="0" w:noHBand="0" w:noVBand="1" w:val="04A0"/>
      </w:tblPr>
      <w:tblGrid>
        <w:gridCol w:w="4536"/>
        <w:gridCol w:w="4536"/>
      </w:tblGrid>
      <w:tr>
        <w:tc>
          <w:tcPr>
            <w:tcW w:type="dxa" w:w="2592"/>
            <w:shd w:val="clear" w:color="auto" w:fill="1F3864"/>
          </w:tcPr>
          <w:p>
            <w:r>
              <w:rPr>
                <w:b/>
                <w:color w:val="FFFFFF"/>
                <w:sz w:val="19"/>
              </w:rPr>
              <w:t>Parameter</w:t>
            </w:r>
          </w:p>
        </w:tc>
        <w:tc>
          <w:tcPr>
            <w:tcW w:type="dxa" w:w="7200"/>
            <w:shd w:val="clear" w:color="auto" w:fill="1F3864"/>
          </w:tcPr>
          <w:p>
            <w:r>
              <w:rPr>
                <w:b/>
                <w:color w:val="FFFFFF"/>
                <w:sz w:val="19"/>
              </w:rPr>
              <w:t>Rule</w:t>
            </w:r>
          </w:p>
        </w:tc>
      </w:tr>
      <w:tr>
        <w:tc>
          <w:tcPr>
            <w:tcW w:type="dxa" w:w="2592"/>
            <w:shd w:val="clear" w:color="auto" w:fill="F2F2F2"/>
          </w:tcPr>
          <w:p>
            <w:r>
              <w:rPr>
                <w:sz w:val="19"/>
              </w:rPr>
              <w:t>Timeframes</w:t>
            </w:r>
          </w:p>
        </w:tc>
        <w:tc>
          <w:tcPr>
            <w:tcW w:type="dxa" w:w="7200"/>
            <w:shd w:val="clear" w:color="auto" w:fill="F2F2F2"/>
          </w:tcPr>
          <w:p>
            <w:r>
              <w:rPr>
                <w:sz w:val="19"/>
              </w:rPr>
              <w:t>M15 (range definition), H1 (breakout confirmation + regime alignment), H4 (macro direction)</w:t>
            </w:r>
          </w:p>
        </w:tc>
      </w:tr>
      <w:tr>
        <w:tc>
          <w:tcPr>
            <w:tcW w:type="dxa" w:w="2592"/>
            <w:shd w:val="clear" w:color="auto" w:fill="FFFFFF"/>
          </w:tcPr>
          <w:p>
            <w:r>
              <w:rPr>
                <w:sz w:val="19"/>
              </w:rPr>
              <w:t>Holding period</w:t>
            </w:r>
          </w:p>
        </w:tc>
        <w:tc>
          <w:tcPr>
            <w:tcW w:type="dxa" w:w="7200"/>
            <w:shd w:val="clear" w:color="auto" w:fill="FFFFFF"/>
          </w:tcPr>
          <w:p>
            <w:r>
              <w:rPr>
                <w:sz w:val="19"/>
              </w:rPr>
              <w:t>30 minutes to full session close. Force-close at session end (Islamic compliance / halal).</w:t>
            </w:r>
          </w:p>
        </w:tc>
      </w:tr>
      <w:tr>
        <w:tc>
          <w:tcPr>
            <w:tcW w:type="dxa" w:w="2592"/>
            <w:shd w:val="clear" w:color="auto" w:fill="F2F2F2"/>
          </w:tcPr>
          <w:p>
            <w:r>
              <w:rPr>
                <w:sz w:val="19"/>
              </w:rPr>
              <w:t>Direction</w:t>
            </w:r>
          </w:p>
        </w:tc>
        <w:tc>
          <w:tcPr>
            <w:tcW w:type="dxa" w:w="7200"/>
            <w:shd w:val="clear" w:color="auto" w:fill="F2F2F2"/>
          </w:tcPr>
          <w:p>
            <w:r>
              <w:rPr>
                <w:sz w:val="19"/>
              </w:rPr>
              <w:t>Set at session open by breakout direction. Fixed for the session. No intra-session pool switching.</w:t>
            </w:r>
          </w:p>
        </w:tc>
      </w:tr>
      <w:tr>
        <w:tc>
          <w:tcPr>
            <w:tcW w:type="dxa" w:w="2592"/>
            <w:shd w:val="clear" w:color="auto" w:fill="FFFFFF"/>
          </w:tcPr>
          <w:p>
            <w:r>
              <w:rPr>
                <w:sz w:val="19"/>
              </w:rPr>
              <w:t>Entry signal</w:t>
            </w:r>
          </w:p>
        </w:tc>
        <w:tc>
          <w:tcPr>
            <w:tcW w:type="dxa" w:w="7200"/>
            <w:shd w:val="clear" w:color="auto" w:fill="FFFFFF"/>
          </w:tcPr>
          <w:p>
            <w:r>
              <w:rPr>
                <w:sz w:val="19"/>
              </w:rPr>
              <w:t>Price breaks session range high/low + RVOL &gt; 1.5 surge + H1 regime aligned with breakout</w:t>
            </w:r>
          </w:p>
        </w:tc>
      </w:tr>
      <w:tr>
        <w:tc>
          <w:tcPr>
            <w:tcW w:type="dxa" w:w="2592"/>
            <w:shd w:val="clear" w:color="auto" w:fill="F2F2F2"/>
          </w:tcPr>
          <w:p>
            <w:r>
              <w:rPr>
                <w:sz w:val="19"/>
              </w:rPr>
              <w:t>SL — Layer 1 (EA)</w:t>
            </w:r>
          </w:p>
        </w:tc>
        <w:tc>
          <w:tcPr>
            <w:tcW w:type="dxa" w:w="7200"/>
            <w:shd w:val="clear" w:color="auto" w:fill="F2F2F2"/>
          </w:tcPr>
          <w:p>
            <w:r>
              <w:rPr>
                <w:sz w:val="19"/>
              </w:rPr>
              <w:t>Hard SL = below/above session range opposite boundary. Set at placement.</w:t>
            </w:r>
          </w:p>
        </w:tc>
      </w:tr>
      <w:tr>
        <w:tc>
          <w:tcPr>
            <w:tcW w:type="dxa" w:w="2592"/>
            <w:shd w:val="clear" w:color="auto" w:fill="FFFFFF"/>
          </w:tcPr>
          <w:p>
            <w:r>
              <w:rPr>
                <w:sz w:val="19"/>
              </w:rPr>
              <w:t>TP — Layer 1 (EA)</w:t>
            </w:r>
          </w:p>
        </w:tc>
        <w:tc>
          <w:tcPr>
            <w:tcW w:type="dxa" w:w="7200"/>
            <w:shd w:val="clear" w:color="auto" w:fill="FFFFFF"/>
          </w:tcPr>
          <w:p>
            <w:r>
              <w:rPr>
                <w:sz w:val="19"/>
              </w:rPr>
              <w:t>Hard TP = 2.0–3.0× SL distance (ORB trades carry higher R:R target)</w:t>
            </w:r>
          </w:p>
        </w:tc>
      </w:tr>
      <w:tr>
        <w:tc>
          <w:tcPr>
            <w:tcW w:type="dxa" w:w="2592"/>
            <w:shd w:val="clear" w:color="auto" w:fill="F2F2F2"/>
          </w:tcPr>
          <w:p>
            <w:r>
              <w:rPr>
                <w:sz w:val="19"/>
              </w:rPr>
              <w:t>Layer 2 trigger</w:t>
            </w:r>
          </w:p>
        </w:tc>
        <w:tc>
          <w:tcPr>
            <w:tcW w:type="dxa" w:w="7200"/>
            <w:shd w:val="clear" w:color="auto" w:fill="F2F2F2"/>
          </w:tcPr>
          <w:p>
            <w:r>
              <w:rPr>
                <w:sz w:val="19"/>
              </w:rPr>
              <w:t>H1+H4 both flip against trade, confirmed by Regime Persistence Timer (2× H1 bars) → tighten stop. NOT close.</w:t>
            </w:r>
          </w:p>
        </w:tc>
      </w:tr>
      <w:tr>
        <w:tc>
          <w:tcPr>
            <w:tcW w:type="dxa" w:w="2592"/>
            <w:shd w:val="clear" w:color="auto" w:fill="FFFFFF"/>
          </w:tcPr>
          <w:p>
            <w:r>
              <w:rPr>
                <w:sz w:val="19"/>
              </w:rPr>
              <w:t>Layer 3 trigger</w:t>
            </w:r>
          </w:p>
        </w:tc>
        <w:tc>
          <w:tcPr>
            <w:tcW w:type="dxa" w:w="7200"/>
            <w:shd w:val="clear" w:color="auto" w:fill="FFFFFF"/>
          </w:tcPr>
          <w:p>
            <w:r>
              <w:rPr>
                <w:sz w:val="19"/>
              </w:rPr>
              <w:t>CHAOS only. Tighten stop (not immediate close) unless kill switch.</w:t>
            </w:r>
          </w:p>
        </w:tc>
      </w:tr>
      <w:tr>
        <w:tc>
          <w:tcPr>
            <w:tcW w:type="dxa" w:w="2592"/>
            <w:shd w:val="clear" w:color="auto" w:fill="F2F2F2"/>
          </w:tcPr>
          <w:p>
            <w:r>
              <w:rPr>
                <w:sz w:val="19"/>
              </w:rPr>
              <w:t>CET exits</w:t>
            </w:r>
          </w:p>
        </w:tc>
        <w:tc>
          <w:tcPr>
            <w:tcW w:type="dxa" w:w="7200"/>
            <w:shd w:val="clear" w:color="auto" w:fill="F2F2F2"/>
          </w:tcPr>
          <w:p>
            <w:r>
              <w:rPr>
                <w:sz w:val="19"/>
              </w:rPr>
              <w:t>1) Fixed TP hit. 2) Fixed SL hit. 3) Regime: BREAKOUT→RANGE confirmed → tighten stop. 4) Session end forced close.</w:t>
            </w:r>
          </w:p>
        </w:tc>
      </w:tr>
      <w:tr>
        <w:tc>
          <w:tcPr>
            <w:tcW w:type="dxa" w:w="2592"/>
            <w:shd w:val="clear" w:color="auto" w:fill="FFFFFF"/>
          </w:tcPr>
          <w:p>
            <w:r>
              <w:rPr>
                <w:sz w:val="19"/>
              </w:rPr>
              <w:t>Session masks</w:t>
            </w:r>
          </w:p>
        </w:tc>
        <w:tc>
          <w:tcPr>
            <w:tcW w:type="dxa" w:w="7200"/>
            <w:shd w:val="clear" w:color="auto" w:fill="FFFFFF"/>
          </w:tcPr>
          <w:p>
            <w:r>
              <w:rPr>
                <w:sz w:val="19"/>
              </w:rPr>
              <w:t>London Open primary (07:00–10:00 GMT). NY Open secondary (13:00–16:00 GMT).</w:t>
            </w:r>
          </w:p>
        </w:tc>
      </w:tr>
      <w:tr>
        <w:tc>
          <w:tcPr>
            <w:tcW w:type="dxa" w:w="2592"/>
            <w:shd w:val="clear" w:color="auto" w:fill="F2F2F2"/>
          </w:tcPr>
          <w:p>
            <w:r>
              <w:rPr>
                <w:sz w:val="19"/>
              </w:rPr>
              <w:t>Spread quality</w:t>
            </w:r>
          </w:p>
        </w:tc>
        <w:tc>
          <w:tcPr>
            <w:tcW w:type="dxa" w:w="7200"/>
            <w:shd w:val="clear" w:color="auto" w:fill="F2F2F2"/>
          </w:tcPr>
          <w:p>
            <w:r>
              <w:rPr>
                <w:sz w:val="19"/>
              </w:rPr>
              <w:t>SQS &gt; 0.80 for ORB entries (stricter than scalping — ORB entries have wider stops, spread impact is larger)</w:t>
            </w:r>
          </w:p>
        </w:tc>
      </w:tr>
      <w:tr>
        <w:tc>
          <w:tcPr>
            <w:tcW w:type="dxa" w:w="2592"/>
            <w:shd w:val="clear" w:color="auto" w:fill="FFFFFF"/>
          </w:tcPr>
          <w:p>
            <w:r>
              <w:rPr>
                <w:sz w:val="19"/>
              </w:rPr>
              <w:t>Trailing stop</w:t>
            </w:r>
          </w:p>
        </w:tc>
        <w:tc>
          <w:tcPr>
            <w:tcW w:type="dxa" w:w="7200"/>
            <w:shd w:val="clear" w:color="auto" w:fill="FFFFFF"/>
          </w:tcPr>
          <w:p>
            <w:r>
              <w:rPr>
                <w:sz w:val="19"/>
              </w:rPr>
              <w:t>Regime-aware tightening only — NOT distance-based trailing. Stop moves when Sentinel shifts.</w:t>
            </w:r>
          </w:p>
        </w:tc>
      </w:tr>
      <w:tr>
        <w:tc>
          <w:tcPr>
            <w:tcW w:type="dxa" w:w="2592"/>
            <w:shd w:val="clear" w:color="auto" w:fill="F2F2F2"/>
          </w:tcPr>
          <w:p>
            <w:r>
              <w:rPr>
                <w:sz w:val="19"/>
              </w:rPr>
              <w:t>Capital routing</w:t>
            </w:r>
          </w:p>
        </w:tc>
        <w:tc>
          <w:tcPr>
            <w:tcW w:type="dxa" w:w="7200"/>
            <w:shd w:val="clear" w:color="auto" w:fill="F2F2F2"/>
          </w:tcPr>
          <w:p>
            <w:r>
              <w:rPr>
                <w:sz w:val="19"/>
              </w:rPr>
              <w:t>Sniper account (Exness Raw / IC Markets). Kelly naturally produces larger fraction due to higher R:R.</w:t>
            </w:r>
          </w:p>
        </w:tc>
      </w:tr>
      <w:tr>
        <w:tc>
          <w:tcPr>
            <w:tcW w:type="dxa" w:w="2592"/>
            <w:shd w:val="clear" w:color="auto" w:fill="FFFFFF"/>
          </w:tcPr>
          <w:p>
            <w:r>
              <w:rPr>
                <w:sz w:val="19"/>
              </w:rPr>
              <w:t>False Breakout variant</w:t>
            </w:r>
          </w:p>
        </w:tc>
        <w:tc>
          <w:tcPr>
            <w:tcW w:type="dxa" w:w="7200"/>
            <w:shd w:val="clear" w:color="auto" w:fill="FFFFFF"/>
          </w:tcPr>
          <w:p>
            <w:r>
              <w:rPr>
                <w:sz w:val="19"/>
              </w:rPr>
              <w:t>Separate pool (Section 4.2). Distinct backtest history. Activated only on confirmed reversal signal.</w:t>
            </w:r>
          </w:p>
        </w:tc>
      </w:tr>
    </w:tbl>
    <w:p/>
    <w:p/>
    <w:p>
      <w:pPr>
        <w:pStyle w:val="Heading1"/>
      </w:pPr>
      <w:r>
        <w:rPr>
          <w:color w:val="1F3864"/>
        </w:rPr>
        <w:t>7. Shared Volume Session Service — SVSS (New)</w:t>
      </w:r>
    </w:p>
    <w:p>
      <w:r>
        <w:rPr>
          <w:b w:val="0"/>
          <w:i w:val="0"/>
          <w:sz w:val="21"/>
        </w:rPr>
        <w:t>A critical gap in the current architecture. Volume Profile, VWAP, and RVOL calculations must be shared services — not per-bot computations. 200 bots independently computing VWAP on the same instrument is 200 redundant calculations. One service, one cache, 200 consumers.</w:t>
      </w:r>
    </w:p>
    <w:p>
      <w:pPr>
        <w:pStyle w:val="Heading2"/>
      </w:pPr>
      <w:r>
        <w:rPr>
          <w:color w:val="2E5496"/>
        </w:rPr>
        <w:t>7.1 Architecture</w:t>
      </w:r>
    </w:p>
    <w:p>
      <w:r>
        <w:rPr>
          <w:b w:val="0"/>
          <w:i w:val="0"/>
          <w:sz w:val="21"/>
        </w:rPr>
        <w:t>SVSS runs on Cloudzy, alongside the live tick feed. For each subscribed instrument:</w:t>
      </w:r>
    </w:p>
    <w:p>
      <w:pPr>
        <w:pStyle w:val="ListBullet"/>
        <w:ind w:left="432"/>
      </w:pPr>
      <w:r>
        <w:rPr>
          <w:sz w:val="21"/>
        </w:rPr>
        <w:t>VWAP: Volume-weighted average price. Running sum reset at each session open. Formula: Σ(price × volume) / Σ(volume). Updated on every tick.</w:t>
      </w:r>
    </w:p>
    <w:p>
      <w:pPr>
        <w:pStyle w:val="ListBullet"/>
        <w:ind w:left="432"/>
      </w:pPr>
      <w:r>
        <w:rPr>
          <w:sz w:val="21"/>
        </w:rPr>
        <w:t>Volume Profile: Price-level histogram bucketed to 0.1-pip resolution. Identifies Point of Control (POC), Value Area High (VAH), Value Area Low (VAL).</w:t>
      </w:r>
    </w:p>
    <w:p>
      <w:pPr>
        <w:pStyle w:val="ListBullet"/>
        <w:ind w:left="432"/>
      </w:pPr>
      <w:r>
        <w:rPr>
          <w:sz w:val="21"/>
        </w:rPr>
        <w:t>RVOL (Relative Volume): current_bar_volume / avg_volume_at_this_time_of_day (rolling 20-session average). Updated on bar close.</w:t>
      </w:r>
    </w:p>
    <w:p>
      <w:pPr>
        <w:pStyle w:val="ListBullet"/>
        <w:ind w:left="432"/>
      </w:pPr>
      <w:r>
        <w:rPr>
          <w:sz w:val="21"/>
        </w:rPr>
        <w:t>MFI (Money Flow Index): 14-period. Combines price direction + volume to detect divergences. Overbought &gt; 80 = momentum exhaustion signal for CET exits.</w:t>
      </w:r>
    </w:p>
    <w:p>
      <w:pPr>
        <w:pStyle w:val="Heading2"/>
      </w:pPr>
      <w:r>
        <w:rPr>
          <w:color w:val="2E5496"/>
        </w:rPr>
        <w:t>7.2 Data Source</w:t>
      </w:r>
    </w:p>
    <w:p>
      <w:r>
        <w:rPr>
          <w:b w:val="0"/>
          <w:i w:val="0"/>
          <w:sz w:val="21"/>
        </w:rPr>
        <w:t>MT5 via IC Markets provides real contract volume (lot-based, not tick count) accessible via iVolume() in MQL5 and through the ZMQ tick feed. SVSS consumes the ZMQ tick feed directly for its calculations, independent of the MT5 built-in indicators. MT5 native volume indicators may be used for EA-level entry filters; SVSS provides the shared intelligence layer for the Python strategy router.</w:t>
      </w:r>
    </w:p>
    <w:p>
      <w:pPr>
        <w:pStyle w:val="Heading2"/>
      </w:pPr>
      <w:r>
        <w:rPr>
          <w:color w:val="2E5496"/>
        </w:rPr>
        <w:t>7.3 Publishing Pattern</w:t>
      </w:r>
    </w:p>
    <w:p>
      <w:r>
        <w:rPr>
          <w:b w:val="0"/>
          <w:i w:val="0"/>
          <w:sz w:val="21"/>
        </w:rPr>
        <w:t>SVSS publishes all calculations to Redis cache on each tick update and bar close. All bots read from Redis — no direct SVSS API calls. Key pattern: svss:{symbol}:vwap, svss:{symbol}:rvol, svss:{symbol}:poc, etc.</w:t>
      </w:r>
    </w:p>
    <w:p>
      <w:pPr>
        <w:pStyle w:val="Heading2"/>
      </w:pPr>
      <w:r>
        <w:rPr>
          <w:color w:val="2E5496"/>
        </w:rPr>
        <w:t>7.4 SVSS → Correlation Sensor Connection</w:t>
      </w:r>
    </w:p>
    <w:p>
      <w:r>
        <w:rPr>
          <w:b w:val="0"/>
          <w:i w:val="0"/>
          <w:sz w:val="21"/>
        </w:rPr>
        <w:t>When RVOL spikes simultaneously across multiple instruments (e.g., EURUSD, GBPUSD, USDJPY all show RVOL &gt; 2.0 at the same moment), this is a systemic liquidity event — a macro news release or central bank statement. The Correlation Sensor's max_eigenvalue will simultaneously spike. These two signals together trigger CHAOS classification in the Sentinel. This is the early warning chain: SVSS → CorrelationSensor → Sentinel → Layer 3 active.</w:t>
      </w:r>
    </w:p>
    <w:p/>
    <w:p>
      <w:pPr>
        <w:pStyle w:val="Heading1"/>
      </w:pPr>
      <w:r>
        <w:rPr>
          <w:color w:val="1F3864"/>
        </w:rPr>
        <w:t>8. Data Pipeline Latency Budget (New)</w:t>
      </w:r>
    </w:p>
    <w:p>
      <w:r>
        <w:rPr>
          <w:b w:val="0"/>
          <w:i w:val="0"/>
          <w:sz w:val="21"/>
        </w:rPr>
        <w:t>All components below run on Cloudzy except where noted. Expensive recalculations (Sentinel, Kelly, Correlation) are event-driven, not per-tick.</w:t>
      </w:r>
    </w:p>
    <w:tbl>
      <w:tblPr>
        <w:tblStyle w:val="TableGrid"/>
        <w:tblW w:type="auto" w:w="0"/>
        <w:tblLook w:firstColumn="1" w:firstRow="1" w:lastColumn="0" w:lastRow="0" w:noHBand="0" w:noVBand="1" w:val="04A0"/>
      </w:tblPr>
      <w:tblGrid>
        <w:gridCol w:w="2268"/>
        <w:gridCol w:w="2268"/>
        <w:gridCol w:w="2268"/>
        <w:gridCol w:w="2268"/>
      </w:tblGrid>
      <w:tr>
        <w:tc>
          <w:tcPr>
            <w:tcW w:type="dxa" w:w="3024"/>
            <w:shd w:val="clear" w:color="auto" w:fill="1F3864"/>
          </w:tcPr>
          <w:p>
            <w:r>
              <w:rPr>
                <w:b/>
                <w:color w:val="FFFFFF"/>
                <w:sz w:val="19"/>
              </w:rPr>
              <w:t>Stage</w:t>
            </w:r>
          </w:p>
        </w:tc>
        <w:tc>
          <w:tcPr>
            <w:tcW w:type="dxa" w:w="2592"/>
            <w:shd w:val="clear" w:color="auto" w:fill="1F3864"/>
          </w:tcPr>
          <w:p>
            <w:r>
              <w:rPr>
                <w:b/>
                <w:color w:val="FFFFFF"/>
                <w:sz w:val="19"/>
              </w:rPr>
              <w:t>Update Trigger</w:t>
            </w:r>
          </w:p>
        </w:tc>
        <w:tc>
          <w:tcPr>
            <w:tcW w:type="dxa" w:w="2160"/>
            <w:shd w:val="clear" w:color="auto" w:fill="1F3864"/>
          </w:tcPr>
          <w:p>
            <w:r>
              <w:rPr>
                <w:b/>
                <w:color w:val="FFFFFF"/>
                <w:sz w:val="19"/>
              </w:rPr>
              <w:t>Target Latency</w:t>
            </w:r>
          </w:p>
        </w:tc>
        <w:tc>
          <w:tcPr>
            <w:tcW w:type="dxa" w:w="3312"/>
            <w:shd w:val="clear" w:color="auto" w:fill="1F3864"/>
          </w:tcPr>
          <w:p>
            <w:r>
              <w:rPr>
                <w:b/>
                <w:color w:val="FFFFFF"/>
                <w:sz w:val="19"/>
              </w:rPr>
              <w:t>Note</w:t>
            </w:r>
          </w:p>
        </w:tc>
      </w:tr>
      <w:tr>
        <w:tc>
          <w:tcPr>
            <w:tcW w:type="dxa" w:w="3024"/>
            <w:shd w:val="clear" w:color="auto" w:fill="F2F2F2"/>
          </w:tcPr>
          <w:p>
            <w:r>
              <w:rPr>
                <w:sz w:val="19"/>
              </w:rPr>
              <w:t>IC Markets WebSocket → Cloudzy</w:t>
            </w:r>
          </w:p>
        </w:tc>
        <w:tc>
          <w:tcPr>
            <w:tcW w:type="dxa" w:w="2592"/>
            <w:shd w:val="clear" w:color="auto" w:fill="F2F2F2"/>
          </w:tcPr>
          <w:p>
            <w:r>
              <w:rPr>
                <w:sz w:val="19"/>
              </w:rPr>
              <w:t>Every tick</w:t>
            </w:r>
          </w:p>
        </w:tc>
        <w:tc>
          <w:tcPr>
            <w:tcW w:type="dxa" w:w="2160"/>
            <w:shd w:val="clear" w:color="auto" w:fill="F2F2F2"/>
          </w:tcPr>
          <w:p>
            <w:r>
              <w:rPr>
                <w:sz w:val="19"/>
              </w:rPr>
              <w:t>1–3ms</w:t>
            </w:r>
          </w:p>
        </w:tc>
        <w:tc>
          <w:tcPr>
            <w:tcW w:type="dxa" w:w="3312"/>
            <w:shd w:val="clear" w:color="auto" w:fill="F2F2F2"/>
          </w:tcPr>
          <w:p>
            <w:r>
              <w:rPr>
                <w:sz w:val="19"/>
              </w:rPr>
              <w:t>LD4 to LD4 co-location target</w:t>
            </w:r>
          </w:p>
        </w:tc>
      </w:tr>
      <w:tr>
        <w:tc>
          <w:tcPr>
            <w:tcW w:type="dxa" w:w="3024"/>
            <w:shd w:val="clear" w:color="auto" w:fill="FFFFFF"/>
          </w:tcPr>
          <w:p>
            <w:r>
              <w:rPr>
                <w:sz w:val="19"/>
              </w:rPr>
              <w:t>OHLCV aggregator (tick → candle)</w:t>
            </w:r>
          </w:p>
        </w:tc>
        <w:tc>
          <w:tcPr>
            <w:tcW w:type="dxa" w:w="2592"/>
            <w:shd w:val="clear" w:color="auto" w:fill="FFFFFF"/>
          </w:tcPr>
          <w:p>
            <w:r>
              <w:rPr>
                <w:sz w:val="19"/>
              </w:rPr>
              <w:t>Every tick</w:t>
            </w:r>
          </w:p>
        </w:tc>
        <w:tc>
          <w:tcPr>
            <w:tcW w:type="dxa" w:w="2160"/>
            <w:shd w:val="clear" w:color="auto" w:fill="FFFFFF"/>
          </w:tcPr>
          <w:p>
            <w:r>
              <w:rPr>
                <w:sz w:val="19"/>
              </w:rPr>
              <w:t>&lt; 1ms</w:t>
            </w:r>
          </w:p>
        </w:tc>
        <w:tc>
          <w:tcPr>
            <w:tcW w:type="dxa" w:w="3312"/>
            <w:shd w:val="clear" w:color="auto" w:fill="FFFFFF"/>
          </w:tcPr>
          <w:p>
            <w:r>
              <w:rPr>
                <w:sz w:val="19"/>
              </w:rPr>
              <w:t>In-memory running sums</w:t>
            </w:r>
          </w:p>
        </w:tc>
      </w:tr>
      <w:tr>
        <w:tc>
          <w:tcPr>
            <w:tcW w:type="dxa" w:w="3024"/>
            <w:shd w:val="clear" w:color="auto" w:fill="F2F2F2"/>
          </w:tcPr>
          <w:p>
            <w:r>
              <w:rPr>
                <w:sz w:val="19"/>
              </w:rPr>
              <w:t>SVSS update (VWAP, RVOL, MFI)</w:t>
            </w:r>
          </w:p>
        </w:tc>
        <w:tc>
          <w:tcPr>
            <w:tcW w:type="dxa" w:w="2592"/>
            <w:shd w:val="clear" w:color="auto" w:fill="F2F2F2"/>
          </w:tcPr>
          <w:p>
            <w:r>
              <w:rPr>
                <w:sz w:val="19"/>
              </w:rPr>
              <w:t>Every tick / bar close</w:t>
            </w:r>
          </w:p>
        </w:tc>
        <w:tc>
          <w:tcPr>
            <w:tcW w:type="dxa" w:w="2160"/>
            <w:shd w:val="clear" w:color="auto" w:fill="F2F2F2"/>
          </w:tcPr>
          <w:p>
            <w:r>
              <w:rPr>
                <w:sz w:val="19"/>
              </w:rPr>
              <w:t>&lt; 1ms</w:t>
            </w:r>
          </w:p>
        </w:tc>
        <w:tc>
          <w:tcPr>
            <w:tcW w:type="dxa" w:w="3312"/>
            <w:shd w:val="clear" w:color="auto" w:fill="F2F2F2"/>
          </w:tcPr>
          <w:p>
            <w:r>
              <w:rPr>
                <w:sz w:val="19"/>
              </w:rPr>
              <w:t>Running calculation, not batch</w:t>
            </w:r>
          </w:p>
        </w:tc>
      </w:tr>
      <w:tr>
        <w:tc>
          <w:tcPr>
            <w:tcW w:type="dxa" w:w="3024"/>
            <w:shd w:val="clear" w:color="auto" w:fill="FFFFFF"/>
          </w:tcPr>
          <w:p>
            <w:r>
              <w:rPr>
                <w:sz w:val="19"/>
              </w:rPr>
              <w:t>MultiTimeframeSentinel regime</w:t>
            </w:r>
          </w:p>
        </w:tc>
        <w:tc>
          <w:tcPr>
            <w:tcW w:type="dxa" w:w="2592"/>
            <w:shd w:val="clear" w:color="auto" w:fill="FFFFFF"/>
          </w:tcPr>
          <w:p>
            <w:r>
              <w:rPr>
                <w:sz w:val="19"/>
              </w:rPr>
              <w:t>Bar close only (M1 = 60s, M5 = 5min)</w:t>
            </w:r>
          </w:p>
        </w:tc>
        <w:tc>
          <w:tcPr>
            <w:tcW w:type="dxa" w:w="2160"/>
            <w:shd w:val="clear" w:color="auto" w:fill="FFFFFF"/>
          </w:tcPr>
          <w:p>
            <w:r>
              <w:rPr>
                <w:sz w:val="19"/>
              </w:rPr>
              <w:t>5–15ms (on bar close), 0ms (cached)</w:t>
            </w:r>
          </w:p>
        </w:tc>
        <w:tc>
          <w:tcPr>
            <w:tcW w:type="dxa" w:w="3312"/>
            <w:shd w:val="clear" w:color="auto" w:fill="FFFFFF"/>
          </w:tcPr>
          <w:p>
            <w:r>
              <w:rPr>
                <w:sz w:val="19"/>
              </w:rPr>
              <w:t>Never recalculates mid-bar</w:t>
            </w:r>
          </w:p>
        </w:tc>
      </w:tr>
      <w:tr>
        <w:tc>
          <w:tcPr>
            <w:tcW w:type="dxa" w:w="3024"/>
            <w:shd w:val="clear" w:color="auto" w:fill="F2F2F2"/>
          </w:tcPr>
          <w:p>
            <w:r>
              <w:rPr>
                <w:sz w:val="19"/>
              </w:rPr>
              <w:t>CorrelationSensor (RMT)</w:t>
            </w:r>
          </w:p>
        </w:tc>
        <w:tc>
          <w:tcPr>
            <w:tcW w:type="dxa" w:w="2592"/>
            <w:shd w:val="clear" w:color="auto" w:fill="F2F2F2"/>
          </w:tcPr>
          <w:p>
            <w:r>
              <w:rPr>
                <w:sz w:val="19"/>
              </w:rPr>
              <w:t>Every 5 minutes</w:t>
            </w:r>
          </w:p>
        </w:tc>
        <w:tc>
          <w:tcPr>
            <w:tcW w:type="dxa" w:w="2160"/>
            <w:shd w:val="clear" w:color="auto" w:fill="F2F2F2"/>
          </w:tcPr>
          <w:p>
            <w:r>
              <w:rPr>
                <w:sz w:val="19"/>
              </w:rPr>
              <w:t>10–20ms (calc), 0ms (cached)</w:t>
            </w:r>
          </w:p>
        </w:tc>
        <w:tc>
          <w:tcPr>
            <w:tcW w:type="dxa" w:w="3312"/>
            <w:shd w:val="clear" w:color="auto" w:fill="F2F2F2"/>
          </w:tcPr>
          <w:p>
            <w:r>
              <w:rPr>
                <w:sz w:val="19"/>
              </w:rPr>
              <w:t>Contabo or Cloudzy</w:t>
            </w:r>
          </w:p>
        </w:tc>
      </w:tr>
      <w:tr>
        <w:tc>
          <w:tcPr>
            <w:tcW w:type="dxa" w:w="3024"/>
            <w:shd w:val="clear" w:color="auto" w:fill="FFFFFF"/>
          </w:tcPr>
          <w:p>
            <w:r>
              <w:rPr>
                <w:sz w:val="19"/>
              </w:rPr>
              <w:t>Kelly Engine recalculation</w:t>
            </w:r>
          </w:p>
        </w:tc>
        <w:tc>
          <w:tcPr>
            <w:tcW w:type="dxa" w:w="2592"/>
            <w:shd w:val="clear" w:color="auto" w:fill="FFFFFF"/>
          </w:tcPr>
          <w:p>
            <w:r>
              <w:rPr>
                <w:sz w:val="19"/>
              </w:rPr>
              <w:t>Regime change event only</w:t>
            </w:r>
          </w:p>
        </w:tc>
        <w:tc>
          <w:tcPr>
            <w:tcW w:type="dxa" w:w="2160"/>
            <w:shd w:val="clear" w:color="auto" w:fill="FFFFFF"/>
          </w:tcPr>
          <w:p>
            <w:r>
              <w:rPr>
                <w:sz w:val="19"/>
              </w:rPr>
              <w:t>&lt; 5ms (cache read between changes)</w:t>
            </w:r>
          </w:p>
        </w:tc>
        <w:tc>
          <w:tcPr>
            <w:tcW w:type="dxa" w:w="3312"/>
            <w:shd w:val="clear" w:color="auto" w:fill="FFFFFF"/>
          </w:tcPr>
          <w:p>
            <w:r>
              <w:rPr>
                <w:sz w:val="19"/>
              </w:rPr>
              <w:t>NOT per-tick — regime-event-driven</w:t>
            </w:r>
          </w:p>
        </w:tc>
      </w:tr>
      <w:tr>
        <w:tc>
          <w:tcPr>
            <w:tcW w:type="dxa" w:w="3024"/>
            <w:shd w:val="clear" w:color="auto" w:fill="F2F2F2"/>
          </w:tcPr>
          <w:p>
            <w:r>
              <w:rPr>
                <w:sz w:val="19"/>
              </w:rPr>
              <w:t>Governor per-bot evaluation</w:t>
            </w:r>
          </w:p>
        </w:tc>
        <w:tc>
          <w:tcPr>
            <w:tcW w:type="dxa" w:w="2592"/>
            <w:shd w:val="clear" w:color="auto" w:fill="F2F2F2"/>
          </w:tcPr>
          <w:p>
            <w:r>
              <w:rPr>
                <w:sz w:val="19"/>
              </w:rPr>
              <w:t>Per incoming signal</w:t>
            </w:r>
          </w:p>
        </w:tc>
        <w:tc>
          <w:tcPr>
            <w:tcW w:type="dxa" w:w="2160"/>
            <w:shd w:val="clear" w:color="auto" w:fill="F2F2F2"/>
          </w:tcPr>
          <w:p>
            <w:r>
              <w:rPr>
                <w:sz w:val="19"/>
              </w:rPr>
              <w:t>&lt; 5ms</w:t>
            </w:r>
          </w:p>
        </w:tc>
        <w:tc>
          <w:tcPr>
            <w:tcW w:type="dxa" w:w="3312"/>
            <w:shd w:val="clear" w:color="auto" w:fill="F2F2F2"/>
          </w:tcPr>
          <w:p>
            <w:r>
              <w:rPr>
                <w:sz w:val="19"/>
              </w:rPr>
              <w:t>Redis atomic lookup + Kelly cache</w:t>
            </w:r>
          </w:p>
        </w:tc>
      </w:tr>
      <w:tr>
        <w:tc>
          <w:tcPr>
            <w:tcW w:type="dxa" w:w="3024"/>
            <w:shd w:val="clear" w:color="auto" w:fill="FFFFFF"/>
          </w:tcPr>
          <w:p>
            <w:r>
              <w:rPr>
                <w:sz w:val="19"/>
              </w:rPr>
              <w:t>Commander routing matrix</w:t>
            </w:r>
          </w:p>
        </w:tc>
        <w:tc>
          <w:tcPr>
            <w:tcW w:type="dxa" w:w="2592"/>
            <w:shd w:val="clear" w:color="auto" w:fill="FFFFFF"/>
          </w:tcPr>
          <w:p>
            <w:r>
              <w:rPr>
                <w:sz w:val="19"/>
              </w:rPr>
              <w:t>Per approved signal</w:t>
            </w:r>
          </w:p>
        </w:tc>
        <w:tc>
          <w:tcPr>
            <w:tcW w:type="dxa" w:w="2160"/>
            <w:shd w:val="clear" w:color="auto" w:fill="FFFFFF"/>
          </w:tcPr>
          <w:p>
            <w:r>
              <w:rPr>
                <w:sz w:val="19"/>
              </w:rPr>
              <w:t>&lt; 2ms</w:t>
            </w:r>
          </w:p>
        </w:tc>
        <w:tc>
          <w:tcPr>
            <w:tcW w:type="dxa" w:w="3312"/>
            <w:shd w:val="clear" w:color="auto" w:fill="FFFFFF"/>
          </w:tcPr>
          <w:p>
            <w:r>
              <w:rPr>
                <w:sz w:val="19"/>
              </w:rPr>
              <w:t>Pre-computed O(1) lookup</w:t>
            </w:r>
          </w:p>
        </w:tc>
      </w:tr>
      <w:tr>
        <w:tc>
          <w:tcPr>
            <w:tcW w:type="dxa" w:w="3024"/>
            <w:shd w:val="clear" w:color="auto" w:fill="F2F2F2"/>
          </w:tcPr>
          <w:p>
            <w:r>
              <w:rPr>
                <w:sz w:val="19"/>
              </w:rPr>
              <w:t>ZMQ order dispatch + broker RT</w:t>
            </w:r>
          </w:p>
        </w:tc>
        <w:tc>
          <w:tcPr>
            <w:tcW w:type="dxa" w:w="2592"/>
            <w:shd w:val="clear" w:color="auto" w:fill="F2F2F2"/>
          </w:tcPr>
          <w:p>
            <w:r>
              <w:rPr>
                <w:sz w:val="19"/>
              </w:rPr>
              <w:t>Per approved trade</w:t>
            </w:r>
          </w:p>
        </w:tc>
        <w:tc>
          <w:tcPr>
            <w:tcW w:type="dxa" w:w="2160"/>
            <w:shd w:val="clear" w:color="auto" w:fill="F2F2F2"/>
          </w:tcPr>
          <w:p>
            <w:r>
              <w:rPr>
                <w:sz w:val="19"/>
              </w:rPr>
              <w:t>5–20ms</w:t>
            </w:r>
          </w:p>
        </w:tc>
        <w:tc>
          <w:tcPr>
            <w:tcW w:type="dxa" w:w="3312"/>
            <w:shd w:val="clear" w:color="auto" w:fill="F2F2F2"/>
          </w:tcPr>
          <w:p>
            <w:r>
              <w:rPr>
                <w:sz w:val="19"/>
              </w:rPr>
              <w:t>Cloudzy LD4 → IC Markets LD4</w:t>
            </w:r>
          </w:p>
        </w:tc>
      </w:tr>
      <w:tr>
        <w:tc>
          <w:tcPr>
            <w:tcW w:type="dxa" w:w="3024"/>
            <w:shd w:val="clear" w:color="auto" w:fill="FFFFFF"/>
          </w:tcPr>
          <w:p>
            <w:r>
              <w:rPr>
                <w:sz w:val="19"/>
              </w:rPr>
              <w:t>Total signal-to-order</w:t>
            </w:r>
          </w:p>
        </w:tc>
        <w:tc>
          <w:tcPr>
            <w:tcW w:type="dxa" w:w="2592"/>
            <w:shd w:val="clear" w:color="auto" w:fill="FFFFFF"/>
          </w:tcPr>
          <w:p>
            <w:r>
              <w:rPr>
                <w:sz w:val="19"/>
              </w:rPr>
              <w:t>—</w:t>
            </w:r>
          </w:p>
        </w:tc>
        <w:tc>
          <w:tcPr>
            <w:tcW w:type="dxa" w:w="2160"/>
            <w:shd w:val="clear" w:color="auto" w:fill="FFFFFF"/>
          </w:tcPr>
          <w:p>
            <w:r>
              <w:rPr>
                <w:sz w:val="19"/>
              </w:rPr>
              <w:t>12–35ms</w:t>
            </w:r>
          </w:p>
        </w:tc>
        <w:tc>
          <w:tcPr>
            <w:tcW w:type="dxa" w:w="3312"/>
            <w:shd w:val="clear" w:color="auto" w:fill="FFFFFF"/>
          </w:tcPr>
          <w:p>
            <w:r>
              <w:rPr>
                <w:sz w:val="19"/>
              </w:rPr>
              <w:t>Within 5–20ms execution tier target</w:t>
            </w:r>
          </w:p>
        </w:tc>
      </w:tr>
    </w:tbl>
    <w:p/>
    <w:p/>
    <w:p>
      <w:pPr>
        <w:pStyle w:val="Heading1"/>
      </w:pPr>
      <w:r>
        <w:rPr>
          <w:color w:val="1F3864"/>
        </w:rPr>
        <w:t>9. Kill Switch Integration with New Components (Addendum)</w:t>
      </w:r>
    </w:p>
    <w:p>
      <w:r>
        <w:rPr>
          <w:b w:val="0"/>
          <w:i w:val="0"/>
          <w:sz w:val="21"/>
        </w:rPr>
        <w:t>The existing ProgressiveKillSwitch and SmartKillSwitch are confirmed. This section clarifies how new components added in this session interact with the kill switch:</w:t>
      </w:r>
    </w:p>
    <w:p>
      <w:pPr>
        <w:pStyle w:val="ListBullet"/>
        <w:ind w:left="432"/>
      </w:pPr>
      <w:r>
        <w:rPr>
          <w:sz w:val="21"/>
        </w:rPr>
        <w:t>SVSS and CorrelationSensor: Continue running during all kill switch tiers. They are monitoring infrastructure, not trading infrastructure.</w:t>
      </w:r>
    </w:p>
    <w:p>
      <w:pPr>
        <w:pStyle w:val="ListBullet"/>
        <w:ind w:left="432"/>
      </w:pPr>
      <w:r>
        <w:rPr>
          <w:sz w:val="21"/>
        </w:rPr>
        <w:t>Layer 2 Position Monitor: On Tier 1 (soft stop) — tighten all open stops to break-even. On Tier 2 — move stops to capture partial profit. On Tier 3 — close all. The Position Monitor is the delivery mechanism for kill switch commands to open positions.</w:t>
      </w:r>
    </w:p>
    <w:p>
      <w:pPr>
        <w:pStyle w:val="ListBullet"/>
        <w:ind w:left="432"/>
      </w:pPr>
      <w:r>
        <w:rPr>
          <w:sz w:val="21"/>
        </w:rPr>
        <w:t>Regime-Conditional Pools: On kill switch activation — no new pool activations regardless of regime signal. The Commander's auction is suspended.</w:t>
      </w:r>
    </w:p>
    <w:p>
      <w:pPr>
        <w:pStyle w:val="ListBullet"/>
        <w:ind w:left="432"/>
      </w:pPr>
      <w:r>
        <w:rPr>
          <w:sz w:val="21"/>
        </w:rPr>
        <w:t>Session-Scoped Kelly Modifiers: Kill switch overrides all Kelly multipliers. No house money expansion during kill switch state.</w:t>
      </w:r>
    </w:p>
    <w:p>
      <w:pPr>
        <w:pStyle w:val="ListBullet"/>
        <w:ind w:left="432"/>
      </w:pPr>
      <w:r>
        <w:rPr>
          <w:sz w:val="21"/>
        </w:rPr>
        <w:t>Spread Quality Score: During kill switch recovery (Tier 1 lifted) — SQS threshold temporarily raised to 0.85 (from 0.75) for 30 minutes to ensure clean re-entry conditions.</w:t>
      </w:r>
    </w:p>
    <w:p/>
    <w:p>
      <w:pPr>
        <w:pStyle w:val="Heading1"/>
      </w:pPr>
      <w:r>
        <w:rPr>
          <w:color w:val="1F3864"/>
        </w:rPr>
        <w:t>10. Correlation Sensor → Governor Integration (New)</w:t>
      </w:r>
    </w:p>
    <w:p>
      <w:r>
        <w:rPr>
          <w:b w:val="0"/>
          <w:i w:val="0"/>
          <w:sz w:val="21"/>
        </w:rPr>
        <w:t>The CorrelationSensor (src/risk/physics/correlation_sensor.py) uses Random Matrix Theory with Marchenko-Pastur distribution to detect genuine systemic correlation versus noise. It exists but is NOT yet wired into the Governor. This section specifies the integration.</w:t>
      </w:r>
    </w:p>
    <w:p>
      <w:pPr>
        <w:pStyle w:val="Heading2"/>
      </w:pPr>
      <w:r>
        <w:rPr>
          <w:color w:val="2E5496"/>
        </w:rPr>
        <w:t>10.1 Marginal Correlation Evaluation</w:t>
      </w:r>
    </w:p>
    <w:p>
      <w:r>
        <w:rPr>
          <w:b w:val="0"/>
          <w:i w:val="0"/>
          <w:sz w:val="21"/>
        </w:rPr>
        <w:t>Before the Governor approves a new trade, it calculates the marginal correlation impact of adding that position to the existing portfolio. The formula:</w:t>
      </w:r>
    </w:p>
    <w:p>
      <w:pPr>
        <w:spacing w:before="80" w:after="80"/>
        <w:ind w:left="576"/>
      </w:pPr>
      <w:r>
        <w:rPr>
          <w:rFonts w:ascii="Courier New" w:hAnsi="Courier New"/>
          <w:color w:val="1A1A6E"/>
          <w:sz w:val="18"/>
        </w:rPr>
        <w:t># For existing portfolio positions i with weights w_i and correlation matrix C:</w:t>
      </w:r>
    </w:p>
    <w:p>
      <w:pPr>
        <w:spacing w:before="80" w:after="80"/>
        <w:ind w:left="576"/>
      </w:pPr>
      <w:r>
        <w:rPr>
          <w:rFonts w:ascii="Courier New" w:hAnsi="Courier New"/>
          <w:color w:val="1A1A6E"/>
          <w:sz w:val="18"/>
        </w:rPr>
        <w:t># Pairwise correlation penalty between position i and proposed position j:</w:t>
      </w:r>
    </w:p>
    <w:p>
      <w:pPr>
        <w:spacing w:before="80" w:after="80"/>
        <w:ind w:left="576"/>
      </w:pPr>
      <w:r>
        <w:rPr>
          <w:rFonts w:ascii="Courier New" w:hAnsi="Courier New"/>
          <w:color w:val="1A1A6E"/>
          <w:sz w:val="18"/>
        </w:rPr>
      </w:r>
    </w:p>
    <w:p>
      <w:pPr>
        <w:spacing w:before="80" w:after="80"/>
        <w:ind w:left="576"/>
      </w:pPr>
      <w:r>
        <w:rPr>
          <w:rFonts w:ascii="Courier New" w:hAnsi="Courier New"/>
          <w:color w:val="1A1A6E"/>
          <w:sz w:val="18"/>
        </w:rPr>
        <w:t>correlation_penalty(i,j) = max(0, C_ij - threshold) / (1 - threshold)</w:t>
      </w:r>
    </w:p>
    <w:p>
      <w:pPr>
        <w:spacing w:before="80" w:after="80"/>
        <w:ind w:left="576"/>
      </w:pPr>
      <w:r>
        <w:rPr>
          <w:rFonts w:ascii="Courier New" w:hAnsi="Courier New"/>
          <w:color w:val="1A1A6E"/>
          <w:sz w:val="18"/>
        </w:rPr>
        <w:t>adjusted_kelly_j = base_kelly_j × (1 - correlation_penalty(i,j))</w:t>
      </w:r>
    </w:p>
    <w:p>
      <w:pPr>
        <w:spacing w:before="80" w:after="80"/>
        <w:ind w:left="576"/>
      </w:pPr>
      <w:r>
        <w:rPr>
          <w:rFonts w:ascii="Courier New" w:hAnsi="Courier New"/>
          <w:color w:val="1A1A6E"/>
          <w:sz w:val="18"/>
        </w:rPr>
      </w:r>
    </w:p>
    <w:p>
      <w:pPr>
        <w:spacing w:before="80" w:after="80"/>
        <w:ind w:left="576"/>
      </w:pPr>
      <w:r>
        <w:rPr>
          <w:rFonts w:ascii="Courier New" w:hAnsi="Courier New"/>
          <w:color w:val="1A1A6E"/>
          <w:sz w:val="18"/>
        </w:rPr>
        <w:t># threshold = 0.5 (configurable in risk/config.py)</w:t>
      </w:r>
    </w:p>
    <w:p>
      <w:pPr>
        <w:spacing w:before="80" w:after="80"/>
        <w:ind w:left="576"/>
      </w:pPr>
      <w:r>
        <w:rPr>
          <w:rFonts w:ascii="Courier New" w:hAnsi="Courier New"/>
          <w:color w:val="1A1A6E"/>
          <w:sz w:val="18"/>
        </w:rPr>
        <w:t># Example: EURUSD and GBPUSD, C_ij = 0.80:</w:t>
      </w:r>
    </w:p>
    <w:p>
      <w:pPr>
        <w:spacing w:before="80" w:after="80"/>
        <w:ind w:left="576"/>
      </w:pPr>
      <w:r>
        <w:rPr>
          <w:rFonts w:ascii="Courier New" w:hAnsi="Courier New"/>
          <w:color w:val="1A1A6E"/>
          <w:sz w:val="18"/>
        </w:rPr>
        <w:t># penalty = (0.80 - 0.50) / (1 - 0.50) = 0.60</w:t>
      </w:r>
    </w:p>
    <w:p>
      <w:pPr>
        <w:spacing w:before="80" w:after="80"/>
        <w:ind w:left="576"/>
      </w:pPr>
      <w:r>
        <w:rPr>
          <w:rFonts w:ascii="Courier New" w:hAnsi="Courier New"/>
          <w:color w:val="1A1A6E"/>
          <w:sz w:val="18"/>
        </w:rPr>
        <w:t># GBPUSD position gets 40% of its base Kelly size if EURUSD already open</w:t>
      </w:r>
    </w:p>
    <w:p>
      <w:pPr>
        <w:pStyle w:val="Heading2"/>
      </w:pPr>
      <w:r>
        <w:rPr>
          <w:color w:val="2E5496"/>
        </w:rPr>
        <w:t>10.2 Does Timeframe Matter for Correlation?</w:t>
      </w:r>
    </w:p>
    <w:p>
      <w:r>
        <w:rPr>
          <w:b w:val="0"/>
          <w:i w:val="0"/>
          <w:sz w:val="21"/>
        </w:rPr>
        <w:t>Yes. Correlation between instruments varies by timeframe. On M1, EUR/GBP correlation may be 0.60 (noise-dominant, short-horizon). On H1, it may be 0.85 (genuine macro-driven). The CorrelationSensor should be run separately for each timeframe the bot family uses: Scalping bots use M5 correlation matrix. ORB bots use H1 correlation matrix. Governor selects the correct matrix based on the bot's family template timeframe.</w:t>
      </w:r>
    </w:p>
    <w:p>
      <w:pPr>
        <w:pStyle w:val="Heading2"/>
      </w:pPr>
      <w:r>
        <w:rPr>
          <w:color w:val="2E5496"/>
        </w:rPr>
        <w:t>10.3 Update Frequency and Caching</w:t>
      </w:r>
    </w:p>
    <w:p>
      <w:r>
        <w:rPr>
          <w:b w:val="0"/>
          <w:i w:val="0"/>
          <w:sz w:val="21"/>
        </w:rPr>
        <w:t>CorrelationSensor recalculates every 5 minutes on bar close data (not per-tick). Result cached in Redis: risk:correlation:M5 and risk:correlation:H1. Governor reads from cache — zero computation per trade evaluation. The 5-minute update window is sufficient because genuine correlation regime shifts occur over minutes to hours, not seconds.</w:t>
      </w:r>
    </w:p>
    <w:p>
      <w:pPr>
        <w:pStyle w:val="Heading2"/>
      </w:pPr>
      <w:r>
        <w:rPr>
          <w:color w:val="2E5496"/>
        </w:rPr>
        <w:t>10.4 Portfolio Variance Constraint</w:t>
      </w:r>
    </w:p>
    <w:p>
      <w:r>
        <w:rPr>
          <w:b w:val="0"/>
          <w:i w:val="0"/>
          <w:sz w:val="21"/>
        </w:rPr>
        <w:t>If adding a proposed trade increases the portfolio's correlation-adjusted total exposure above the 5% concurrent cap, the Governor rejects it — same as any other cap breach. The correlation adjustment means that two highly correlated positions (EURUSD + GBPUSD both long) are treated as ~1.4 positions of exposure, not 2 independent 0.5% positions.</w:t>
      </w:r>
    </w:p>
    <w:p/>
    <w:p>
      <w:pPr>
        <w:pStyle w:val="Heading1"/>
      </w:pPr>
      <w:r>
        <w:rPr>
          <w:color w:val="1F3864"/>
        </w:rPr>
        <w:t>11. RVOL-Weighted Position Sizing (New)</w:t>
      </w:r>
    </w:p>
    <w:p>
      <w:r>
        <w:rPr>
          <w:b w:val="0"/>
          <w:i w:val="0"/>
          <w:sz w:val="21"/>
        </w:rPr>
        <w:t>RVOL (Relative Volume) = current bar volume / average volume at this time of day (rolling 20-session baseline). RVOL measures execution quality, not directional signal.</w:t>
      </w:r>
    </w:p>
    <w:p>
      <w:r>
        <w:rPr>
          <w:b w:val="0"/>
          <w:i w:val="0"/>
          <w:sz w:val="21"/>
        </w:rPr>
        <w:t>After the Kelly engine produces its base position size, the Governor applies an RVOL execution quality multiplier:</w:t>
      </w:r>
    </w:p>
    <w:p>
      <w:pPr>
        <w:spacing w:before="80" w:after="80"/>
        <w:ind w:left="576"/>
      </w:pPr>
      <w:r>
        <w:rPr>
          <w:rFonts w:ascii="Courier New" w:hAnsi="Courier New"/>
          <w:color w:val="1A1A6E"/>
          <w:sz w:val="18"/>
        </w:rPr>
        <w:t>final_size = kelly_size × clamp(RVOL, 0.5, 1.5)</w:t>
      </w:r>
    </w:p>
    <w:p>
      <w:pPr>
        <w:spacing w:before="80" w:after="80"/>
        <w:ind w:left="576"/>
      </w:pPr>
      <w:r>
        <w:rPr>
          <w:rFonts w:ascii="Courier New" w:hAnsi="Courier New"/>
          <w:color w:val="1A1A6E"/>
          <w:sz w:val="18"/>
        </w:rPr>
      </w:r>
    </w:p>
    <w:p>
      <w:pPr>
        <w:spacing w:before="80" w:after="80"/>
        <w:ind w:left="576"/>
      </w:pPr>
      <w:r>
        <w:rPr>
          <w:rFonts w:ascii="Courier New" w:hAnsi="Courier New"/>
          <w:color w:val="1A1A6E"/>
          <w:sz w:val="18"/>
        </w:rPr>
        <w:t>RVOL ≥ 2.0  → trade at 1.5× Kelly (cap — don't over-size on extreme volume)</w:t>
      </w:r>
    </w:p>
    <w:p>
      <w:pPr>
        <w:spacing w:before="80" w:after="80"/>
        <w:ind w:left="576"/>
      </w:pPr>
      <w:r>
        <w:rPr>
          <w:rFonts w:ascii="Courier New" w:hAnsi="Courier New"/>
          <w:color w:val="1A1A6E"/>
          <w:sz w:val="18"/>
        </w:rPr>
        <w:t>RVOL = 1.0  → trade at 1.0× Kelly (normal conditions)</w:t>
      </w:r>
    </w:p>
    <w:p>
      <w:pPr>
        <w:spacing w:before="80" w:after="80"/>
        <w:ind w:left="576"/>
      </w:pPr>
      <w:r>
        <w:rPr>
          <w:rFonts w:ascii="Courier New" w:hAnsi="Courier New"/>
          <w:color w:val="1A1A6E"/>
          <w:sz w:val="18"/>
        </w:rPr>
        <w:t>RVOL = 0.6  → trade at 0.6× Kelly (thin market — reduce for slippage risk)</w:t>
      </w:r>
    </w:p>
    <w:p>
      <w:pPr>
        <w:spacing w:before="80" w:after="80"/>
        <w:ind w:left="576"/>
      </w:pPr>
      <w:r>
        <w:rPr>
          <w:rFonts w:ascii="Courier New" w:hAnsi="Courier New"/>
          <w:color w:val="1A1A6E"/>
          <w:sz w:val="18"/>
        </w:rPr>
        <w:t>RVOL &lt; 0.5  → entry blocked (insufficient liquidity for scalping)</w:t>
      </w:r>
    </w:p>
    <w:p>
      <w:r>
        <w:rPr>
          <w:b w:val="0"/>
          <w:i w:val="0"/>
          <w:sz w:val="21"/>
        </w:rPr>
        <w:t>Rationale: This is not directional speculation. Higher RVOL = better execution quality (tighter effective spread, less slippage, cleaner fills). The edge is more realisable in high-volume conditions. RVOL is provided by SVSS — no additional calculation required.</w:t>
      </w:r>
    </w:p>
    <w:p/>
    <w:p>
      <w:pPr>
        <w:pStyle w:val="Heading1"/>
      </w:pPr>
      <w:r>
        <w:rPr>
          <w:color w:val="1F3864"/>
        </w:rPr>
        <w:t>12. Session-Scoped Kelly Modifiers (New)</w:t>
      </w:r>
    </w:p>
    <w:p>
      <w:r>
        <w:rPr>
          <w:b w:val="0"/>
          <w:i w:val="0"/>
          <w:sz w:val="21"/>
        </w:rPr>
        <w:t>A new architectural concept not present in any prior document. Standard house money thresholds apply globally. Session-scoped modifiers apply adjustments during specific windows without changing the baseline risk framework.</w:t>
      </w:r>
    </w:p>
    <w:p>
      <w:pPr>
        <w:pStyle w:val="Heading2"/>
      </w:pPr>
      <w:r>
        <w:rPr>
          <w:color w:val="2E5496"/>
        </w:rPr>
        <w:t>12.1 London–NY Overlap: Early House Money Threshold</w:t>
      </w:r>
    </w:p>
    <w:p>
      <w:r>
        <w:rPr>
          <w:b w:val="0"/>
          <w:i w:val="0"/>
          <w:sz w:val="21"/>
        </w:rPr>
        <w:t>The London–NY Overlap (13:00–16:00 GMT) is the system's premium trading window — highest liquidity, tightest spreads, most reliable signals. During this window, the house money activation threshold is lowered:</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1F3864"/>
          </w:tcPr>
          <w:p>
            <w:r>
              <w:rPr>
                <w:b/>
                <w:color w:val="FFFFFF"/>
                <w:sz w:val="19"/>
              </w:rPr>
              <w:t>Condition</w:t>
            </w:r>
          </w:p>
        </w:tc>
        <w:tc>
          <w:tcPr>
            <w:tcW w:type="dxa" w:w="3024"/>
            <w:shd w:val="clear" w:color="auto" w:fill="1F3864"/>
          </w:tcPr>
          <w:p>
            <w:r>
              <w:rPr>
                <w:b/>
                <w:color w:val="FFFFFF"/>
                <w:sz w:val="19"/>
              </w:rPr>
              <w:t>Normal Sessions</w:t>
            </w:r>
          </w:p>
        </w:tc>
        <w:tc>
          <w:tcPr>
            <w:tcW w:type="dxa" w:w="3024"/>
            <w:shd w:val="clear" w:color="auto" w:fill="1F3864"/>
          </w:tcPr>
          <w:p>
            <w:r>
              <w:rPr>
                <w:b/>
                <w:color w:val="FFFFFF"/>
                <w:sz w:val="19"/>
              </w:rPr>
              <w:t>London–NY Overlap</w:t>
            </w:r>
          </w:p>
        </w:tc>
      </w:tr>
      <w:tr>
        <w:tc>
          <w:tcPr>
            <w:tcW w:type="dxa" w:w="3600"/>
            <w:shd w:val="clear" w:color="auto" w:fill="F2F2F2"/>
          </w:tcPr>
          <w:p>
            <w:r>
              <w:rPr>
                <w:sz w:val="19"/>
              </w:rPr>
              <w:t>House money activates when</w:t>
            </w:r>
          </w:p>
        </w:tc>
        <w:tc>
          <w:tcPr>
            <w:tcW w:type="dxa" w:w="3024"/>
            <w:shd w:val="clear" w:color="auto" w:fill="F2F2F2"/>
          </w:tcPr>
          <w:p>
            <w:r>
              <w:rPr>
                <w:sz w:val="19"/>
              </w:rPr>
              <w:t>Equity &gt; 1.5× initial deposit</w:t>
            </w:r>
          </w:p>
        </w:tc>
        <w:tc>
          <w:tcPr>
            <w:tcW w:type="dxa" w:w="3024"/>
            <w:shd w:val="clear" w:color="auto" w:fill="F2F2F2"/>
          </w:tcPr>
          <w:p>
            <w:r>
              <w:rPr>
                <w:sz w:val="19"/>
              </w:rPr>
              <w:t>Equity &gt; 1.2× initial deposit</w:t>
            </w:r>
          </w:p>
        </w:tc>
      </w:tr>
      <w:tr>
        <w:tc>
          <w:tcPr>
            <w:tcW w:type="dxa" w:w="3600"/>
            <w:shd w:val="clear" w:color="auto" w:fill="FFFFFF"/>
          </w:tcPr>
          <w:p>
            <w:r>
              <w:rPr>
                <w:sz w:val="19"/>
              </w:rPr>
              <w:t>Kelly fraction multiplier at activation</w:t>
            </w:r>
          </w:p>
        </w:tc>
        <w:tc>
          <w:tcPr>
            <w:tcW w:type="dxa" w:w="3024"/>
            <w:shd w:val="clear" w:color="auto" w:fill="FFFFFF"/>
          </w:tcPr>
          <w:p>
            <w:r>
              <w:rPr>
                <w:sz w:val="19"/>
              </w:rPr>
              <w:t>0.35 (vs 0.25 base)</w:t>
            </w:r>
          </w:p>
        </w:tc>
        <w:tc>
          <w:tcPr>
            <w:tcW w:type="dxa" w:w="3024"/>
            <w:shd w:val="clear" w:color="auto" w:fill="FFFFFF"/>
          </w:tcPr>
          <w:p>
            <w:r>
              <w:rPr>
                <w:sz w:val="19"/>
              </w:rPr>
              <w:t>0.35 (same — earlier entry only)</w:t>
            </w:r>
          </w:p>
        </w:tc>
      </w:tr>
      <w:tr>
        <w:tc>
          <w:tcPr>
            <w:tcW w:type="dxa" w:w="3600"/>
            <w:shd w:val="clear" w:color="auto" w:fill="F2F2F2"/>
          </w:tcPr>
          <w:p>
            <w:r>
              <w:rPr>
                <w:sz w:val="19"/>
              </w:rPr>
              <w:t>Rationale</w:t>
            </w:r>
          </w:p>
        </w:tc>
        <w:tc>
          <w:tcPr>
            <w:tcW w:type="dxa" w:w="3024"/>
            <w:shd w:val="clear" w:color="auto" w:fill="F2F2F2"/>
          </w:tcPr>
          <w:p>
            <w:r>
              <w:rPr>
                <w:sz w:val="19"/>
              </w:rPr>
              <w:t>Standard profit buffer trigger</w:t>
            </w:r>
          </w:p>
        </w:tc>
        <w:tc>
          <w:tcPr>
            <w:tcW w:type="dxa" w:w="3024"/>
            <w:shd w:val="clear" w:color="auto" w:fill="F2F2F2"/>
          </w:tcPr>
          <w:p>
            <w:r>
              <w:rPr>
                <w:sz w:val="19"/>
              </w:rPr>
              <w:t>Better conditions justify earlier scaling</w:t>
            </w:r>
          </w:p>
        </w:tc>
      </w:tr>
    </w:tbl>
    <w:p/>
    <w:p>
      <w:pPr>
        <w:pStyle w:val="Heading2"/>
      </w:pPr>
      <w:r>
        <w:rPr>
          <w:color w:val="2E5496"/>
        </w:rPr>
        <w:t>12.2 Reverse House Money Effect (London–NY Overlap Only)</w:t>
      </w:r>
    </w:p>
    <w:p>
      <w:r>
        <w:rPr>
          <w:b w:val="0"/>
          <w:i w:val="0"/>
          <w:sz w:val="21"/>
        </w:rPr>
        <w:t>If the London–NY Overlap session produces consecutive losses, a session-scoped reverse house money modifier reduces position sizing progressively. This protects against handing back a profitable week in one bad premium session.</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1F3864"/>
          </w:tcPr>
          <w:p>
            <w:r>
              <w:rPr>
                <w:b/>
                <w:color w:val="FFFFFF"/>
                <w:sz w:val="19"/>
              </w:rPr>
              <w:t>Trigger</w:t>
            </w:r>
          </w:p>
        </w:tc>
        <w:tc>
          <w:tcPr>
            <w:tcW w:type="dxa" w:w="2880"/>
            <w:shd w:val="clear" w:color="auto" w:fill="1F3864"/>
          </w:tcPr>
          <w:p>
            <w:r>
              <w:rPr>
                <w:b/>
                <w:color w:val="FFFFFF"/>
                <w:sz w:val="19"/>
              </w:rPr>
              <w:t>Kelly Modifier Applied</w:t>
            </w:r>
          </w:p>
        </w:tc>
        <w:tc>
          <w:tcPr>
            <w:tcW w:type="dxa" w:w="2448"/>
            <w:shd w:val="clear" w:color="auto" w:fill="1F3864"/>
          </w:tcPr>
          <w:p>
            <w:r>
              <w:rPr>
                <w:b/>
                <w:color w:val="FFFFFF"/>
                <w:sz w:val="19"/>
              </w:rPr>
              <w:t>State</w:t>
            </w:r>
          </w:p>
        </w:tc>
      </w:tr>
      <w:tr>
        <w:tc>
          <w:tcPr>
            <w:tcW w:type="dxa" w:w="3600"/>
            <w:shd w:val="clear" w:color="auto" w:fill="F2F2F2"/>
          </w:tcPr>
          <w:p>
            <w:r>
              <w:rPr>
                <w:sz w:val="19"/>
              </w:rPr>
              <w:t>2 consecutive losses in this session</w:t>
            </w:r>
          </w:p>
        </w:tc>
        <w:tc>
          <w:tcPr>
            <w:tcW w:type="dxa" w:w="2880"/>
            <w:shd w:val="clear" w:color="auto" w:fill="F2F2F2"/>
          </w:tcPr>
          <w:p>
            <w:r>
              <w:rPr>
                <w:sz w:val="19"/>
              </w:rPr>
              <w:t>Kelly × 0.70 (−30%)</w:t>
            </w:r>
          </w:p>
        </w:tc>
        <w:tc>
          <w:tcPr>
            <w:tcW w:type="dxa" w:w="2448"/>
            <w:shd w:val="clear" w:color="auto" w:fill="F2F2F2"/>
          </w:tcPr>
          <w:p>
            <w:r>
              <w:rPr>
                <w:sz w:val="19"/>
              </w:rPr>
              <w:t>Cautious mode</w:t>
            </w:r>
          </w:p>
        </w:tc>
      </w:tr>
      <w:tr>
        <w:tc>
          <w:tcPr>
            <w:tcW w:type="dxa" w:w="3600"/>
            <w:shd w:val="clear" w:color="auto" w:fill="FFFFFF"/>
          </w:tcPr>
          <w:p>
            <w:r>
              <w:rPr>
                <w:sz w:val="19"/>
              </w:rPr>
              <w:t>4 consecutive losses in this session</w:t>
            </w:r>
          </w:p>
        </w:tc>
        <w:tc>
          <w:tcPr>
            <w:tcW w:type="dxa" w:w="2880"/>
            <w:shd w:val="clear" w:color="auto" w:fill="FFFFFF"/>
          </w:tcPr>
          <w:p>
            <w:r>
              <w:rPr>
                <w:sz w:val="19"/>
              </w:rPr>
              <w:t>Kelly × 0.50 (−50%)</w:t>
            </w:r>
          </w:p>
        </w:tc>
        <w:tc>
          <w:tcPr>
            <w:tcW w:type="dxa" w:w="2448"/>
            <w:shd w:val="clear" w:color="auto" w:fill="FFFFFF"/>
          </w:tcPr>
          <w:p>
            <w:r>
              <w:rPr>
                <w:sz w:val="19"/>
              </w:rPr>
              <w:t>Defensive mode</w:t>
            </w:r>
          </w:p>
        </w:tc>
      </w:tr>
      <w:tr>
        <w:tc>
          <w:tcPr>
            <w:tcW w:type="dxa" w:w="3600"/>
            <w:shd w:val="clear" w:color="auto" w:fill="F2F2F2"/>
          </w:tcPr>
          <w:p>
            <w:r>
              <w:rPr>
                <w:sz w:val="19"/>
              </w:rPr>
              <w:t>Daily drawdown limit hit</w:t>
            </w:r>
          </w:p>
        </w:tc>
        <w:tc>
          <w:tcPr>
            <w:tcW w:type="dxa" w:w="2880"/>
            <w:shd w:val="clear" w:color="auto" w:fill="F2F2F2"/>
          </w:tcPr>
          <w:p>
            <w:r>
              <w:rPr>
                <w:sz w:val="19"/>
              </w:rPr>
              <w:t>Trading suspended (existing 3/5/7 rule)</w:t>
            </w:r>
          </w:p>
        </w:tc>
        <w:tc>
          <w:tcPr>
            <w:tcW w:type="dxa" w:w="2448"/>
            <w:shd w:val="clear" w:color="auto" w:fill="F2F2F2"/>
          </w:tcPr>
          <w:p>
            <w:r>
              <w:rPr>
                <w:sz w:val="19"/>
              </w:rPr>
              <w:t>Existing framework</w:t>
            </w:r>
          </w:p>
        </w:tc>
      </w:tr>
    </w:tbl>
    <w:p/>
    <w:p>
      <w:r>
        <w:rPr>
          <w:b w:val="0"/>
          <w:i w:val="0"/>
          <w:sz w:val="21"/>
        </w:rPr>
        <w:t>All session-scoped modifiers reset to baseline when the session window closes (16:00 GMT). Next session starts with clean Kelly state. The system does NOT require operator permission to apply these modifiers — they activate and deactivate automatically based on performance metrics and the session window. Automation is the design intent.</w:t>
      </w:r>
    </w:p>
    <w:p/>
    <w:p>
      <w:pPr>
        <w:pStyle w:val="Heading1"/>
      </w:pPr>
      <w:r>
        <w:rPr>
          <w:color w:val="1F3864"/>
        </w:rPr>
        <w:t>13. Spread Quality Score (SQS) System (New)</w:t>
      </w:r>
    </w:p>
    <w:p>
      <w:pPr>
        <w:pStyle w:val="Heading2"/>
      </w:pPr>
      <w:r>
        <w:rPr>
          <w:color w:val="2E5496"/>
        </w:rPr>
        <w:t>13.1 Architecture</w:t>
      </w:r>
    </w:p>
    <w:p>
      <w:r>
        <w:rPr>
          <w:b w:val="0"/>
          <w:i w:val="0"/>
          <w:sz w:val="21"/>
        </w:rPr>
        <w:t>The system maintains a historical spread table per instrument capturing the average spread at each 5-minute interval of the trading day across the last 30 sessions. This produces a 'normal spread profile' curve for each instrument.</w:t>
      </w:r>
    </w:p>
    <w:p>
      <w:pPr>
        <w:spacing w:before="80" w:after="80"/>
        <w:ind w:left="576"/>
      </w:pPr>
      <w:r>
        <w:rPr>
          <w:rFonts w:ascii="Courier New" w:hAnsi="Courier New"/>
          <w:color w:val="1A1A6E"/>
          <w:sz w:val="18"/>
        </w:rPr>
        <w:t>SQS = historical_avg_spread_at_this_time / current_live_spread</w:t>
      </w:r>
    </w:p>
    <w:p>
      <w:pPr>
        <w:spacing w:before="80" w:after="80"/>
        <w:ind w:left="576"/>
      </w:pPr>
      <w:r>
        <w:rPr>
          <w:rFonts w:ascii="Courier New" w:hAnsi="Courier New"/>
          <w:color w:val="1A1A6E"/>
          <w:sz w:val="18"/>
        </w:rPr>
      </w:r>
    </w:p>
    <w:p>
      <w:pPr>
        <w:spacing w:before="80" w:after="80"/>
        <w:ind w:left="576"/>
      </w:pPr>
      <w:r>
        <w:rPr>
          <w:rFonts w:ascii="Courier New" w:hAnsi="Courier New"/>
          <w:color w:val="1A1A6E"/>
          <w:sz w:val="18"/>
        </w:rPr>
        <w:t>SQS = 1.0  → normal spread conditions</w:t>
      </w:r>
    </w:p>
    <w:p>
      <w:pPr>
        <w:spacing w:before="80" w:after="80"/>
        <w:ind w:left="576"/>
      </w:pPr>
      <w:r>
        <w:rPr>
          <w:rFonts w:ascii="Courier New" w:hAnsi="Courier New"/>
          <w:color w:val="1A1A6E"/>
          <w:sz w:val="18"/>
        </w:rPr>
        <w:t>SQS = 0.7  → spread 30% wider than normal (degraded execution quality)</w:t>
      </w:r>
    </w:p>
    <w:p>
      <w:pPr>
        <w:spacing w:before="80" w:after="80"/>
        <w:ind w:left="576"/>
      </w:pPr>
      <w:r>
        <w:rPr>
          <w:rFonts w:ascii="Courier New" w:hAnsi="Courier New"/>
          <w:color w:val="1A1A6E"/>
          <w:sz w:val="18"/>
        </w:rPr>
        <w:t>SQS = 1.3  → spread narrower than usual (optimal conditions)</w:t>
      </w:r>
    </w:p>
    <w:p>
      <w:pPr>
        <w:pStyle w:val="Heading2"/>
      </w:pPr>
      <w:r>
        <w:rPr>
          <w:color w:val="2E5496"/>
        </w:rPr>
        <w:t>13.2 Entry Filters</w:t>
      </w:r>
    </w:p>
    <w:tbl>
      <w:tblPr>
        <w:tblStyle w:val="TableGrid"/>
        <w:tblW w:type="auto" w:w="0"/>
        <w:tblLook w:firstColumn="1" w:firstRow="1" w:lastColumn="0" w:lastRow="0" w:noHBand="0" w:noVBand="1" w:val="04A0"/>
      </w:tblPr>
      <w:tblGrid>
        <w:gridCol w:w="3024"/>
        <w:gridCol w:w="3024"/>
        <w:gridCol w:w="3024"/>
      </w:tblGrid>
      <w:tr>
        <w:tc>
          <w:tcPr>
            <w:tcW w:type="dxa" w:w="2448"/>
            <w:shd w:val="clear" w:color="auto" w:fill="1F3864"/>
          </w:tcPr>
          <w:p>
            <w:r>
              <w:rPr>
                <w:b/>
                <w:color w:val="FFFFFF"/>
                <w:sz w:val="19"/>
              </w:rPr>
              <w:t>Strategy Family</w:t>
            </w:r>
          </w:p>
        </w:tc>
        <w:tc>
          <w:tcPr>
            <w:tcW w:type="dxa" w:w="2592"/>
            <w:shd w:val="clear" w:color="auto" w:fill="1F3864"/>
          </w:tcPr>
          <w:p>
            <w:r>
              <w:rPr>
                <w:b/>
                <w:color w:val="FFFFFF"/>
                <w:sz w:val="19"/>
              </w:rPr>
              <w:t>SQS Threshold for Entry</w:t>
            </w:r>
          </w:p>
        </w:tc>
        <w:tc>
          <w:tcPr>
            <w:tcW w:type="dxa" w:w="4608"/>
            <w:shd w:val="clear" w:color="auto" w:fill="1F3864"/>
          </w:tcPr>
          <w:p>
            <w:r>
              <w:rPr>
                <w:b/>
                <w:color w:val="FFFFFF"/>
                <w:sz w:val="19"/>
              </w:rPr>
              <w:t>Rationale</w:t>
            </w:r>
          </w:p>
        </w:tc>
      </w:tr>
      <w:tr>
        <w:tc>
          <w:tcPr>
            <w:tcW w:type="dxa" w:w="2448"/>
            <w:shd w:val="clear" w:color="auto" w:fill="F2F2F2"/>
          </w:tcPr>
          <w:p>
            <w:r>
              <w:rPr>
                <w:sz w:val="19"/>
              </w:rPr>
              <w:t>Scalping</w:t>
            </w:r>
          </w:p>
        </w:tc>
        <w:tc>
          <w:tcPr>
            <w:tcW w:type="dxa" w:w="2592"/>
            <w:shd w:val="clear" w:color="auto" w:fill="F2F2F2"/>
          </w:tcPr>
          <w:p>
            <w:r>
              <w:rPr>
                <w:sz w:val="19"/>
              </w:rPr>
              <w:t>SQS &gt; 0.75</w:t>
            </w:r>
          </w:p>
        </w:tc>
        <w:tc>
          <w:tcPr>
            <w:tcW w:type="dxa" w:w="4608"/>
            <w:shd w:val="clear" w:color="auto" w:fill="F2F2F2"/>
          </w:tcPr>
          <w:p>
            <w:r>
              <w:rPr>
                <w:sz w:val="19"/>
              </w:rPr>
              <w:t>Tight stops make spread cost significant relative to R</w:t>
            </w:r>
          </w:p>
        </w:tc>
      </w:tr>
      <w:tr>
        <w:tc>
          <w:tcPr>
            <w:tcW w:type="dxa" w:w="2448"/>
            <w:shd w:val="clear" w:color="auto" w:fill="FFFFFF"/>
          </w:tcPr>
          <w:p>
            <w:r>
              <w:rPr>
                <w:sz w:val="19"/>
              </w:rPr>
              <w:t>ORB</w:t>
            </w:r>
          </w:p>
        </w:tc>
        <w:tc>
          <w:tcPr>
            <w:tcW w:type="dxa" w:w="2592"/>
            <w:shd w:val="clear" w:color="auto" w:fill="FFFFFF"/>
          </w:tcPr>
          <w:p>
            <w:r>
              <w:rPr>
                <w:sz w:val="19"/>
              </w:rPr>
              <w:t>SQS &gt; 0.80</w:t>
            </w:r>
          </w:p>
        </w:tc>
        <w:tc>
          <w:tcPr>
            <w:tcW w:type="dxa" w:w="4608"/>
            <w:shd w:val="clear" w:color="auto" w:fill="FFFFFF"/>
          </w:tcPr>
          <w:p>
            <w:r>
              <w:rPr>
                <w:sz w:val="19"/>
              </w:rPr>
              <w:t>Stricter — ORB has wider stops but longer hold; spread at entry matters</w:t>
            </w:r>
          </w:p>
        </w:tc>
      </w:tr>
      <w:tr>
        <w:tc>
          <w:tcPr>
            <w:tcW w:type="dxa" w:w="2448"/>
            <w:shd w:val="clear" w:color="auto" w:fill="F2F2F2"/>
          </w:tcPr>
          <w:p>
            <w:r>
              <w:rPr>
                <w:sz w:val="19"/>
              </w:rPr>
              <w:t>Both (hard block)</w:t>
            </w:r>
          </w:p>
        </w:tc>
        <w:tc>
          <w:tcPr>
            <w:tcW w:type="dxa" w:w="2592"/>
            <w:shd w:val="clear" w:color="auto" w:fill="F2F2F2"/>
          </w:tcPr>
          <w:p>
            <w:r>
              <w:rPr>
                <w:sz w:val="19"/>
              </w:rPr>
              <w:t>SQS &lt; 0.50</w:t>
            </w:r>
          </w:p>
        </w:tc>
        <w:tc>
          <w:tcPr>
            <w:tcW w:type="dxa" w:w="4608"/>
            <w:shd w:val="clear" w:color="auto" w:fill="F2F2F2"/>
          </w:tcPr>
          <w:p>
            <w:r>
              <w:rPr>
                <w:sz w:val="19"/>
              </w:rPr>
              <w:t>Spread doubled or more — no entry regardless of signal</w:t>
            </w:r>
          </w:p>
        </w:tc>
      </w:tr>
    </w:tbl>
    <w:p/>
    <w:p>
      <w:pPr>
        <w:pStyle w:val="Heading2"/>
      </w:pPr>
      <w:r>
        <w:rPr>
          <w:color w:val="2E5496"/>
        </w:rPr>
        <w:t>13.3 Economic Calendar Integration</w:t>
      </w:r>
    </w:p>
    <w:p>
      <w:r>
        <w:rPr>
          <w:b w:val="0"/>
          <w:i w:val="0"/>
          <w:sz w:val="21"/>
        </w:rPr>
        <w:t>High-impact events (FOMC, NFP, CPI, ECB, BOE decisions) are loaded weekly from the economic calendar. The system applies:</w:t>
      </w:r>
    </w:p>
    <w:p>
      <w:pPr>
        <w:pStyle w:val="ListBullet"/>
        <w:ind w:left="432"/>
      </w:pPr>
      <w:r>
        <w:rPr>
          <w:sz w:val="21"/>
        </w:rPr>
        <w:t>Pre-event blackout: −15 minutes before release. No new entries for affected pairs.</w:t>
      </w:r>
    </w:p>
    <w:p>
      <w:pPr>
        <w:pStyle w:val="ListBullet"/>
        <w:ind w:left="432"/>
      </w:pPr>
      <w:r>
        <w:rPr>
          <w:sz w:val="21"/>
        </w:rPr>
        <w:t>Post-event cooldown: +15 minutes after release OR until SQS returns to &gt; 0.75, whichever is later.</w:t>
      </w:r>
    </w:p>
    <w:p>
      <w:pPr>
        <w:pStyle w:val="ListBullet"/>
        <w:ind w:left="432"/>
      </w:pPr>
      <w:r>
        <w:rPr>
          <w:sz w:val="21"/>
        </w:rPr>
        <w:t>Affected pair detection: calendar event metadata maps to instrument groups (e.g., US CPI → EURUSD, GBPUSD, USDJPY blocked).</w:t>
      </w:r>
    </w:p>
    <w:p>
      <w:pPr>
        <w:ind w:left="432"/>
      </w:pPr>
      <w:r>
        <w:rPr>
          <w:i/>
          <w:color w:val="555555"/>
          <w:sz w:val="19"/>
        </w:rPr>
        <w:t>NOTE: Economic calendar infrastructure already exists in the codebase (calendar_governor.py). The SQS system connects to it as a supplementary filter, not a replacement.</w:t>
      </w:r>
    </w:p>
    <w:p/>
    <w:p>
      <w:pPr>
        <w:pStyle w:val="Heading1"/>
      </w:pPr>
      <w:r>
        <w:rPr>
          <w:color w:val="1F3864"/>
        </w:rPr>
        <w:t>14. HMM: 3-Day Feedback Lag &amp; Walk-Forward Calibrator (Addendum)</w:t>
      </w:r>
    </w:p>
    <w:p>
      <w:r>
        <w:rPr>
          <w:b w:val="0"/>
          <w:i w:val="0"/>
          <w:sz w:val="21"/>
        </w:rPr>
        <w:t>The HMM is in shadow mode (ISING_ONLY → HMM_SHADOW) for 6–8 months while IC Markets live data accumulates. Two design decisions are added here.</w:t>
      </w:r>
    </w:p>
    <w:p>
      <w:pPr>
        <w:pStyle w:val="Heading2"/>
      </w:pPr>
      <w:r>
        <w:rPr>
          <w:color w:val="2E5496"/>
        </w:rPr>
        <w:t>14.1 3-Day Feedback Lag</w:t>
      </w:r>
    </w:p>
    <w:p>
      <w:r>
        <w:rPr>
          <w:b w:val="0"/>
          <w:i w:val="0"/>
          <w:sz w:val="21"/>
        </w:rPr>
        <w:t>When a live trade closes, its outcome data does NOT immediately enter the HMM training pool. A mandatory 3-day delay is enforced before the trade record is eligible for training input. Purpose: prevents the system from training on its own recent live decisions in a feedback loop (a form of data leakage that would degrade the model over time). After 3 days, the data is treated as historical and enters the normal distillation pipeline.</w:t>
      </w:r>
    </w:p>
    <w:p>
      <w:pPr>
        <w:ind w:left="432"/>
      </w:pPr>
      <w:r>
        <w:rPr>
          <w:i/>
          <w:color w:val="555555"/>
          <w:sz w:val="19"/>
        </w:rPr>
        <w:t>NOTE: This applies to both HMM retraining and AlphaForge Workflow 2 improvement loop. The Dataset Copy Firewall (from prior planning document) enforces the time boundary — this 3-day lag is an additional rule applied on top of that existing mechanism.</w:t>
      </w:r>
    </w:p>
    <w:p>
      <w:pPr>
        <w:pStyle w:val="Heading2"/>
      </w:pPr>
      <w:r>
        <w:rPr>
          <w:color w:val="2E5496"/>
        </w:rPr>
        <w:t>14.2 Walk-Forward Window Calibrator</w:t>
      </w:r>
    </w:p>
    <w:p>
      <w:r>
        <w:rPr>
          <w:b w:val="0"/>
          <w:i w:val="0"/>
          <w:sz w:val="21"/>
        </w:rPr>
        <w:t>The current architecture specifies rolling 1-month windows for WFA on scalping strategies. This should be dynamic, calibrated to the HMM's observed regime transition frequency:</w:t>
      </w:r>
    </w:p>
    <w:p>
      <w:pPr>
        <w:spacing w:before="80" w:after="80"/>
        <w:ind w:left="576"/>
      </w:pPr>
      <w:r>
        <w:rPr>
          <w:rFonts w:ascii="Courier New" w:hAnsi="Courier New"/>
          <w:color w:val="1A1A6E"/>
          <w:sz w:val="18"/>
        </w:rPr>
        <w:t>wfa_window = f(avg_regime_transition_interval)</w:t>
      </w:r>
    </w:p>
    <w:p>
      <w:pPr>
        <w:spacing w:before="80" w:after="80"/>
        <w:ind w:left="576"/>
      </w:pPr>
      <w:r>
        <w:rPr>
          <w:rFonts w:ascii="Courier New" w:hAnsi="Courier New"/>
          <w:color w:val="1A1A6E"/>
          <w:sz w:val="18"/>
        </w:rPr>
      </w:r>
    </w:p>
    <w:p>
      <w:pPr>
        <w:spacing w:before="80" w:after="80"/>
        <w:ind w:left="576"/>
      </w:pPr>
      <w:r>
        <w:rPr>
          <w:rFonts w:ascii="Courier New" w:hAnsi="Courier New"/>
          <w:color w:val="1A1A6E"/>
          <w:sz w:val="18"/>
        </w:rPr>
        <w:t>If regimes change every 3 weeks on average:</w:t>
      </w:r>
    </w:p>
    <w:p>
      <w:pPr>
        <w:spacing w:before="80" w:after="80"/>
        <w:ind w:left="576"/>
      </w:pPr>
      <w:r>
        <w:rPr>
          <w:rFonts w:ascii="Courier New" w:hAnsi="Courier New"/>
          <w:color w:val="1A1A6E"/>
          <w:sz w:val="18"/>
        </w:rPr>
        <w:t xml:space="preserve">  → 1-month window is appropriate (covers ~1.3 regime transitions)</w:t>
      </w:r>
    </w:p>
    <w:p>
      <w:pPr>
        <w:spacing w:before="80" w:after="80"/>
        <w:ind w:left="576"/>
      </w:pPr>
      <w:r>
        <w:rPr>
          <w:rFonts w:ascii="Courier New" w:hAnsi="Courier New"/>
          <w:color w:val="1A1A6E"/>
          <w:sz w:val="18"/>
        </w:rPr>
        <w:t>If regimes change every 6 weeks on average:</w:t>
      </w:r>
    </w:p>
    <w:p>
      <w:pPr>
        <w:spacing w:before="80" w:after="80"/>
        <w:ind w:left="576"/>
      </w:pPr>
      <w:r>
        <w:rPr>
          <w:rFonts w:ascii="Courier New" w:hAnsi="Courier New"/>
          <w:color w:val="1A1A6E"/>
          <w:sz w:val="18"/>
        </w:rPr>
        <w:t xml:space="preserve">  → 1-month window is too short; use 6-week window</w:t>
      </w:r>
    </w:p>
    <w:p>
      <w:pPr>
        <w:spacing w:before="80" w:after="80"/>
        <w:ind w:left="576"/>
      </w:pPr>
      <w:r>
        <w:rPr>
          <w:rFonts w:ascii="Courier New" w:hAnsi="Courier New"/>
          <w:color w:val="1A1A6E"/>
          <w:sz w:val="18"/>
        </w:rPr>
        <w:t>If regimes change every 10 days:</w:t>
      </w:r>
    </w:p>
    <w:p>
      <w:pPr>
        <w:spacing w:before="80" w:after="80"/>
        <w:ind w:left="576"/>
      </w:pPr>
      <w:r>
        <w:rPr>
          <w:rFonts w:ascii="Courier New" w:hAnsi="Courier New"/>
          <w:color w:val="1A1A6E"/>
          <w:sz w:val="18"/>
        </w:rPr>
        <w:t xml:space="preserve">  → 1-month window is too long; use 2-week window</w:t>
      </w:r>
    </w:p>
    <w:p>
      <w:r>
        <w:rPr>
          <w:b w:val="0"/>
          <w:i w:val="0"/>
          <w:sz w:val="21"/>
        </w:rPr>
        <w:t>The HMM on Contabo tracks regime transition timestamps. The AlphaForge Research sub-agent queries the average transition interval before setting up a WFA run and passes the calibrated window size to the backtest engine. This is an agent tool call, not a hardcoded constant.</w:t>
      </w:r>
    </w:p>
    <w:p/>
    <w:p>
      <w:pPr>
        <w:pStyle w:val="Heading1"/>
      </w:pPr>
      <w:r>
        <w:rPr>
          <w:color w:val="1F3864"/>
        </w:rPr>
        <w:t>15. Portfolio Math — Expected Value at Scale</w:t>
      </w:r>
    </w:p>
    <w:p>
      <w:pPr>
        <w:pStyle w:val="Heading2"/>
      </w:pPr>
      <w:r>
        <w:rPr>
          <w:color w:val="2E5496"/>
        </w:rPr>
        <w:t>15.1 Base Parameters</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1F3864"/>
          </w:tcPr>
          <w:p>
            <w:r>
              <w:rPr>
                <w:b/>
                <w:color w:val="FFFFFF"/>
                <w:sz w:val="19"/>
              </w:rPr>
              <w:t>Parameter</w:t>
            </w:r>
          </w:p>
        </w:tc>
        <w:tc>
          <w:tcPr>
            <w:tcW w:type="dxa" w:w="2592"/>
            <w:shd w:val="clear" w:color="auto" w:fill="1F3864"/>
          </w:tcPr>
          <w:p>
            <w:r>
              <w:rPr>
                <w:b/>
                <w:color w:val="FFFFFF"/>
                <w:sz w:val="19"/>
              </w:rPr>
              <w:t>Value</w:t>
            </w:r>
          </w:p>
        </w:tc>
        <w:tc>
          <w:tcPr>
            <w:tcW w:type="dxa" w:w="4608"/>
            <w:shd w:val="clear" w:color="auto" w:fill="1F3864"/>
          </w:tcPr>
          <w:p>
            <w:r>
              <w:rPr>
                <w:b/>
                <w:color w:val="FFFFFF"/>
                <w:sz w:val="19"/>
              </w:rPr>
              <w:t>Notes</w:t>
            </w:r>
          </w:p>
        </w:tc>
      </w:tr>
      <w:tr>
        <w:tc>
          <w:tcPr>
            <w:tcW w:type="dxa" w:w="3168"/>
            <w:shd w:val="clear" w:color="auto" w:fill="F2F2F2"/>
          </w:tcPr>
          <w:p>
            <w:r>
              <w:rPr>
                <w:sz w:val="19"/>
              </w:rPr>
              <w:t>Win rate (W)</w:t>
            </w:r>
          </w:p>
        </w:tc>
        <w:tc>
          <w:tcPr>
            <w:tcW w:type="dxa" w:w="2592"/>
            <w:shd w:val="clear" w:color="auto" w:fill="F2F2F2"/>
          </w:tcPr>
          <w:p>
            <w:r>
              <w:rPr>
                <w:sz w:val="19"/>
              </w:rPr>
              <w:t>52%</w:t>
            </w:r>
          </w:p>
        </w:tc>
        <w:tc>
          <w:tcPr>
            <w:tcW w:type="dxa" w:w="4608"/>
            <w:shd w:val="clear" w:color="auto" w:fill="F2F2F2"/>
          </w:tcPr>
          <w:p>
            <w:r>
              <w:rPr>
                <w:sz w:val="19"/>
              </w:rPr>
              <w:t>Phase 1 target. Agentic loop maintains ≥ 52% over time.</w:t>
            </w:r>
          </w:p>
        </w:tc>
      </w:tr>
      <w:tr>
        <w:tc>
          <w:tcPr>
            <w:tcW w:type="dxa" w:w="3168"/>
            <w:shd w:val="clear" w:color="auto" w:fill="FFFFFF"/>
          </w:tcPr>
          <w:p>
            <w:r>
              <w:rPr>
                <w:sz w:val="19"/>
              </w:rPr>
              <w:t>R:R ratio (scalping)</w:t>
            </w:r>
          </w:p>
        </w:tc>
        <w:tc>
          <w:tcPr>
            <w:tcW w:type="dxa" w:w="2592"/>
            <w:shd w:val="clear" w:color="auto" w:fill="FFFFFF"/>
          </w:tcPr>
          <w:p>
            <w:r>
              <w:rPr>
                <w:sz w:val="19"/>
              </w:rPr>
              <w:t>1.2:1</w:t>
            </w:r>
          </w:p>
        </w:tc>
        <w:tc>
          <w:tcPr>
            <w:tcW w:type="dxa" w:w="4608"/>
            <w:shd w:val="clear" w:color="auto" w:fill="FFFFFF"/>
          </w:tcPr>
          <w:p>
            <w:r>
              <w:rPr>
                <w:sz w:val="19"/>
              </w:rPr>
              <w:t>Gross. Net after spread/commission closer to 1.05:1.</w:t>
            </w:r>
          </w:p>
        </w:tc>
      </w:tr>
      <w:tr>
        <w:tc>
          <w:tcPr>
            <w:tcW w:type="dxa" w:w="3168"/>
            <w:shd w:val="clear" w:color="auto" w:fill="F2F2F2"/>
          </w:tcPr>
          <w:p>
            <w:r>
              <w:rPr>
                <w:sz w:val="19"/>
              </w:rPr>
              <w:t>Per-trade risk (R)</w:t>
            </w:r>
          </w:p>
        </w:tc>
        <w:tc>
          <w:tcPr>
            <w:tcW w:type="dxa" w:w="2592"/>
            <w:shd w:val="clear" w:color="auto" w:fill="F2F2F2"/>
          </w:tcPr>
          <w:p>
            <w:r>
              <w:rPr>
                <w:sz w:val="19"/>
              </w:rPr>
              <w:t>0.5% of equity</w:t>
            </w:r>
          </w:p>
        </w:tc>
        <w:tc>
          <w:tcPr>
            <w:tcW w:type="dxa" w:w="4608"/>
            <w:shd w:val="clear" w:color="auto" w:fill="F2F2F2"/>
          </w:tcPr>
          <w:p>
            <w:r>
              <w:rPr>
                <w:sz w:val="19"/>
              </w:rPr>
              <w:t>Base Kelly fraction × quarter-Kelly discipline</w:t>
            </w:r>
          </w:p>
        </w:tc>
      </w:tr>
      <w:tr>
        <w:tc>
          <w:tcPr>
            <w:tcW w:type="dxa" w:w="3168"/>
            <w:shd w:val="clear" w:color="auto" w:fill="FFFFFF"/>
          </w:tcPr>
          <w:p>
            <w:r>
              <w:rPr>
                <w:sz w:val="19"/>
              </w:rPr>
              <w:t>Concurrent exposure cap</w:t>
            </w:r>
          </w:p>
        </w:tc>
        <w:tc>
          <w:tcPr>
            <w:tcW w:type="dxa" w:w="2592"/>
            <w:shd w:val="clear" w:color="auto" w:fill="FFFFFF"/>
          </w:tcPr>
          <w:p>
            <w:r>
              <w:rPr>
                <w:sz w:val="19"/>
              </w:rPr>
              <w:t>5% of equity</w:t>
            </w:r>
          </w:p>
        </w:tc>
        <w:tc>
          <w:tcPr>
            <w:tcW w:type="dxa" w:w="4608"/>
            <w:shd w:val="clear" w:color="auto" w:fill="FFFFFF"/>
          </w:tcPr>
          <w:p>
            <w:r>
              <w:rPr>
                <w:sz w:val="19"/>
              </w:rPr>
              <w:t>Governor hard limit</w:t>
            </w:r>
          </w:p>
        </w:tc>
      </w:tr>
      <w:tr>
        <w:tc>
          <w:tcPr>
            <w:tcW w:type="dxa" w:w="3168"/>
            <w:shd w:val="clear" w:color="auto" w:fill="F2F2F2"/>
          </w:tcPr>
          <w:p>
            <w:r>
              <w:rPr>
                <w:sz w:val="19"/>
              </w:rPr>
              <w:t>Max concurrent open positions</w:t>
            </w:r>
          </w:p>
        </w:tc>
        <w:tc>
          <w:tcPr>
            <w:tcW w:type="dxa" w:w="2592"/>
            <w:shd w:val="clear" w:color="auto" w:fill="F2F2F2"/>
          </w:tcPr>
          <w:p>
            <w:r>
              <w:rPr>
                <w:sz w:val="19"/>
              </w:rPr>
              <w:t xml:space="preserve">10 (at any risk %) </w:t>
            </w:r>
          </w:p>
        </w:tc>
        <w:tc>
          <w:tcPr>
            <w:tcW w:type="dxa" w:w="4608"/>
            <w:shd w:val="clear" w:color="auto" w:fill="F2F2F2"/>
          </w:tcPr>
          <w:p>
            <w:r>
              <w:rPr>
                <w:sz w:val="19"/>
              </w:rPr>
              <w:t>(5% cap) / (0.5% per trade) = 10</w:t>
            </w:r>
          </w:p>
        </w:tc>
      </w:tr>
      <w:tr>
        <w:tc>
          <w:tcPr>
            <w:tcW w:type="dxa" w:w="3168"/>
            <w:shd w:val="clear" w:color="auto" w:fill="FFFFFF"/>
          </w:tcPr>
          <w:p>
            <w:r>
              <w:rPr>
                <w:sz w:val="19"/>
              </w:rPr>
              <w:t>Average holding time</w:t>
            </w:r>
          </w:p>
        </w:tc>
        <w:tc>
          <w:tcPr>
            <w:tcW w:type="dxa" w:w="2592"/>
            <w:shd w:val="clear" w:color="auto" w:fill="FFFFFF"/>
          </w:tcPr>
          <w:p>
            <w:r>
              <w:rPr>
                <w:sz w:val="19"/>
              </w:rPr>
              <w:t>8 minutes</w:t>
            </w:r>
          </w:p>
        </w:tc>
        <w:tc>
          <w:tcPr>
            <w:tcW w:type="dxa" w:w="4608"/>
            <w:shd w:val="clear" w:color="auto" w:fill="FFFFFF"/>
          </w:tcPr>
          <w:p>
            <w:r>
              <w:rPr>
                <w:sz w:val="19"/>
              </w:rPr>
              <w:t>Scalping. ORB = 30–180 minutes.</w:t>
            </w:r>
          </w:p>
        </w:tc>
      </w:tr>
      <w:tr>
        <w:tc>
          <w:tcPr>
            <w:tcW w:type="dxa" w:w="3168"/>
            <w:shd w:val="clear" w:color="auto" w:fill="F2F2F2"/>
          </w:tcPr>
          <w:p>
            <w:r>
              <w:rPr>
                <w:sz w:val="19"/>
              </w:rPr>
              <w:t>Commission cost per trade</w:t>
            </w:r>
          </w:p>
        </w:tc>
        <w:tc>
          <w:tcPr>
            <w:tcW w:type="dxa" w:w="2592"/>
            <w:shd w:val="clear" w:color="auto" w:fill="F2F2F2"/>
          </w:tcPr>
          <w:p>
            <w:r>
              <w:rPr>
                <w:sz w:val="19"/>
              </w:rPr>
              <w:t>~0.035% equity</w:t>
            </w:r>
          </w:p>
        </w:tc>
        <w:tc>
          <w:tcPr>
            <w:tcW w:type="dxa" w:w="4608"/>
            <w:shd w:val="clear" w:color="auto" w:fill="F2F2F2"/>
          </w:tcPr>
          <w:p>
            <w:r>
              <w:rPr>
                <w:sz w:val="19"/>
              </w:rPr>
              <w:t>IC Markets raw at growing lot sizes</w:t>
            </w:r>
          </w:p>
        </w:tc>
      </w:tr>
    </w:tbl>
    <w:p/>
    <w:p>
      <w:pPr>
        <w:pStyle w:val="Heading2"/>
      </w:pPr>
      <w:r>
        <w:rPr>
          <w:color w:val="2E5496"/>
        </w:rPr>
        <w:t>15.2 Expected Value Calculation</w:t>
      </w:r>
    </w:p>
    <w:p>
      <w:pPr>
        <w:spacing w:before="80" w:after="80"/>
        <w:ind w:left="576"/>
      </w:pPr>
      <w:r>
        <w:rPr>
          <w:rFonts w:ascii="Courier New" w:hAnsi="Courier New"/>
          <w:color w:val="1A1A6E"/>
          <w:sz w:val="18"/>
        </w:rPr>
        <w:t>EV_gross = (W × avg_win_R) - (L × avg_loss_R)</w:t>
      </w:r>
    </w:p>
    <w:p>
      <w:pPr>
        <w:spacing w:before="80" w:after="80"/>
        <w:ind w:left="576"/>
      </w:pPr>
      <w:r>
        <w:rPr>
          <w:rFonts w:ascii="Courier New" w:hAnsi="Courier New"/>
          <w:color w:val="1A1A6E"/>
          <w:sz w:val="18"/>
        </w:rPr>
        <w:t>EV_gross = (0.52 × 1.2R) - (0.48 × 1.0R) = 0.624R - 0.480R = +0.144R per trade</w:t>
      </w:r>
    </w:p>
    <w:p>
      <w:pPr>
        <w:spacing w:before="80" w:after="80"/>
        <w:ind w:left="576"/>
      </w:pPr>
      <w:r>
        <w:rPr>
          <w:rFonts w:ascii="Courier New" w:hAnsi="Courier New"/>
          <w:color w:val="1A1A6E"/>
          <w:sz w:val="18"/>
        </w:rPr>
      </w:r>
    </w:p>
    <w:p>
      <w:pPr>
        <w:spacing w:before="80" w:after="80"/>
        <w:ind w:left="576"/>
      </w:pPr>
      <w:r>
        <w:rPr>
          <w:rFonts w:ascii="Courier New" w:hAnsi="Courier New"/>
          <w:color w:val="1A1A6E"/>
          <w:sz w:val="18"/>
        </w:rPr>
        <w:t>EV_net   = EV_gross - commission_per_trade</w:t>
      </w:r>
    </w:p>
    <w:p>
      <w:pPr>
        <w:spacing w:before="80" w:after="80"/>
        <w:ind w:left="576"/>
      </w:pPr>
      <w:r>
        <w:rPr>
          <w:rFonts w:ascii="Courier New" w:hAnsi="Courier New"/>
          <w:color w:val="1A1A6E"/>
          <w:sz w:val="18"/>
        </w:rPr>
        <w:t>EV_net   ≈ 0.144R - 0.050R = +0.094R per trade (conservative fee estimate)</w:t>
      </w:r>
    </w:p>
    <w:p>
      <w:pPr>
        <w:spacing w:before="80" w:after="80"/>
        <w:ind w:left="576"/>
      </w:pPr>
      <w:r>
        <w:rPr>
          <w:rFonts w:ascii="Courier New" w:hAnsi="Courier New"/>
          <w:color w:val="1A1A6E"/>
          <w:sz w:val="18"/>
        </w:rPr>
        <w:t>As % of equity: 0.094 × 0.5% = +0.047% net per trade</w:t>
      </w:r>
    </w:p>
    <w:p>
      <w:pPr>
        <w:pStyle w:val="Heading2"/>
      </w:pPr>
      <w:r>
        <w:rPr>
          <w:color w:val="2E5496"/>
        </w:rPr>
        <w:t>15.3 Scale Scenarios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2160"/>
            <w:shd w:val="clear" w:color="auto" w:fill="1F3864"/>
          </w:tcPr>
          <w:p>
            <w:r>
              <w:rPr>
                <w:b/>
                <w:color w:val="FFFFFF"/>
                <w:sz w:val="19"/>
              </w:rPr>
              <w:t>Stage</w:t>
            </w:r>
          </w:p>
        </w:tc>
        <w:tc>
          <w:tcPr>
            <w:tcW w:type="dxa" w:w="1296"/>
            <w:shd w:val="clear" w:color="auto" w:fill="1F3864"/>
          </w:tcPr>
          <w:p>
            <w:r>
              <w:rPr>
                <w:b/>
                <w:color w:val="FFFFFF"/>
                <w:sz w:val="19"/>
              </w:rPr>
              <w:t>Account</w:t>
            </w:r>
          </w:p>
        </w:tc>
        <w:tc>
          <w:tcPr>
            <w:tcW w:type="dxa" w:w="1440"/>
            <w:shd w:val="clear" w:color="auto" w:fill="1F3864"/>
          </w:tcPr>
          <w:p>
            <w:r>
              <w:rPr>
                <w:b/>
                <w:color w:val="FFFFFF"/>
                <w:sz w:val="19"/>
              </w:rPr>
              <w:t>Trades/Day</w:t>
            </w:r>
          </w:p>
        </w:tc>
        <w:tc>
          <w:tcPr>
            <w:tcW w:type="dxa" w:w="2016"/>
            <w:shd w:val="clear" w:color="auto" w:fill="1F3864"/>
          </w:tcPr>
          <w:p>
            <w:r>
              <w:rPr>
                <w:b/>
                <w:color w:val="FFFFFF"/>
                <w:sz w:val="19"/>
              </w:rPr>
              <w:t>Daily EV (net)</w:t>
            </w:r>
          </w:p>
        </w:tc>
        <w:tc>
          <w:tcPr>
            <w:tcW w:type="dxa" w:w="1584"/>
            <w:shd w:val="clear" w:color="auto" w:fill="1F3864"/>
          </w:tcPr>
          <w:p>
            <w:r>
              <w:rPr>
                <w:b/>
                <w:color w:val="FFFFFF"/>
                <w:sz w:val="19"/>
              </w:rPr>
              <w:t>Daily Return</w:t>
            </w:r>
          </w:p>
        </w:tc>
        <w:tc>
          <w:tcPr>
            <w:tcW w:type="dxa" w:w="2016"/>
            <w:shd w:val="clear" w:color="auto" w:fill="1F3864"/>
          </w:tcPr>
          <w:p>
            <w:r>
              <w:rPr>
                <w:b/>
                <w:color w:val="FFFFFF"/>
                <w:sz w:val="19"/>
              </w:rPr>
              <w:t>Monthly (~22 days)</w:t>
            </w:r>
          </w:p>
        </w:tc>
        <w:tc>
          <w:tcPr>
            <w:tcW w:type="dxa" w:w="2016"/>
            <w:shd w:val="clear" w:color="auto" w:fill="1F3864"/>
          </w:tcPr>
          <w:p>
            <w:r>
              <w:rPr>
                <w:b/>
                <w:color w:val="FFFFFF"/>
                <w:sz w:val="19"/>
              </w:rPr>
              <w:t>12-Month Growth</w:t>
            </w:r>
          </w:p>
        </w:tc>
      </w:tr>
      <w:tr>
        <w:tc>
          <w:tcPr>
            <w:tcW w:type="dxa" w:w="2160"/>
            <w:shd w:val="clear" w:color="auto" w:fill="F2F2F2"/>
          </w:tcPr>
          <w:p>
            <w:r>
              <w:rPr>
                <w:sz w:val="19"/>
              </w:rPr>
              <w:t>Start</w:t>
            </w:r>
          </w:p>
        </w:tc>
        <w:tc>
          <w:tcPr>
            <w:tcW w:type="dxa" w:w="1296"/>
            <w:shd w:val="clear" w:color="auto" w:fill="F2F2F2"/>
          </w:tcPr>
          <w:p>
            <w:r>
              <w:rPr>
                <w:sz w:val="19"/>
              </w:rPr>
              <w:t>$200</w:t>
            </w:r>
          </w:p>
        </w:tc>
        <w:tc>
          <w:tcPr>
            <w:tcW w:type="dxa" w:w="1440"/>
            <w:shd w:val="clear" w:color="auto" w:fill="F2F2F2"/>
          </w:tcPr>
          <w:p>
            <w:r>
              <w:rPr>
                <w:sz w:val="19"/>
              </w:rPr>
              <w:t>30</w:t>
            </w:r>
          </w:p>
        </w:tc>
        <w:tc>
          <w:tcPr>
            <w:tcW w:type="dxa" w:w="2016"/>
            <w:shd w:val="clear" w:color="auto" w:fill="F2F2F2"/>
          </w:tcPr>
          <w:p>
            <w:r>
              <w:rPr>
                <w:sz w:val="19"/>
              </w:rPr>
              <w:t>$0.28</w:t>
            </w:r>
          </w:p>
        </w:tc>
        <w:tc>
          <w:tcPr>
            <w:tcW w:type="dxa" w:w="1584"/>
            <w:shd w:val="clear" w:color="auto" w:fill="F2F2F2"/>
          </w:tcPr>
          <w:p>
            <w:r>
              <w:rPr>
                <w:sz w:val="19"/>
              </w:rPr>
              <w:t>0.14%</w:t>
            </w:r>
          </w:p>
        </w:tc>
        <w:tc>
          <w:tcPr>
            <w:tcW w:type="dxa" w:w="2016"/>
            <w:shd w:val="clear" w:color="auto" w:fill="F2F2F2"/>
          </w:tcPr>
          <w:p>
            <w:r>
              <w:rPr>
                <w:sz w:val="19"/>
              </w:rPr>
              <w:t>~3%</w:t>
            </w:r>
          </w:p>
        </w:tc>
        <w:tc>
          <w:tcPr>
            <w:tcW w:type="dxa" w:w="2016"/>
            <w:shd w:val="clear" w:color="auto" w:fill="F2F2F2"/>
          </w:tcPr>
          <w:p>
            <w:r>
              <w:rPr>
                <w:sz w:val="19"/>
              </w:rPr>
              <w:t>~$236</w:t>
            </w:r>
          </w:p>
        </w:tc>
      </w:tr>
      <w:tr>
        <w:tc>
          <w:tcPr>
            <w:tcW w:type="dxa" w:w="2160"/>
            <w:shd w:val="clear" w:color="auto" w:fill="FFFFFF"/>
          </w:tcPr>
          <w:p>
            <w:r>
              <w:rPr>
                <w:sz w:val="19"/>
              </w:rPr>
              <w:t>Early Growth</w:t>
            </w:r>
          </w:p>
        </w:tc>
        <w:tc>
          <w:tcPr>
            <w:tcW w:type="dxa" w:w="1296"/>
            <w:shd w:val="clear" w:color="auto" w:fill="FFFFFF"/>
          </w:tcPr>
          <w:p>
            <w:r>
              <w:rPr>
                <w:sz w:val="19"/>
              </w:rPr>
              <w:t>$500</w:t>
            </w:r>
          </w:p>
        </w:tc>
        <w:tc>
          <w:tcPr>
            <w:tcW w:type="dxa" w:w="1440"/>
            <w:shd w:val="clear" w:color="auto" w:fill="FFFFFF"/>
          </w:tcPr>
          <w:p>
            <w:r>
              <w:rPr>
                <w:sz w:val="19"/>
              </w:rPr>
              <w:t>50</w:t>
            </w:r>
          </w:p>
        </w:tc>
        <w:tc>
          <w:tcPr>
            <w:tcW w:type="dxa" w:w="2016"/>
            <w:shd w:val="clear" w:color="auto" w:fill="FFFFFF"/>
          </w:tcPr>
          <w:p>
            <w:r>
              <w:rPr>
                <w:sz w:val="19"/>
              </w:rPr>
              <w:t>$1.18</w:t>
            </w:r>
          </w:p>
        </w:tc>
        <w:tc>
          <w:tcPr>
            <w:tcW w:type="dxa" w:w="1584"/>
            <w:shd w:val="clear" w:color="auto" w:fill="FFFFFF"/>
          </w:tcPr>
          <w:p>
            <w:r>
              <w:rPr>
                <w:sz w:val="19"/>
              </w:rPr>
              <w:t>0.24%</w:t>
            </w:r>
          </w:p>
        </w:tc>
        <w:tc>
          <w:tcPr>
            <w:tcW w:type="dxa" w:w="2016"/>
            <w:shd w:val="clear" w:color="auto" w:fill="FFFFFF"/>
          </w:tcPr>
          <w:p>
            <w:r>
              <w:rPr>
                <w:sz w:val="19"/>
              </w:rPr>
              <w:t>~5.3%</w:t>
            </w:r>
          </w:p>
        </w:tc>
        <w:tc>
          <w:tcPr>
            <w:tcW w:type="dxa" w:w="2016"/>
            <w:shd w:val="clear" w:color="auto" w:fill="FFFFFF"/>
          </w:tcPr>
          <w:p>
            <w:r>
              <w:rPr>
                <w:sz w:val="19"/>
              </w:rPr>
              <w:t>~$774</w:t>
            </w:r>
          </w:p>
        </w:tc>
      </w:tr>
      <w:tr>
        <w:tc>
          <w:tcPr>
            <w:tcW w:type="dxa" w:w="2160"/>
            <w:shd w:val="clear" w:color="auto" w:fill="F2F2F2"/>
          </w:tcPr>
          <w:p>
            <w:r>
              <w:rPr>
                <w:sz w:val="19"/>
              </w:rPr>
              <w:t>Intermediate</w:t>
            </w:r>
          </w:p>
        </w:tc>
        <w:tc>
          <w:tcPr>
            <w:tcW w:type="dxa" w:w="1296"/>
            <w:shd w:val="clear" w:color="auto" w:fill="F2F2F2"/>
          </w:tcPr>
          <w:p>
            <w:r>
              <w:rPr>
                <w:sz w:val="19"/>
              </w:rPr>
              <w:t>$2,000</w:t>
            </w:r>
          </w:p>
        </w:tc>
        <w:tc>
          <w:tcPr>
            <w:tcW w:type="dxa" w:w="1440"/>
            <w:shd w:val="clear" w:color="auto" w:fill="F2F2F2"/>
          </w:tcPr>
          <w:p>
            <w:r>
              <w:rPr>
                <w:sz w:val="19"/>
              </w:rPr>
              <w:t>150</w:t>
            </w:r>
          </w:p>
        </w:tc>
        <w:tc>
          <w:tcPr>
            <w:tcW w:type="dxa" w:w="2016"/>
            <w:shd w:val="clear" w:color="auto" w:fill="F2F2F2"/>
          </w:tcPr>
          <w:p>
            <w:r>
              <w:rPr>
                <w:sz w:val="19"/>
              </w:rPr>
              <w:t>$14.10</w:t>
            </w:r>
          </w:p>
        </w:tc>
        <w:tc>
          <w:tcPr>
            <w:tcW w:type="dxa" w:w="1584"/>
            <w:shd w:val="clear" w:color="auto" w:fill="F2F2F2"/>
          </w:tcPr>
          <w:p>
            <w:r>
              <w:rPr>
                <w:sz w:val="19"/>
              </w:rPr>
              <w:t>0.71%</w:t>
            </w:r>
          </w:p>
        </w:tc>
        <w:tc>
          <w:tcPr>
            <w:tcW w:type="dxa" w:w="2016"/>
            <w:shd w:val="clear" w:color="auto" w:fill="F2F2F2"/>
          </w:tcPr>
          <w:p>
            <w:r>
              <w:rPr>
                <w:sz w:val="19"/>
              </w:rPr>
              <w:t>~16.7%</w:t>
            </w:r>
          </w:p>
        </w:tc>
        <w:tc>
          <w:tcPr>
            <w:tcW w:type="dxa" w:w="2016"/>
            <w:shd w:val="clear" w:color="auto" w:fill="F2F2F2"/>
          </w:tcPr>
          <w:p>
            <w:r>
              <w:rPr>
                <w:sz w:val="19"/>
              </w:rPr>
              <w:t>large</w:t>
            </w:r>
          </w:p>
        </w:tc>
      </w:tr>
      <w:tr>
        <w:tc>
          <w:tcPr>
            <w:tcW w:type="dxa" w:w="2160"/>
            <w:shd w:val="clear" w:color="auto" w:fill="FFFFFF"/>
          </w:tcPr>
          <w:p>
            <w:r>
              <w:rPr>
                <w:sz w:val="19"/>
              </w:rPr>
              <w:t>Full Scale (50 bots)</w:t>
            </w:r>
          </w:p>
        </w:tc>
        <w:tc>
          <w:tcPr>
            <w:tcW w:type="dxa" w:w="1296"/>
            <w:shd w:val="clear" w:color="auto" w:fill="FFFFFF"/>
          </w:tcPr>
          <w:p>
            <w:r>
              <w:rPr>
                <w:sz w:val="19"/>
              </w:rPr>
              <w:t>$5,000</w:t>
            </w:r>
          </w:p>
        </w:tc>
        <w:tc>
          <w:tcPr>
            <w:tcW w:type="dxa" w:w="1440"/>
            <w:shd w:val="clear" w:color="auto" w:fill="FFFFFF"/>
          </w:tcPr>
          <w:p>
            <w:r>
              <w:rPr>
                <w:sz w:val="19"/>
              </w:rPr>
              <w:t>300</w:t>
            </w:r>
          </w:p>
        </w:tc>
        <w:tc>
          <w:tcPr>
            <w:tcW w:type="dxa" w:w="2016"/>
            <w:shd w:val="clear" w:color="auto" w:fill="FFFFFF"/>
          </w:tcPr>
          <w:p>
            <w:r>
              <w:rPr>
                <w:sz w:val="19"/>
              </w:rPr>
              <w:t>$70.50</w:t>
            </w:r>
          </w:p>
        </w:tc>
        <w:tc>
          <w:tcPr>
            <w:tcW w:type="dxa" w:w="1584"/>
            <w:shd w:val="clear" w:color="auto" w:fill="FFFFFF"/>
          </w:tcPr>
          <w:p>
            <w:r>
              <w:rPr>
                <w:sz w:val="19"/>
              </w:rPr>
              <w:t>1.4%</w:t>
            </w:r>
          </w:p>
        </w:tc>
        <w:tc>
          <w:tcPr>
            <w:tcW w:type="dxa" w:w="2016"/>
            <w:shd w:val="clear" w:color="auto" w:fill="FFFFFF"/>
          </w:tcPr>
          <w:p>
            <w:r>
              <w:rPr>
                <w:sz w:val="19"/>
              </w:rPr>
              <w:t>~36%</w:t>
            </w:r>
          </w:p>
        </w:tc>
        <w:tc>
          <w:tcPr>
            <w:tcW w:type="dxa" w:w="2016"/>
            <w:shd w:val="clear" w:color="auto" w:fill="FFFFFF"/>
          </w:tcPr>
          <w:p>
            <w:r>
              <w:rPr>
                <w:sz w:val="19"/>
              </w:rPr>
              <w:t>compounding</w:t>
            </w:r>
          </w:p>
        </w:tc>
      </w:tr>
      <w:tr>
        <w:tc>
          <w:tcPr>
            <w:tcW w:type="dxa" w:w="2160"/>
            <w:shd w:val="clear" w:color="auto" w:fill="F2F2F2"/>
          </w:tcPr>
          <w:p>
            <w:r>
              <w:rPr>
                <w:sz w:val="19"/>
              </w:rPr>
              <w:t>Full Scale (session-adjusted, 5 sessions)</w:t>
            </w:r>
          </w:p>
        </w:tc>
        <w:tc>
          <w:tcPr>
            <w:tcW w:type="dxa" w:w="1296"/>
            <w:shd w:val="clear" w:color="auto" w:fill="F2F2F2"/>
          </w:tcPr>
          <w:p>
            <w:r>
              <w:rPr>
                <w:sz w:val="19"/>
              </w:rPr>
              <w:t>$5,000</w:t>
            </w:r>
          </w:p>
        </w:tc>
        <w:tc>
          <w:tcPr>
            <w:tcW w:type="dxa" w:w="1440"/>
            <w:shd w:val="clear" w:color="auto" w:fill="F2F2F2"/>
          </w:tcPr>
          <w:p>
            <w:r>
              <w:rPr>
                <w:sz w:val="19"/>
              </w:rPr>
              <w:t>450–600</w:t>
            </w:r>
          </w:p>
        </w:tc>
        <w:tc>
          <w:tcPr>
            <w:tcW w:type="dxa" w:w="2016"/>
            <w:shd w:val="clear" w:color="auto" w:fill="F2F2F2"/>
          </w:tcPr>
          <w:p>
            <w:r>
              <w:rPr>
                <w:sz w:val="19"/>
              </w:rPr>
              <w:t>$105–$141</w:t>
            </w:r>
          </w:p>
        </w:tc>
        <w:tc>
          <w:tcPr>
            <w:tcW w:type="dxa" w:w="1584"/>
            <w:shd w:val="clear" w:color="auto" w:fill="F2F2F2"/>
          </w:tcPr>
          <w:p>
            <w:r>
              <w:rPr>
                <w:sz w:val="19"/>
              </w:rPr>
              <w:t>2.1–2.8%</w:t>
            </w:r>
          </w:p>
        </w:tc>
        <w:tc>
          <w:tcPr>
            <w:tcW w:type="dxa" w:w="2016"/>
            <w:shd w:val="clear" w:color="auto" w:fill="F2F2F2"/>
          </w:tcPr>
          <w:p>
            <w:r>
              <w:rPr>
                <w:sz w:val="19"/>
              </w:rPr>
              <w:t>~57–81%</w:t>
            </w:r>
          </w:p>
        </w:tc>
        <w:tc>
          <w:tcPr>
            <w:tcW w:type="dxa" w:w="2016"/>
            <w:shd w:val="clear" w:color="auto" w:fill="F2F2F2"/>
          </w:tcPr>
          <w:p>
            <w:r>
              <w:rPr>
                <w:sz w:val="19"/>
              </w:rPr>
              <w:t>—</w:t>
            </w:r>
          </w:p>
        </w:tc>
      </w:tr>
    </w:tbl>
    <w:p/>
    <w:p>
      <w:pPr>
        <w:pStyle w:val="Heading2"/>
      </w:pPr>
      <w:r>
        <w:rPr>
          <w:color w:val="2E5496"/>
        </w:rPr>
        <w:t>15.4 The Agentic Improvement Loop as the Compounding Multiplier</w:t>
      </w:r>
    </w:p>
    <w:p>
      <w:r>
        <w:rPr>
          <w:b w:val="0"/>
          <w:i w:val="0"/>
          <w:sz w:val="21"/>
        </w:rPr>
        <w:t>The math above assumes a static 52% win rate. In practice, strategies decay over time as market conditions shift. The Decline and Recovery Loop (prior planning document) is what maintains the portfolio-level win rate at or above threshold. A static system at 52% may decay to 49% in 3 months. An agentic system that continuously diagnoses underperformers, quarantines them, and improves or replaces them should hold at ≥52% as a maintained minimum and potentially improve to 54–55% on optimised quarters. The math of compound growth at maintained 52%+ is substantial — the agentic loop is not a nice-to-have, it is the mechanism that makes the long-term EV projections achievable.</w:t>
      </w:r>
    </w:p>
    <w:p>
      <w:pPr>
        <w:pStyle w:val="Heading2"/>
      </w:pPr>
      <w:r>
        <w:rPr>
          <w:color w:val="2E5496"/>
        </w:rPr>
        <w:t>15.5 Daily Net EV in Workflows</w:t>
      </w:r>
    </w:p>
    <w:p>
      <w:r>
        <w:rPr>
          <w:b w:val="0"/>
          <w:i w:val="0"/>
          <w:sz w:val="21"/>
        </w:rPr>
        <w:t>The daily net expected value figure (per-trade EV × daily trade count) should be tracked as a workflow metric in the Bot Variant Lifecycle Report system. The Live Monitor sub-agent compares actual daily EV against the expected EV from backtest at each lifecycle stage. A delta of &gt; −20% for 5 consecutive trading days triggers the Decline and Recovery Loop.</w:t>
      </w:r>
    </w:p>
    <w:p/>
    <w:p>
      <w:pPr>
        <w:pStyle w:val="Heading1"/>
      </w:pPr>
      <w:r>
        <w:rPr>
          <w:color w:val="1F3864"/>
        </w:rPr>
        <w:t>16. Deferred and Explicitly Removed Items</w:t>
      </w:r>
    </w:p>
    <w:p>
      <w:pPr>
        <w:pStyle w:val="Heading2"/>
      </w:pPr>
      <w:r>
        <w:rPr>
          <w:color w:val="2E5496"/>
        </w:rPr>
        <w:t>16.1 Removed</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3864"/>
          </w:tcPr>
          <w:p>
            <w:r>
              <w:rPr>
                <w:b/>
                <w:color w:val="FFFFFF"/>
                <w:sz w:val="19"/>
              </w:rPr>
              <w:t>Item</w:t>
            </w:r>
          </w:p>
        </w:tc>
        <w:tc>
          <w:tcPr>
            <w:tcW w:type="dxa" w:w="2016"/>
            <w:shd w:val="clear" w:color="auto" w:fill="1F3864"/>
          </w:tcPr>
          <w:p>
            <w:r>
              <w:rPr>
                <w:b/>
                <w:color w:val="FFFFFF"/>
                <w:sz w:val="19"/>
              </w:rPr>
              <w:t>Decision</w:t>
            </w:r>
          </w:p>
        </w:tc>
        <w:tc>
          <w:tcPr>
            <w:tcW w:type="dxa" w:w="4752"/>
            <w:shd w:val="clear" w:color="auto" w:fill="1F3864"/>
          </w:tcPr>
          <w:p>
            <w:r>
              <w:rPr>
                <w:b/>
                <w:color w:val="FFFFFF"/>
                <w:sz w:val="19"/>
              </w:rPr>
              <w:t>Reason</w:t>
            </w:r>
          </w:p>
        </w:tc>
      </w:tr>
      <w:tr>
        <w:tc>
          <w:tcPr>
            <w:tcW w:type="dxa" w:w="2880"/>
            <w:shd w:val="clear" w:color="auto" w:fill="F2F2F2"/>
          </w:tcPr>
          <w:p>
            <w:r>
              <w:rPr>
                <w:sz w:val="19"/>
              </w:rPr>
              <w:t>Intraday P&amp;L Lock Mode</w:t>
            </w:r>
          </w:p>
        </w:tc>
        <w:tc>
          <w:tcPr>
            <w:tcW w:type="dxa" w:w="2016"/>
            <w:shd w:val="clear" w:color="auto" w:fill="F2F2F2"/>
          </w:tcPr>
          <w:p>
            <w:r>
              <w:rPr>
                <w:sz w:val="19"/>
              </w:rPr>
              <w:t>REMOVED</w:t>
            </w:r>
          </w:p>
        </w:tc>
        <w:tc>
          <w:tcPr>
            <w:tcW w:type="dxa" w:w="4752"/>
            <w:shd w:val="clear" w:color="auto" w:fill="F2F2F2"/>
          </w:tcPr>
          <w:p>
            <w:r>
              <w:rPr>
                <w:sz w:val="19"/>
              </w:rPr>
              <w:t>Limits the system unnecessarily. Session mask + drawdown limits are the only runtime constraints.</w:t>
            </w:r>
          </w:p>
        </w:tc>
      </w:tr>
      <w:tr>
        <w:tc>
          <w:tcPr>
            <w:tcW w:type="dxa" w:w="2880"/>
            <w:shd w:val="clear" w:color="auto" w:fill="FFFFFF"/>
          </w:tcPr>
          <w:p>
            <w:r>
              <w:rPr>
                <w:sz w:val="19"/>
              </w:rPr>
              <w:t>Alpaca API integration</w:t>
            </w:r>
          </w:p>
        </w:tc>
        <w:tc>
          <w:tcPr>
            <w:tcW w:type="dxa" w:w="2016"/>
            <w:shd w:val="clear" w:color="auto" w:fill="FFFFFF"/>
          </w:tcPr>
          <w:p>
            <w:r>
              <w:rPr>
                <w:sz w:val="19"/>
              </w:rPr>
              <w:t>REMOVED from scope</w:t>
            </w:r>
          </w:p>
        </w:tc>
        <w:tc>
          <w:tcPr>
            <w:tcW w:type="dxa" w:w="4752"/>
            <w:shd w:val="clear" w:color="auto" w:fill="FFFFFF"/>
          </w:tcPr>
          <w:p>
            <w:r>
              <w:rPr>
                <w:sz w:val="19"/>
              </w:rPr>
              <w:t>US equities broker. Irrelevant to forex/MT5 stack. Revisit only if equity strategies are ever added.</w:t>
            </w:r>
          </w:p>
        </w:tc>
      </w:tr>
      <w:tr>
        <w:tc>
          <w:tcPr>
            <w:tcW w:type="dxa" w:w="2880"/>
            <w:shd w:val="clear" w:color="auto" w:fill="F2F2F2"/>
          </w:tcPr>
          <w:p>
            <w:r>
              <w:rPr>
                <w:sz w:val="19"/>
              </w:rPr>
              <w:t>7% London-NY overlap exposure cap</w:t>
            </w:r>
          </w:p>
        </w:tc>
        <w:tc>
          <w:tcPr>
            <w:tcW w:type="dxa" w:w="2016"/>
            <w:shd w:val="clear" w:color="auto" w:fill="F2F2F2"/>
          </w:tcPr>
          <w:p>
            <w:r>
              <w:rPr>
                <w:sz w:val="19"/>
              </w:rPr>
              <w:t>REPLACED</w:t>
            </w:r>
          </w:p>
        </w:tc>
        <w:tc>
          <w:tcPr>
            <w:tcW w:type="dxa" w:w="4752"/>
            <w:shd w:val="clear" w:color="auto" w:fill="F2F2F2"/>
          </w:tcPr>
          <w:p>
            <w:r>
              <w:rPr>
                <w:sz w:val="19"/>
              </w:rPr>
              <w:t>Replaced by session-scoped Kelly modifiers (Section 12). No raw exposure cap increase.</w:t>
            </w:r>
          </w:p>
        </w:tc>
      </w:tr>
    </w:tbl>
    <w:p/>
    <w:p>
      <w:pPr>
        <w:pStyle w:val="Heading2"/>
      </w:pPr>
      <w:r>
        <w:rPr>
          <w:color w:val="2E5496"/>
        </w:rPr>
        <w:t>16.2 Deferred to Phase 2</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1F3864"/>
          </w:tcPr>
          <w:p>
            <w:r>
              <w:rPr>
                <w:b/>
                <w:color w:val="FFFFFF"/>
                <w:sz w:val="19"/>
              </w:rPr>
              <w:t>Item</w:t>
            </w:r>
          </w:p>
        </w:tc>
        <w:tc>
          <w:tcPr>
            <w:tcW w:type="dxa" w:w="1296"/>
            <w:shd w:val="clear" w:color="auto" w:fill="1F3864"/>
          </w:tcPr>
          <w:p>
            <w:r>
              <w:rPr>
                <w:b/>
                <w:color w:val="FFFFFF"/>
                <w:sz w:val="19"/>
              </w:rPr>
              <w:t>Phase</w:t>
            </w:r>
          </w:p>
        </w:tc>
        <w:tc>
          <w:tcPr>
            <w:tcW w:type="dxa" w:w="5184"/>
            <w:shd w:val="clear" w:color="auto" w:fill="1F3864"/>
          </w:tcPr>
          <w:p>
            <w:r>
              <w:rPr>
                <w:b/>
                <w:color w:val="FFFFFF"/>
                <w:sz w:val="19"/>
              </w:rPr>
              <w:t>Condition for Activation</w:t>
            </w:r>
          </w:p>
        </w:tc>
      </w:tr>
      <w:tr>
        <w:tc>
          <w:tcPr>
            <w:tcW w:type="dxa" w:w="3168"/>
            <w:shd w:val="clear" w:color="auto" w:fill="F2F2F2"/>
          </w:tcPr>
          <w:p>
            <w:r>
              <w:rPr>
                <w:sz w:val="19"/>
              </w:rPr>
              <w:t>Variant Genetic Fingerprint</w:t>
            </w:r>
          </w:p>
        </w:tc>
        <w:tc>
          <w:tcPr>
            <w:tcW w:type="dxa" w:w="1296"/>
            <w:shd w:val="clear" w:color="auto" w:fill="F2F2F2"/>
          </w:tcPr>
          <w:p>
            <w:r>
              <w:rPr>
                <w:sz w:val="19"/>
              </w:rPr>
              <w:t>Phase 2</w:t>
            </w:r>
          </w:p>
        </w:tc>
        <w:tc>
          <w:tcPr>
            <w:tcW w:type="dxa" w:w="5184"/>
            <w:shd w:val="clear" w:color="auto" w:fill="F2F2F2"/>
          </w:tcPr>
          <w:p>
            <w:r>
              <w:rPr>
                <w:sz w:val="19"/>
              </w:rPr>
              <w:t>After agentic system is fully operational and tested. Alpha Forge producing live variants.</w:t>
            </w:r>
          </w:p>
        </w:tc>
      </w:tr>
      <w:tr>
        <w:tc>
          <w:tcPr>
            <w:tcW w:type="dxa" w:w="3168"/>
            <w:shd w:val="clear" w:color="auto" w:fill="FFFFFF"/>
          </w:tcPr>
          <w:p>
            <w:r>
              <w:rPr>
                <w:sz w:val="19"/>
              </w:rPr>
              <w:t>Walk-Forward Window Auto-Calibration (full)</w:t>
            </w:r>
          </w:p>
        </w:tc>
        <w:tc>
          <w:tcPr>
            <w:tcW w:type="dxa" w:w="1296"/>
            <w:shd w:val="clear" w:color="auto" w:fill="FFFFFF"/>
          </w:tcPr>
          <w:p>
            <w:r>
              <w:rPr>
                <w:sz w:val="19"/>
              </w:rPr>
              <w:t>Phase 1 → Phase 2</w:t>
            </w:r>
          </w:p>
        </w:tc>
        <w:tc>
          <w:tcPr>
            <w:tcW w:type="dxa" w:w="5184"/>
            <w:shd w:val="clear" w:color="auto" w:fill="FFFFFF"/>
          </w:tcPr>
          <w:p>
            <w:r>
              <w:rPr>
                <w:sz w:val="19"/>
              </w:rPr>
              <w:t>Requires HMM to have sufficient transition data (6+ months). Phase 1: use fixed 1-month window.</w:t>
            </w:r>
          </w:p>
        </w:tc>
      </w:tr>
      <w:tr>
        <w:tc>
          <w:tcPr>
            <w:tcW w:type="dxa" w:w="3168"/>
            <w:shd w:val="clear" w:color="auto" w:fill="F2F2F2"/>
          </w:tcPr>
          <w:p>
            <w:r>
              <w:rPr>
                <w:sz w:val="19"/>
              </w:rPr>
              <w:t>Cross-Market Regime Score (DXY, Gold, US10Y)</w:t>
            </w:r>
          </w:p>
        </w:tc>
        <w:tc>
          <w:tcPr>
            <w:tcW w:type="dxa" w:w="1296"/>
            <w:shd w:val="clear" w:color="auto" w:fill="F2F2F2"/>
          </w:tcPr>
          <w:p>
            <w:r>
              <w:rPr>
                <w:sz w:val="19"/>
              </w:rPr>
              <w:t>Phase 2</w:t>
            </w:r>
          </w:p>
        </w:tc>
        <w:tc>
          <w:tcPr>
            <w:tcW w:type="dxa" w:w="5184"/>
            <w:shd w:val="clear" w:color="auto" w:fill="F2F2F2"/>
          </w:tcPr>
          <w:p>
            <w:r>
              <w:rPr>
                <w:sz w:val="19"/>
              </w:rPr>
              <w:t>Requires secondary data source for DXY/US10Y. Deferred per prior planning document.</w:t>
            </w:r>
          </w:p>
        </w:tc>
      </w:tr>
      <w:tr>
        <w:tc>
          <w:tcPr>
            <w:tcW w:type="dxa" w:w="3168"/>
            <w:shd w:val="clear" w:color="auto" w:fill="FFFFFF"/>
          </w:tcPr>
          <w:p>
            <w:r>
              <w:rPr>
                <w:sz w:val="19"/>
              </w:rPr>
              <w:t>HMM promotion to HMM_HYBRID</w:t>
            </w:r>
          </w:p>
        </w:tc>
        <w:tc>
          <w:tcPr>
            <w:tcW w:type="dxa" w:w="1296"/>
            <w:shd w:val="clear" w:color="auto" w:fill="FFFFFF"/>
          </w:tcPr>
          <w:p>
            <w:r>
              <w:rPr>
                <w:sz w:val="19"/>
              </w:rPr>
              <w:t>6–8 months</w:t>
            </w:r>
          </w:p>
        </w:tc>
        <w:tc>
          <w:tcPr>
            <w:tcW w:type="dxa" w:w="5184"/>
            <w:shd w:val="clear" w:color="auto" w:fill="FFFFFF"/>
          </w:tcPr>
          <w:p>
            <w:r>
              <w:rPr>
                <w:sz w:val="19"/>
              </w:rPr>
              <w:t>Shadow mode accumulates IC Markets data. Promoted when prediction accuracy &gt; 70%.</w:t>
            </w:r>
          </w:p>
        </w:tc>
      </w:tr>
    </w:tbl>
    <w:p/>
    <w:p/>
    <w:p>
      <w:pPr>
        <w:pStyle w:val="Heading1"/>
      </w:pPr>
      <w:r>
        <w:rPr>
          <w:color w:val="1F3864"/>
        </w:rPr>
        <w:t>17. Open Questions</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3864"/>
          </w:tcPr>
          <w:p>
            <w:r>
              <w:rPr>
                <w:b/>
                <w:color w:val="FFFFFF"/>
                <w:sz w:val="19"/>
              </w:rPr>
              <w:t>Question</w:t>
            </w:r>
          </w:p>
        </w:tc>
        <w:tc>
          <w:tcPr>
            <w:tcW w:type="dxa" w:w="4320"/>
            <w:shd w:val="clear" w:color="auto" w:fill="1F3864"/>
          </w:tcPr>
          <w:p>
            <w:r>
              <w:rPr>
                <w:b/>
                <w:color w:val="FFFFFF"/>
                <w:sz w:val="19"/>
              </w:rPr>
              <w:t>Current Thinking</w:t>
            </w:r>
          </w:p>
        </w:tc>
        <w:tc>
          <w:tcPr>
            <w:tcW w:type="dxa" w:w="2448"/>
            <w:shd w:val="clear" w:color="auto" w:fill="1F3864"/>
          </w:tcPr>
          <w:p>
            <w:r>
              <w:rPr>
                <w:b/>
                <w:color w:val="FFFFFF"/>
                <w:sz w:val="19"/>
              </w:rPr>
              <w:t>Decision Point</w:t>
            </w:r>
          </w:p>
        </w:tc>
      </w:tr>
      <w:tr>
        <w:tc>
          <w:tcPr>
            <w:tcW w:type="dxa" w:w="2880"/>
            <w:shd w:val="clear" w:color="auto" w:fill="F2F2F2"/>
          </w:tcPr>
          <w:p>
            <w:r>
              <w:rPr>
                <w:sz w:val="19"/>
              </w:rPr>
              <w:t>Exness → IC Markets migration timing</w:t>
            </w:r>
          </w:p>
        </w:tc>
        <w:tc>
          <w:tcPr>
            <w:tcW w:type="dxa" w:w="4320"/>
            <w:shd w:val="clear" w:color="auto" w:fill="F2F2F2"/>
          </w:tcPr>
          <w:p>
            <w:r>
              <w:rPr>
                <w:sz w:val="19"/>
              </w:rPr>
              <w:t>Migrate when account is stable and Eversend setup is complete. No code changes required.</w:t>
            </w:r>
          </w:p>
        </w:tc>
        <w:tc>
          <w:tcPr>
            <w:tcW w:type="dxa" w:w="2448"/>
            <w:shd w:val="clear" w:color="auto" w:fill="F2F2F2"/>
          </w:tcPr>
          <w:p>
            <w:r>
              <w:rPr>
                <w:sz w:val="19"/>
              </w:rPr>
              <w:t>When infrastructure ready</w:t>
            </w:r>
          </w:p>
        </w:tc>
      </w:tr>
      <w:tr>
        <w:tc>
          <w:tcPr>
            <w:tcW w:type="dxa" w:w="2880"/>
            <w:shd w:val="clear" w:color="auto" w:fill="FFFFFF"/>
          </w:tcPr>
          <w:p>
            <w:r>
              <w:rPr>
                <w:sz w:val="19"/>
              </w:rPr>
              <w:t>ORB False Breakout: separate account or same Sniper account?</w:t>
            </w:r>
          </w:p>
        </w:tc>
        <w:tc>
          <w:tcPr>
            <w:tcW w:type="dxa" w:w="4320"/>
            <w:shd w:val="clear" w:color="auto" w:fill="FFFFFF"/>
          </w:tcPr>
          <w:p>
            <w:r>
              <w:rPr>
                <w:sz w:val="19"/>
              </w:rPr>
              <w:t>Same Sniper account, separate magic number range (20000–20999). Separate backtest history.</w:t>
            </w:r>
          </w:p>
        </w:tc>
        <w:tc>
          <w:tcPr>
            <w:tcW w:type="dxa" w:w="2448"/>
            <w:shd w:val="clear" w:color="auto" w:fill="FFFFFF"/>
          </w:tcPr>
          <w:p>
            <w:r>
              <w:rPr>
                <w:sz w:val="19"/>
              </w:rPr>
              <w:t>Implementation phase</w:t>
            </w:r>
          </w:p>
        </w:tc>
      </w:tr>
      <w:tr>
        <w:tc>
          <w:tcPr>
            <w:tcW w:type="dxa" w:w="2880"/>
            <w:shd w:val="clear" w:color="auto" w:fill="F2F2F2"/>
          </w:tcPr>
          <w:p>
            <w:r>
              <w:rPr>
                <w:sz w:val="19"/>
              </w:rPr>
              <w:t>Scalping variant count: how many variants reach 45 active bots?</w:t>
            </w:r>
          </w:p>
        </w:tc>
        <w:tc>
          <w:tcPr>
            <w:tcW w:type="dxa" w:w="4320"/>
            <w:shd w:val="clear" w:color="auto" w:fill="F2F2F2"/>
          </w:tcPr>
          <w:p>
            <w:r>
              <w:rPr>
                <w:sz w:val="19"/>
              </w:rPr>
              <w:t>One base strategy can produce 8 variants (M1/M5 × long/short × 2 param sweeps). 6 base strategies × 8 variants = 48 scalping bots. Achievable.</w:t>
            </w:r>
          </w:p>
        </w:tc>
        <w:tc>
          <w:tcPr>
            <w:tcW w:type="dxa" w:w="2448"/>
            <w:shd w:val="clear" w:color="auto" w:fill="F2F2F2"/>
          </w:tcPr>
          <w:p>
            <w:r>
              <w:rPr>
                <w:sz w:val="19"/>
              </w:rPr>
              <w:t>Alpha Forge Workflow 1</w:t>
            </w:r>
          </w:p>
        </w:tc>
      </w:tr>
      <w:tr>
        <w:tc>
          <w:tcPr>
            <w:tcW w:type="dxa" w:w="2880"/>
            <w:shd w:val="clear" w:color="auto" w:fill="FFFFFF"/>
          </w:tcPr>
          <w:p>
            <w:r>
              <w:rPr>
                <w:sz w:val="19"/>
              </w:rPr>
              <w:t>Session-scoped Kelly modifier persistence: carry to next day if session ends mid-drawdown?</w:t>
            </w:r>
          </w:p>
        </w:tc>
        <w:tc>
          <w:tcPr>
            <w:tcW w:type="dxa" w:w="4320"/>
            <w:shd w:val="clear" w:color="auto" w:fill="FFFFFF"/>
          </w:tcPr>
          <w:p>
            <w:r>
              <w:rPr>
                <w:sz w:val="19"/>
              </w:rPr>
              <w:t>No. Modifiers reset at session close. Each session starts fresh.</w:t>
            </w:r>
          </w:p>
        </w:tc>
        <w:tc>
          <w:tcPr>
            <w:tcW w:type="dxa" w:w="2448"/>
            <w:shd w:val="clear" w:color="auto" w:fill="FFFFFF"/>
          </w:tcPr>
          <w:p>
            <w:r>
              <w:rPr>
                <w:sz w:val="19"/>
              </w:rPr>
              <w:t>Confirmed this session</w:t>
            </w:r>
          </w:p>
        </w:tc>
      </w:tr>
      <w:tr>
        <w:tc>
          <w:tcPr>
            <w:tcW w:type="dxa" w:w="2880"/>
            <w:shd w:val="clear" w:color="auto" w:fill="F2F2F2"/>
          </w:tcPr>
          <w:p>
            <w:r>
              <w:rPr>
                <w:sz w:val="19"/>
              </w:rPr>
              <w:t>RVOL baseline window (20 sessions): is this sufficient for low-liquidity sessions?</w:t>
            </w:r>
          </w:p>
        </w:tc>
        <w:tc>
          <w:tcPr>
            <w:tcW w:type="dxa" w:w="4320"/>
            <w:shd w:val="clear" w:color="auto" w:fill="F2F2F2"/>
          </w:tcPr>
          <w:p>
            <w:r>
              <w:rPr>
                <w:sz w:val="19"/>
              </w:rPr>
              <w:t>Tokyo/Sydney may need 30-session baseline due to higher day-to-day variance. Configurable.</w:t>
            </w:r>
          </w:p>
        </w:tc>
        <w:tc>
          <w:tcPr>
            <w:tcW w:type="dxa" w:w="2448"/>
            <w:shd w:val="clear" w:color="auto" w:fill="F2F2F2"/>
          </w:tcPr>
          <w:p>
            <w:r>
              <w:rPr>
                <w:sz w:val="19"/>
              </w:rPr>
              <w:t>Implementation phase</w:t>
            </w:r>
          </w:p>
        </w:tc>
      </w:tr>
    </w:tbl>
    <w:p/>
    <w:p/>
    <w:p>
      <w:pPr>
        <w:pStyle w:val="Heading1"/>
      </w:pPr>
      <w:r>
        <w:rPr>
          <w:color w:val="1F3864"/>
        </w:rPr>
        <w:t>Document References</w:t>
      </w:r>
    </w:p>
    <w:p>
      <w:pPr>
        <w:pStyle w:val="ListBullet"/>
        <w:ind w:left="432"/>
      </w:pPr>
      <w:r>
        <w:rPr>
          <w:sz w:val="21"/>
        </w:rPr>
        <w:t>QuantMindX_Planning_Document_March2026.docx — Primary planning document (prior session)</w:t>
      </w:r>
    </w:p>
    <w:p>
      <w:pPr>
        <w:pStyle w:val="ListBullet"/>
        <w:ind w:left="432"/>
      </w:pPr>
      <w:r>
        <w:rPr>
          <w:sz w:val="21"/>
        </w:rPr>
        <w:t>_bmad-output/planning-artifacts/prd.md — Product Requirements (80 FRs, 52 journeys)</w:t>
      </w:r>
    </w:p>
    <w:p>
      <w:pPr>
        <w:pStyle w:val="ListBullet"/>
        <w:ind w:left="432"/>
      </w:pPr>
      <w:r>
        <w:rPr>
          <w:sz w:val="21"/>
        </w:rPr>
        <w:t>_bmad-output/planning-artifacts/architecture.md — Architecture Decision Document</w:t>
      </w:r>
    </w:p>
    <w:p>
      <w:pPr>
        <w:pStyle w:val="ListBullet"/>
        <w:ind w:left="432"/>
      </w:pPr>
      <w:r>
        <w:rPr>
          <w:sz w:val="21"/>
        </w:rPr>
        <w:t>_bmad-output/planning-artifacts/epics.md — Epic and Story Breakdown</w:t>
      </w:r>
    </w:p>
    <w:p>
      <w:pPr>
        <w:pStyle w:val="ListBullet"/>
        <w:ind w:left="432"/>
      </w:pPr>
      <w:r>
        <w:rPr>
          <w:sz w:val="21"/>
        </w:rPr>
        <w:t>_bmad-output/planning-artifacts/ux-design-specification.md — UX/Frosted Terminal spec</w:t>
      </w:r>
    </w:p>
    <w:p>
      <w:pPr>
        <w:pStyle w:val="ListBullet"/>
        <w:ind w:left="432"/>
      </w:pPr>
      <w:r>
        <w:rPr>
          <w:sz w:val="21"/>
        </w:rPr>
        <w:t>src/risk/physics/correlation_sensor.py — Existing CorrelationSensor (RMT implementation)</w:t>
      </w:r>
    </w:p>
    <w:p>
      <w:pPr>
        <w:pStyle w:val="ListBullet"/>
        <w:ind w:left="432"/>
      </w:pPr>
      <w:r>
        <w:rPr>
          <w:sz w:val="21"/>
        </w:rPr>
        <w:t>src/router/routing_matrix.py — Existing RoutingMatrix (Machine Gun / Sniper accounts)</w:t>
      </w:r>
    </w:p>
    <w:p>
      <w:pPr>
        <w:pStyle w:val="ListBullet"/>
        <w:ind w:left="432"/>
      </w:pPr>
      <w:r>
        <w:rPr>
          <w:sz w:val="21"/>
        </w:rPr>
        <w:t>src/position_sizing/enhanced_kelly.py — Existing EnhancedKellyCalculator</w:t>
      </w:r>
    </w:p>
    <w:p>
      <w:pPr>
        <w:pStyle w:val="ListBullet"/>
        <w:ind w:left="432"/>
      </w:pPr>
      <w:r>
        <w:rPr>
          <w:sz w:val="21"/>
        </w:rPr>
        <w:t>src/router/multi_timeframe_sentinel.py — Existing MultiTimeframeSentinel</w:t>
      </w:r>
    </w:p>
    <w:p/>
    <w:p>
      <w:pPr>
        <w:jc w:val="center"/>
      </w:pPr>
      <w:r>
        <w:rPr>
          <w:i/>
          <w:color w:val="888888"/>
          <w:sz w:val="18"/>
        </w:rPr>
        <w:t>QuantMindX | Planning Addendum — Session 2 | March 2026</w:t>
      </w:r>
    </w:p>
    <w:p>
      <w:r>
        <w:br w:type="page"/>
      </w:r>
    </w:p>
    <w:p>
      <w:pPr>
        <w:spacing w:before="200" w:after="120"/>
        <w:shd w:val="clear" w:color="auto" w:fill="1F497D"/>
      </w:pPr>
      <w:r>
        <w:rPr>
          <w:rFonts w:ascii="Calibri" w:hAnsi="Calibri"/>
          <w:b/>
          <w:color w:val="FFFFFF"/>
          <w:sz w:val="28"/>
        </w:rPr>
        <w:t xml:space="preserve">  SESSION 3 ADDENDUM — March 2026 (Continued)</w:t>
      </w:r>
    </w:p>
    <w:p>
      <w:pPr>
        <w:spacing w:before="40" w:after="80"/>
      </w:pPr>
      <w:r>
        <w:rPr>
          <w:rFonts w:ascii="Calibri" w:hAnsi="Calibri"/>
          <w:sz w:val="21"/>
        </w:rPr>
        <w:t>The following sections append new architectural decisions, frameworks, and clarifications arising from Session 3. No content from Sessions 1 or 2 has been removed. A coding agent reading this document should treat Session 3 content as refinements and extensions to everything above. Where a Session 3 decision supersedes a Session 2 decision, the Session 3 version takes precedence. All terminology is defined at first use in each section.</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 Corrected Portfolio Mathematics</w:t>
      </w:r>
    </w:p>
    <w:p>
      <w:pPr>
        <w:spacing w:before="200" w:after="60"/>
      </w:pPr>
      <w:r>
        <w:rPr>
          <w:rFonts w:ascii="Calibri" w:hAnsi="Calibri"/>
          <w:b/>
          <w:color w:val="2E75B6"/>
          <w:sz w:val="22"/>
        </w:rPr>
        <w:t>S3-1.1  Confirmed Trading Parameters</w:t>
      </w:r>
    </w:p>
    <w:p>
      <w:pPr>
        <w:spacing w:before="40" w:after="60"/>
      </w:pPr>
      <w:r>
        <w:rPr>
          <w:rFonts w:ascii="Calibri" w:hAnsi="Calibri"/>
          <w:b/>
          <w:sz w:val="21"/>
        </w:rPr>
        <w:t xml:space="preserve">Starting equity: </w:t>
      </w:r>
      <w:r>
        <w:rPr>
          <w:rFonts w:ascii="Calibri" w:hAnsi="Calibri"/>
          <w:sz w:val="21"/>
        </w:rPr>
        <w:t>$200 USD</w:t>
      </w:r>
    </w:p>
    <w:p>
      <w:pPr>
        <w:spacing w:before="40" w:after="60"/>
      </w:pPr>
      <w:r>
        <w:rPr>
          <w:rFonts w:ascii="Calibri" w:hAnsi="Calibri"/>
          <w:b/>
          <w:sz w:val="21"/>
        </w:rPr>
        <w:t xml:space="preserve">Risk per trade: </w:t>
      </w:r>
      <w:r>
        <w:rPr>
          <w:rFonts w:ascii="Calibri" w:hAnsi="Calibri"/>
          <w:sz w:val="21"/>
        </w:rPr>
        <w:t>2% of current equity (Kelly hard cap). At $200 = $4 per trade. NOT $2 — the $2 figure was based on a 1% assumption from an earlier draft. 2% is the EnhancedKellyConfig.max_risk_pct default.</w:t>
      </w:r>
    </w:p>
    <w:p>
      <w:pPr>
        <w:spacing w:before="40" w:after="60"/>
      </w:pPr>
      <w:r>
        <w:rPr>
          <w:rFonts w:ascii="Calibri" w:hAnsi="Calibri"/>
          <w:b/>
          <w:sz w:val="21"/>
        </w:rPr>
        <w:t xml:space="preserve">R:R ratio target: </w:t>
      </w:r>
      <w:r>
        <w:rPr>
          <w:rFonts w:ascii="Calibri" w:hAnsi="Calibri"/>
          <w:sz w:val="21"/>
        </w:rPr>
        <w:t>1:2 minimum (win = 2× the risk). 1:3 optimal (win = 3× the risk). The 1.2:1 figure used in earlier documents is incorrect for this system — that was sourced from generic BMAD defaults.</w:t>
      </w:r>
    </w:p>
    <w:p>
      <w:pPr>
        <w:spacing w:before="40" w:after="60"/>
      </w:pPr>
      <w:r>
        <w:rPr>
          <w:rFonts w:ascii="Calibri" w:hAnsi="Calibri"/>
          <w:b/>
          <w:sz w:val="21"/>
        </w:rPr>
        <w:t xml:space="preserve">Fees: </w:t>
      </w:r>
      <w:r>
        <w:rPr>
          <w:rFonts w:ascii="Calibri" w:hAnsi="Calibri"/>
          <w:sz w:val="21"/>
        </w:rPr>
        <w:t>Already baked into Kelly via fee-adjusted avg_win / avg_loss calculation in EnhancedKellyCalculator.calculate(). Do NOT deduct fees separately from EV calculations.</w:t>
      </w:r>
    </w:p>
    <w:p>
      <w:pPr>
        <w:spacing w:before="40" w:after="60"/>
      </w:pPr>
      <w:r>
        <w:rPr>
          <w:rFonts w:ascii="Calibri" w:hAnsi="Calibri"/>
          <w:b/>
          <w:sz w:val="21"/>
        </w:rPr>
        <w:t xml:space="preserve">Win rate baseline: </w:t>
      </w:r>
      <w:r>
        <w:rPr>
          <w:rFonts w:ascii="Calibri" w:hAnsi="Calibri"/>
          <w:sz w:val="21"/>
        </w:rPr>
        <w:t>52% across validated strategy families. 50% used for break-even analysis.</w:t>
      </w:r>
    </w:p>
    <w:p>
      <w:pPr>
        <w:spacing w:before="200" w:after="60"/>
      </w:pPr>
      <w:r>
        <w:rPr>
          <w:rFonts w:ascii="Calibri" w:hAnsi="Calibri"/>
          <w:b/>
          <w:color w:val="2E75B6"/>
          <w:sz w:val="22"/>
        </w:rPr>
        <w:t>S3-1.2  Per-Trade EV at Confirmed Parameters</w:t>
      </w:r>
    </w:p>
    <w:p>
      <w:pPr>
        <w:spacing w:before="40" w:after="80"/>
      </w:pPr>
      <w:r>
        <w:rPr>
          <w:rFonts w:ascii="Calibri" w:hAnsi="Calibri"/>
          <w:sz w:val="21"/>
        </w:rPr>
        <w:t>At 2% risk per trade on a $200 account, risk per trade = $4. Win = $8 (1:2 R:R). Loss = $4.</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168"/>
            <w:shd w:val="clear" w:color="auto" w:fill="2E75B6"/>
          </w:tcPr>
          <w:p>
            <w:pPr>
              <w:spacing w:before="40" w:after="40"/>
            </w:pPr>
            <w:r>
              <w:rPr>
                <w:rFonts w:ascii="Calibri" w:hAnsi="Calibri"/>
                <w:b/>
                <w:color w:val="FFFFFF"/>
                <w:sz w:val="20"/>
              </w:rPr>
              <w:t>Scenario</w:t>
            </w:r>
          </w:p>
        </w:tc>
        <w:tc>
          <w:tcPr>
            <w:tcW w:type="dxa" w:w="1584"/>
            <w:shd w:val="clear" w:color="auto" w:fill="2E75B6"/>
          </w:tcPr>
          <w:p>
            <w:pPr>
              <w:spacing w:before="40" w:after="40"/>
            </w:pPr>
            <w:r>
              <w:rPr>
                <w:rFonts w:ascii="Calibri" w:hAnsi="Calibri"/>
                <w:b/>
                <w:color w:val="FFFFFF"/>
                <w:sz w:val="20"/>
              </w:rPr>
              <w:t>Win$</w:t>
            </w:r>
          </w:p>
        </w:tc>
        <w:tc>
          <w:tcPr>
            <w:tcW w:type="dxa" w:w="1584"/>
            <w:shd w:val="clear" w:color="auto" w:fill="2E75B6"/>
          </w:tcPr>
          <w:p>
            <w:pPr>
              <w:spacing w:before="40" w:after="40"/>
            </w:pPr>
            <w:r>
              <w:rPr>
                <w:rFonts w:ascii="Calibri" w:hAnsi="Calibri"/>
                <w:b/>
                <w:color w:val="FFFFFF"/>
                <w:sz w:val="20"/>
              </w:rPr>
              <w:t>Loss$</w:t>
            </w:r>
          </w:p>
        </w:tc>
        <w:tc>
          <w:tcPr>
            <w:tcW w:type="dxa" w:w="2016"/>
            <w:shd w:val="clear" w:color="auto" w:fill="2E75B6"/>
          </w:tcPr>
          <w:p>
            <w:pPr>
              <w:spacing w:before="40" w:after="40"/>
            </w:pPr>
            <w:r>
              <w:rPr>
                <w:rFonts w:ascii="Calibri" w:hAnsi="Calibri"/>
                <w:b/>
                <w:color w:val="FFFFFF"/>
                <w:sz w:val="20"/>
              </w:rPr>
              <w:t>EV per Trade</w:t>
            </w:r>
          </w:p>
        </w:tc>
        <w:tc>
          <w:tcPr>
            <w:tcW w:type="dxa" w:w="2016"/>
            <w:shd w:val="clear" w:color="auto" w:fill="2E75B6"/>
          </w:tcPr>
          <w:p>
            <w:pPr>
              <w:spacing w:before="40" w:after="40"/>
            </w:pPr>
            <w:r>
              <w:rPr>
                <w:rFonts w:ascii="Calibri" w:hAnsi="Calibri"/>
                <w:b/>
                <w:color w:val="FFFFFF"/>
                <w:sz w:val="20"/>
              </w:rPr>
              <w:t>As % of Equity</w:t>
            </w:r>
          </w:p>
        </w:tc>
      </w:tr>
      <w:tr>
        <w:tc>
          <w:tcPr>
            <w:tcW w:type="dxa" w:w="3168"/>
            <w:shd w:val="clear" w:color="auto" w:fill="F2F2F2"/>
          </w:tcPr>
          <w:p>
            <w:pPr>
              <w:spacing w:before="40" w:after="40"/>
            </w:pPr>
            <w:r>
              <w:rPr>
                <w:rFonts w:ascii="Calibri" w:hAnsi="Calibri"/>
                <w:sz w:val="20"/>
              </w:rPr>
              <w:t>1:2 R:R, 50% WR</w:t>
            </w:r>
          </w:p>
        </w:tc>
        <w:tc>
          <w:tcPr>
            <w:tcW w:type="dxa" w:w="1584"/>
            <w:shd w:val="clear" w:color="auto" w:fill="F2F2F2"/>
          </w:tcPr>
          <w:p>
            <w:pPr>
              <w:spacing w:before="40" w:after="40"/>
            </w:pPr>
            <w:r>
              <w:rPr>
                <w:rFonts w:ascii="Calibri" w:hAnsi="Calibri"/>
                <w:sz w:val="20"/>
              </w:rPr>
              <w:t>$8.00</w:t>
            </w:r>
          </w:p>
        </w:tc>
        <w:tc>
          <w:tcPr>
            <w:tcW w:type="dxa" w:w="1584"/>
            <w:shd w:val="clear" w:color="auto" w:fill="F2F2F2"/>
          </w:tcPr>
          <w:p>
            <w:pPr>
              <w:spacing w:before="40" w:after="40"/>
            </w:pPr>
            <w:r>
              <w:rPr>
                <w:rFonts w:ascii="Calibri" w:hAnsi="Calibri"/>
                <w:sz w:val="20"/>
              </w:rPr>
              <w:t>$4.00</w:t>
            </w:r>
          </w:p>
        </w:tc>
        <w:tc>
          <w:tcPr>
            <w:tcW w:type="dxa" w:w="2016"/>
            <w:shd w:val="clear" w:color="auto" w:fill="F2F2F2"/>
          </w:tcPr>
          <w:p>
            <w:pPr>
              <w:spacing w:before="40" w:after="40"/>
            </w:pPr>
            <w:r>
              <w:rPr>
                <w:rFonts w:ascii="Calibri" w:hAnsi="Calibri"/>
                <w:sz w:val="20"/>
              </w:rPr>
              <w:t>+$2.00</w:t>
            </w:r>
          </w:p>
        </w:tc>
        <w:tc>
          <w:tcPr>
            <w:tcW w:type="dxa" w:w="2016"/>
            <w:shd w:val="clear" w:color="auto" w:fill="F2F2F2"/>
          </w:tcPr>
          <w:p>
            <w:pPr>
              <w:spacing w:before="40" w:after="40"/>
            </w:pPr>
            <w:r>
              <w:rPr>
                <w:rFonts w:ascii="Calibri" w:hAnsi="Calibri"/>
                <w:sz w:val="20"/>
              </w:rPr>
              <w:t>+1.00%</w:t>
            </w:r>
          </w:p>
        </w:tc>
      </w:tr>
      <w:tr>
        <w:tc>
          <w:tcPr>
            <w:tcW w:type="dxa" w:w="3168"/>
            <w:shd w:val="clear" w:color="auto" w:fill="FFFFFF"/>
          </w:tcPr>
          <w:p>
            <w:pPr>
              <w:spacing w:before="40" w:after="40"/>
            </w:pPr>
            <w:r>
              <w:rPr>
                <w:rFonts w:ascii="Calibri" w:hAnsi="Calibri"/>
                <w:sz w:val="20"/>
              </w:rPr>
              <w:t>1:2 R:R, 52% WR</w:t>
            </w:r>
          </w:p>
        </w:tc>
        <w:tc>
          <w:tcPr>
            <w:tcW w:type="dxa" w:w="1584"/>
            <w:shd w:val="clear" w:color="auto" w:fill="FFFFFF"/>
          </w:tcPr>
          <w:p>
            <w:pPr>
              <w:spacing w:before="40" w:after="40"/>
            </w:pPr>
            <w:r>
              <w:rPr>
                <w:rFonts w:ascii="Calibri" w:hAnsi="Calibri"/>
                <w:sz w:val="20"/>
              </w:rPr>
              <w:t>$8.00</w:t>
            </w:r>
          </w:p>
        </w:tc>
        <w:tc>
          <w:tcPr>
            <w:tcW w:type="dxa" w:w="1584"/>
            <w:shd w:val="clear" w:color="auto" w:fill="FFFFFF"/>
          </w:tcPr>
          <w:p>
            <w:pPr>
              <w:spacing w:before="40" w:after="40"/>
            </w:pPr>
            <w:r>
              <w:rPr>
                <w:rFonts w:ascii="Calibri" w:hAnsi="Calibri"/>
                <w:sz w:val="20"/>
              </w:rPr>
              <w:t>$4.00</w:t>
            </w:r>
          </w:p>
        </w:tc>
        <w:tc>
          <w:tcPr>
            <w:tcW w:type="dxa" w:w="2016"/>
            <w:shd w:val="clear" w:color="auto" w:fill="FFFFFF"/>
          </w:tcPr>
          <w:p>
            <w:pPr>
              <w:spacing w:before="40" w:after="40"/>
            </w:pPr>
            <w:r>
              <w:rPr>
                <w:rFonts w:ascii="Calibri" w:hAnsi="Calibri"/>
                <w:sz w:val="20"/>
              </w:rPr>
              <w:t>+$2.24</w:t>
            </w:r>
          </w:p>
        </w:tc>
        <w:tc>
          <w:tcPr>
            <w:tcW w:type="dxa" w:w="2016"/>
            <w:shd w:val="clear" w:color="auto" w:fill="FFFFFF"/>
          </w:tcPr>
          <w:p>
            <w:pPr>
              <w:spacing w:before="40" w:after="40"/>
            </w:pPr>
            <w:r>
              <w:rPr>
                <w:rFonts w:ascii="Calibri" w:hAnsi="Calibri"/>
                <w:sz w:val="20"/>
              </w:rPr>
              <w:t>+1.12%</w:t>
            </w:r>
          </w:p>
        </w:tc>
      </w:tr>
      <w:tr>
        <w:tc>
          <w:tcPr>
            <w:tcW w:type="dxa" w:w="3168"/>
            <w:shd w:val="clear" w:color="auto" w:fill="F2F2F2"/>
          </w:tcPr>
          <w:p>
            <w:pPr>
              <w:spacing w:before="40" w:after="40"/>
            </w:pPr>
            <w:r>
              <w:rPr>
                <w:rFonts w:ascii="Calibri" w:hAnsi="Calibri"/>
                <w:sz w:val="20"/>
              </w:rPr>
              <w:t>1:3 R:R, 50% WR</w:t>
            </w:r>
          </w:p>
        </w:tc>
        <w:tc>
          <w:tcPr>
            <w:tcW w:type="dxa" w:w="1584"/>
            <w:shd w:val="clear" w:color="auto" w:fill="F2F2F2"/>
          </w:tcPr>
          <w:p>
            <w:pPr>
              <w:spacing w:before="40" w:after="40"/>
            </w:pPr>
            <w:r>
              <w:rPr>
                <w:rFonts w:ascii="Calibri" w:hAnsi="Calibri"/>
                <w:sz w:val="20"/>
              </w:rPr>
              <w:t>$12.00</w:t>
            </w:r>
          </w:p>
        </w:tc>
        <w:tc>
          <w:tcPr>
            <w:tcW w:type="dxa" w:w="1584"/>
            <w:shd w:val="clear" w:color="auto" w:fill="F2F2F2"/>
          </w:tcPr>
          <w:p>
            <w:pPr>
              <w:spacing w:before="40" w:after="40"/>
            </w:pPr>
            <w:r>
              <w:rPr>
                <w:rFonts w:ascii="Calibri" w:hAnsi="Calibri"/>
                <w:sz w:val="20"/>
              </w:rPr>
              <w:t>$4.00</w:t>
            </w:r>
          </w:p>
        </w:tc>
        <w:tc>
          <w:tcPr>
            <w:tcW w:type="dxa" w:w="2016"/>
            <w:shd w:val="clear" w:color="auto" w:fill="F2F2F2"/>
          </w:tcPr>
          <w:p>
            <w:pPr>
              <w:spacing w:before="40" w:after="40"/>
            </w:pPr>
            <w:r>
              <w:rPr>
                <w:rFonts w:ascii="Calibri" w:hAnsi="Calibri"/>
                <w:sz w:val="20"/>
              </w:rPr>
              <w:t>+$4.00</w:t>
            </w:r>
          </w:p>
        </w:tc>
        <w:tc>
          <w:tcPr>
            <w:tcW w:type="dxa" w:w="2016"/>
            <w:shd w:val="clear" w:color="auto" w:fill="F2F2F2"/>
          </w:tcPr>
          <w:p>
            <w:pPr>
              <w:spacing w:before="40" w:after="40"/>
            </w:pPr>
            <w:r>
              <w:rPr>
                <w:rFonts w:ascii="Calibri" w:hAnsi="Calibri"/>
                <w:sz w:val="20"/>
              </w:rPr>
              <w:t>+2.00%</w:t>
            </w:r>
          </w:p>
        </w:tc>
      </w:tr>
      <w:tr>
        <w:tc>
          <w:tcPr>
            <w:tcW w:type="dxa" w:w="3168"/>
            <w:shd w:val="clear" w:color="auto" w:fill="FFFFFF"/>
          </w:tcPr>
          <w:p>
            <w:pPr>
              <w:spacing w:before="40" w:after="40"/>
            </w:pPr>
            <w:r>
              <w:rPr>
                <w:rFonts w:ascii="Calibri" w:hAnsi="Calibri"/>
                <w:sz w:val="20"/>
              </w:rPr>
              <w:t>1:3 R:R, 52% WR</w:t>
            </w:r>
          </w:p>
        </w:tc>
        <w:tc>
          <w:tcPr>
            <w:tcW w:type="dxa" w:w="1584"/>
            <w:shd w:val="clear" w:color="auto" w:fill="FFFFFF"/>
          </w:tcPr>
          <w:p>
            <w:pPr>
              <w:spacing w:before="40" w:after="40"/>
            </w:pPr>
            <w:r>
              <w:rPr>
                <w:rFonts w:ascii="Calibri" w:hAnsi="Calibri"/>
                <w:sz w:val="20"/>
              </w:rPr>
              <w:t>$12.00</w:t>
            </w:r>
          </w:p>
        </w:tc>
        <w:tc>
          <w:tcPr>
            <w:tcW w:type="dxa" w:w="1584"/>
            <w:shd w:val="clear" w:color="auto" w:fill="FFFFFF"/>
          </w:tcPr>
          <w:p>
            <w:pPr>
              <w:spacing w:before="40" w:after="40"/>
            </w:pPr>
            <w:r>
              <w:rPr>
                <w:rFonts w:ascii="Calibri" w:hAnsi="Calibri"/>
                <w:sz w:val="20"/>
              </w:rPr>
              <w:t>$4.00</w:t>
            </w:r>
          </w:p>
        </w:tc>
        <w:tc>
          <w:tcPr>
            <w:tcW w:type="dxa" w:w="2016"/>
            <w:shd w:val="clear" w:color="auto" w:fill="FFFFFF"/>
          </w:tcPr>
          <w:p>
            <w:pPr>
              <w:spacing w:before="40" w:after="40"/>
            </w:pPr>
            <w:r>
              <w:rPr>
                <w:rFonts w:ascii="Calibri" w:hAnsi="Calibri"/>
                <w:sz w:val="20"/>
              </w:rPr>
              <w:t>+$4.32</w:t>
            </w:r>
          </w:p>
        </w:tc>
        <w:tc>
          <w:tcPr>
            <w:tcW w:type="dxa" w:w="2016"/>
            <w:shd w:val="clear" w:color="auto" w:fill="FFFFFF"/>
          </w:tcPr>
          <w:p>
            <w:pPr>
              <w:spacing w:before="40" w:after="40"/>
            </w:pPr>
            <w:r>
              <w:rPr>
                <w:rFonts w:ascii="Calibri" w:hAnsi="Calibri"/>
                <w:sz w:val="20"/>
              </w:rPr>
              <w:t>+2.16%</w:t>
            </w:r>
          </w:p>
        </w:tc>
      </w:tr>
    </w:tbl>
    <w:p/>
    <w:p>
      <w:pPr>
        <w:spacing w:before="200" w:after="60"/>
      </w:pPr>
      <w:r>
        <w:rPr>
          <w:rFonts w:ascii="Calibri" w:hAnsi="Calibri"/>
          <w:b/>
          <w:color w:val="2E75B6"/>
          <w:sz w:val="22"/>
        </w:rPr>
        <w:t>S3-1.3  Daily EV at 30 Trades (Early Phase)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168"/>
            <w:shd w:val="clear" w:color="auto" w:fill="2E75B6"/>
          </w:tcPr>
          <w:p>
            <w:pPr>
              <w:spacing w:before="40" w:after="40"/>
            </w:pPr>
            <w:r>
              <w:rPr>
                <w:rFonts w:ascii="Calibri" w:hAnsi="Calibri"/>
                <w:b/>
                <w:color w:val="FFFFFF"/>
                <w:sz w:val="20"/>
              </w:rPr>
              <w:t>Scenario</w:t>
            </w:r>
          </w:p>
        </w:tc>
        <w:tc>
          <w:tcPr>
            <w:tcW w:type="dxa" w:w="1728"/>
            <w:shd w:val="clear" w:color="auto" w:fill="2E75B6"/>
          </w:tcPr>
          <w:p>
            <w:pPr>
              <w:spacing w:before="40" w:after="40"/>
            </w:pPr>
            <w:r>
              <w:rPr>
                <w:rFonts w:ascii="Calibri" w:hAnsi="Calibri"/>
                <w:b/>
                <w:color w:val="FFFFFF"/>
                <w:sz w:val="20"/>
              </w:rPr>
              <w:t>EV/Trade</w:t>
            </w:r>
          </w:p>
        </w:tc>
        <w:tc>
          <w:tcPr>
            <w:tcW w:type="dxa" w:w="1584"/>
            <w:shd w:val="clear" w:color="auto" w:fill="2E75B6"/>
          </w:tcPr>
          <w:p>
            <w:pPr>
              <w:spacing w:before="40" w:after="40"/>
            </w:pPr>
            <w:r>
              <w:rPr>
                <w:rFonts w:ascii="Calibri" w:hAnsi="Calibri"/>
                <w:b/>
                <w:color w:val="FFFFFF"/>
                <w:sz w:val="20"/>
              </w:rPr>
              <w:t>× 30 trades</w:t>
            </w:r>
          </w:p>
        </w:tc>
        <w:tc>
          <w:tcPr>
            <w:tcW w:type="dxa" w:w="1872"/>
            <w:shd w:val="clear" w:color="auto" w:fill="2E75B6"/>
          </w:tcPr>
          <w:p>
            <w:pPr>
              <w:spacing w:before="40" w:after="40"/>
            </w:pPr>
            <w:r>
              <w:rPr>
                <w:rFonts w:ascii="Calibri" w:hAnsi="Calibri"/>
                <w:b/>
                <w:color w:val="FFFFFF"/>
                <w:sz w:val="20"/>
              </w:rPr>
              <w:t>Daily Net</w:t>
            </w:r>
          </w:p>
        </w:tc>
        <w:tc>
          <w:tcPr>
            <w:tcW w:type="dxa" w:w="2016"/>
            <w:shd w:val="clear" w:color="auto" w:fill="2E75B6"/>
          </w:tcPr>
          <w:p>
            <w:pPr>
              <w:spacing w:before="40" w:after="40"/>
            </w:pPr>
            <w:r>
              <w:rPr>
                <w:rFonts w:ascii="Calibri" w:hAnsi="Calibri"/>
                <w:b/>
                <w:color w:val="FFFFFF"/>
                <w:sz w:val="20"/>
              </w:rPr>
              <w:t>Day-1 Equity</w:t>
            </w:r>
          </w:p>
        </w:tc>
      </w:tr>
      <w:tr>
        <w:tc>
          <w:tcPr>
            <w:tcW w:type="dxa" w:w="3168"/>
            <w:shd w:val="clear" w:color="auto" w:fill="F2F2F2"/>
          </w:tcPr>
          <w:p>
            <w:pPr>
              <w:spacing w:before="40" w:after="40"/>
            </w:pPr>
            <w:r>
              <w:rPr>
                <w:rFonts w:ascii="Calibri" w:hAnsi="Calibri"/>
                <w:sz w:val="20"/>
              </w:rPr>
              <w:t>1:2 R:R, 50% WR</w:t>
            </w:r>
          </w:p>
        </w:tc>
        <w:tc>
          <w:tcPr>
            <w:tcW w:type="dxa" w:w="1728"/>
            <w:shd w:val="clear" w:color="auto" w:fill="F2F2F2"/>
          </w:tcPr>
          <w:p>
            <w:pPr>
              <w:spacing w:before="40" w:after="40"/>
            </w:pPr>
            <w:r>
              <w:rPr>
                <w:rFonts w:ascii="Calibri" w:hAnsi="Calibri"/>
                <w:sz w:val="20"/>
              </w:rPr>
              <w:t>+$2.00</w:t>
            </w:r>
          </w:p>
        </w:tc>
        <w:tc>
          <w:tcPr>
            <w:tcW w:type="dxa" w:w="1584"/>
            <w:shd w:val="clear" w:color="auto" w:fill="F2F2F2"/>
          </w:tcPr>
          <w:p>
            <w:pPr>
              <w:spacing w:before="40" w:after="40"/>
            </w:pPr>
            <w:r>
              <w:rPr>
                <w:rFonts w:ascii="Calibri" w:hAnsi="Calibri"/>
                <w:sz w:val="20"/>
              </w:rPr>
              <w:t>30</w:t>
            </w:r>
          </w:p>
        </w:tc>
        <w:tc>
          <w:tcPr>
            <w:tcW w:type="dxa" w:w="1872"/>
            <w:shd w:val="clear" w:color="auto" w:fill="F2F2F2"/>
          </w:tcPr>
          <w:p>
            <w:pPr>
              <w:spacing w:before="40" w:after="40"/>
            </w:pPr>
            <w:r>
              <w:rPr>
                <w:rFonts w:ascii="Calibri" w:hAnsi="Calibri"/>
                <w:sz w:val="20"/>
              </w:rPr>
              <w:t>+$60.00</w:t>
            </w:r>
          </w:p>
        </w:tc>
        <w:tc>
          <w:tcPr>
            <w:tcW w:type="dxa" w:w="2016"/>
            <w:shd w:val="clear" w:color="auto" w:fill="F2F2F2"/>
          </w:tcPr>
          <w:p>
            <w:pPr>
              <w:spacing w:before="40" w:after="40"/>
            </w:pPr>
            <w:r>
              <w:rPr>
                <w:rFonts w:ascii="Calibri" w:hAnsi="Calibri"/>
                <w:sz w:val="20"/>
              </w:rPr>
              <w:t>$260</w:t>
            </w:r>
          </w:p>
        </w:tc>
      </w:tr>
      <w:tr>
        <w:tc>
          <w:tcPr>
            <w:tcW w:type="dxa" w:w="3168"/>
            <w:shd w:val="clear" w:color="auto" w:fill="FFFFFF"/>
          </w:tcPr>
          <w:p>
            <w:pPr>
              <w:spacing w:before="40" w:after="40"/>
            </w:pPr>
            <w:r>
              <w:rPr>
                <w:rFonts w:ascii="Calibri" w:hAnsi="Calibri"/>
                <w:sz w:val="20"/>
              </w:rPr>
              <w:t>1:2 R:R, 52% WR</w:t>
            </w:r>
          </w:p>
        </w:tc>
        <w:tc>
          <w:tcPr>
            <w:tcW w:type="dxa" w:w="1728"/>
            <w:shd w:val="clear" w:color="auto" w:fill="FFFFFF"/>
          </w:tcPr>
          <w:p>
            <w:pPr>
              <w:spacing w:before="40" w:after="40"/>
            </w:pPr>
            <w:r>
              <w:rPr>
                <w:rFonts w:ascii="Calibri" w:hAnsi="Calibri"/>
                <w:sz w:val="20"/>
              </w:rPr>
              <w:t>+$2.24</w:t>
            </w:r>
          </w:p>
        </w:tc>
        <w:tc>
          <w:tcPr>
            <w:tcW w:type="dxa" w:w="1584"/>
            <w:shd w:val="clear" w:color="auto" w:fill="FFFFFF"/>
          </w:tcPr>
          <w:p>
            <w:pPr>
              <w:spacing w:before="40" w:after="40"/>
            </w:pPr>
            <w:r>
              <w:rPr>
                <w:rFonts w:ascii="Calibri" w:hAnsi="Calibri"/>
                <w:sz w:val="20"/>
              </w:rPr>
              <w:t>30</w:t>
            </w:r>
          </w:p>
        </w:tc>
        <w:tc>
          <w:tcPr>
            <w:tcW w:type="dxa" w:w="1872"/>
            <w:shd w:val="clear" w:color="auto" w:fill="FFFFFF"/>
          </w:tcPr>
          <w:p>
            <w:pPr>
              <w:spacing w:before="40" w:after="40"/>
            </w:pPr>
            <w:r>
              <w:rPr>
                <w:rFonts w:ascii="Calibri" w:hAnsi="Calibri"/>
                <w:sz w:val="20"/>
              </w:rPr>
              <w:t>+$67.20</w:t>
            </w:r>
          </w:p>
        </w:tc>
        <w:tc>
          <w:tcPr>
            <w:tcW w:type="dxa" w:w="2016"/>
            <w:shd w:val="clear" w:color="auto" w:fill="FFFFFF"/>
          </w:tcPr>
          <w:p>
            <w:pPr>
              <w:spacing w:before="40" w:after="40"/>
            </w:pPr>
            <w:r>
              <w:rPr>
                <w:rFonts w:ascii="Calibri" w:hAnsi="Calibri"/>
                <w:sz w:val="20"/>
              </w:rPr>
              <w:t>$267</w:t>
            </w:r>
          </w:p>
        </w:tc>
      </w:tr>
      <w:tr>
        <w:tc>
          <w:tcPr>
            <w:tcW w:type="dxa" w:w="3168"/>
            <w:shd w:val="clear" w:color="auto" w:fill="F2F2F2"/>
          </w:tcPr>
          <w:p>
            <w:pPr>
              <w:spacing w:before="40" w:after="40"/>
            </w:pPr>
            <w:r>
              <w:rPr>
                <w:rFonts w:ascii="Calibri" w:hAnsi="Calibri"/>
                <w:sz w:val="20"/>
              </w:rPr>
              <w:t>1:3 R:R, 50% WR</w:t>
            </w:r>
          </w:p>
        </w:tc>
        <w:tc>
          <w:tcPr>
            <w:tcW w:type="dxa" w:w="1728"/>
            <w:shd w:val="clear" w:color="auto" w:fill="F2F2F2"/>
          </w:tcPr>
          <w:p>
            <w:pPr>
              <w:spacing w:before="40" w:after="40"/>
            </w:pPr>
            <w:r>
              <w:rPr>
                <w:rFonts w:ascii="Calibri" w:hAnsi="Calibri"/>
                <w:sz w:val="20"/>
              </w:rPr>
              <w:t>+$4.00</w:t>
            </w:r>
          </w:p>
        </w:tc>
        <w:tc>
          <w:tcPr>
            <w:tcW w:type="dxa" w:w="1584"/>
            <w:shd w:val="clear" w:color="auto" w:fill="F2F2F2"/>
          </w:tcPr>
          <w:p>
            <w:pPr>
              <w:spacing w:before="40" w:after="40"/>
            </w:pPr>
            <w:r>
              <w:rPr>
                <w:rFonts w:ascii="Calibri" w:hAnsi="Calibri"/>
                <w:sz w:val="20"/>
              </w:rPr>
              <w:t>30</w:t>
            </w:r>
          </w:p>
        </w:tc>
        <w:tc>
          <w:tcPr>
            <w:tcW w:type="dxa" w:w="1872"/>
            <w:shd w:val="clear" w:color="auto" w:fill="F2F2F2"/>
          </w:tcPr>
          <w:p>
            <w:pPr>
              <w:spacing w:before="40" w:after="40"/>
            </w:pPr>
            <w:r>
              <w:rPr>
                <w:rFonts w:ascii="Calibri" w:hAnsi="Calibri"/>
                <w:sz w:val="20"/>
              </w:rPr>
              <w:t>+$120.00</w:t>
            </w:r>
          </w:p>
        </w:tc>
        <w:tc>
          <w:tcPr>
            <w:tcW w:type="dxa" w:w="2016"/>
            <w:shd w:val="clear" w:color="auto" w:fill="F2F2F2"/>
          </w:tcPr>
          <w:p>
            <w:pPr>
              <w:spacing w:before="40" w:after="40"/>
            </w:pPr>
            <w:r>
              <w:rPr>
                <w:rFonts w:ascii="Calibri" w:hAnsi="Calibri"/>
                <w:sz w:val="20"/>
              </w:rPr>
              <w:t>$320</w:t>
            </w:r>
          </w:p>
        </w:tc>
      </w:tr>
      <w:tr>
        <w:tc>
          <w:tcPr>
            <w:tcW w:type="dxa" w:w="3168"/>
            <w:shd w:val="clear" w:color="auto" w:fill="FFFFFF"/>
          </w:tcPr>
          <w:p>
            <w:pPr>
              <w:spacing w:before="40" w:after="40"/>
            </w:pPr>
            <w:r>
              <w:rPr>
                <w:rFonts w:ascii="Calibri" w:hAnsi="Calibri"/>
                <w:sz w:val="20"/>
              </w:rPr>
              <w:t>1:3 R:R, 52% WR</w:t>
            </w:r>
          </w:p>
        </w:tc>
        <w:tc>
          <w:tcPr>
            <w:tcW w:type="dxa" w:w="1728"/>
            <w:shd w:val="clear" w:color="auto" w:fill="FFFFFF"/>
          </w:tcPr>
          <w:p>
            <w:pPr>
              <w:spacing w:before="40" w:after="40"/>
            </w:pPr>
            <w:r>
              <w:rPr>
                <w:rFonts w:ascii="Calibri" w:hAnsi="Calibri"/>
                <w:sz w:val="20"/>
              </w:rPr>
              <w:t>+$4.32</w:t>
            </w:r>
          </w:p>
        </w:tc>
        <w:tc>
          <w:tcPr>
            <w:tcW w:type="dxa" w:w="1584"/>
            <w:shd w:val="clear" w:color="auto" w:fill="FFFFFF"/>
          </w:tcPr>
          <w:p>
            <w:pPr>
              <w:spacing w:before="40" w:after="40"/>
            </w:pPr>
            <w:r>
              <w:rPr>
                <w:rFonts w:ascii="Calibri" w:hAnsi="Calibri"/>
                <w:sz w:val="20"/>
              </w:rPr>
              <w:t>30</w:t>
            </w:r>
          </w:p>
        </w:tc>
        <w:tc>
          <w:tcPr>
            <w:tcW w:type="dxa" w:w="1872"/>
            <w:shd w:val="clear" w:color="auto" w:fill="FFFFFF"/>
          </w:tcPr>
          <w:p>
            <w:pPr>
              <w:spacing w:before="40" w:after="40"/>
            </w:pPr>
            <w:r>
              <w:rPr>
                <w:rFonts w:ascii="Calibri" w:hAnsi="Calibri"/>
                <w:sz w:val="20"/>
              </w:rPr>
              <w:t>+$129.60</w:t>
            </w:r>
          </w:p>
        </w:tc>
        <w:tc>
          <w:tcPr>
            <w:tcW w:type="dxa" w:w="2016"/>
            <w:shd w:val="clear" w:color="auto" w:fill="FFFFFF"/>
          </w:tcPr>
          <w:p>
            <w:pPr>
              <w:spacing w:before="40" w:after="40"/>
            </w:pPr>
            <w:r>
              <w:rPr>
                <w:rFonts w:ascii="Calibri" w:hAnsi="Calibri"/>
                <w:sz w:val="20"/>
              </w:rPr>
              <w:t>$330</w:t>
            </w:r>
          </w:p>
        </w:tc>
      </w:tr>
    </w:tbl>
    <w:p/>
    <w:p>
      <w:pPr>
        <w:spacing w:before="200" w:after="60"/>
      </w:pPr>
      <w:r>
        <w:rPr>
          <w:rFonts w:ascii="Calibri" w:hAnsi="Calibri"/>
          <w:b/>
          <w:color w:val="2E75B6"/>
          <w:sz w:val="22"/>
        </w:rPr>
        <w:t>S3-1.4  Daily EV at 80 Trades (Full Phase, Multiple Bots)</w:t>
      </w:r>
    </w:p>
    <w:p>
      <w:pPr>
        <w:spacing w:before="40" w:after="80"/>
      </w:pPr>
      <w:r>
        <w:rPr>
          <w:rFonts w:ascii="Calibri" w:hAnsi="Calibri"/>
          <w:sz w:val="21"/>
        </w:rPr>
        <w:t>At full operational scale, the concurrent exposure cap (5% max = 5 bots at 2% each) limits simultaneous open trades to 5. However, since scalping trades close in under 20 minutes on average, the system cycles through multiple rounds of 5-concurrent bots per session. Using Little's Law (L = lambda × W): with L=5 slots and W=15 min avg hold time, throughput = 1 trade per 3 minutes = 20 trades/hour. A 4-hour active window = 80 trades/day without violating the 5% concurrent cap.</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168"/>
            <w:shd w:val="clear" w:color="auto" w:fill="2E75B6"/>
          </w:tcPr>
          <w:p>
            <w:pPr>
              <w:spacing w:before="40" w:after="40"/>
            </w:pPr>
            <w:r>
              <w:rPr>
                <w:rFonts w:ascii="Calibri" w:hAnsi="Calibri"/>
                <w:b/>
                <w:color w:val="FFFFFF"/>
                <w:sz w:val="20"/>
              </w:rPr>
              <w:t>Scenario</w:t>
            </w:r>
          </w:p>
        </w:tc>
        <w:tc>
          <w:tcPr>
            <w:tcW w:type="dxa" w:w="1728"/>
            <w:shd w:val="clear" w:color="auto" w:fill="2E75B6"/>
          </w:tcPr>
          <w:p>
            <w:pPr>
              <w:spacing w:before="40" w:after="40"/>
            </w:pPr>
            <w:r>
              <w:rPr>
                <w:rFonts w:ascii="Calibri" w:hAnsi="Calibri"/>
                <w:b/>
                <w:color w:val="FFFFFF"/>
                <w:sz w:val="20"/>
              </w:rPr>
              <w:t>EV/Trade</w:t>
            </w:r>
          </w:p>
        </w:tc>
        <w:tc>
          <w:tcPr>
            <w:tcW w:type="dxa" w:w="1728"/>
            <w:shd w:val="clear" w:color="auto" w:fill="2E75B6"/>
          </w:tcPr>
          <w:p>
            <w:pPr>
              <w:spacing w:before="40" w:after="40"/>
            </w:pPr>
            <w:r>
              <w:rPr>
                <w:rFonts w:ascii="Calibri" w:hAnsi="Calibri"/>
                <w:b/>
                <w:color w:val="FFFFFF"/>
                <w:sz w:val="20"/>
              </w:rPr>
              <w:t>× 80 trades</w:t>
            </w:r>
          </w:p>
        </w:tc>
        <w:tc>
          <w:tcPr>
            <w:tcW w:type="dxa" w:w="2016"/>
            <w:shd w:val="clear" w:color="auto" w:fill="2E75B6"/>
          </w:tcPr>
          <w:p>
            <w:pPr>
              <w:spacing w:before="40" w:after="40"/>
            </w:pPr>
            <w:r>
              <w:rPr>
                <w:rFonts w:ascii="Calibri" w:hAnsi="Calibri"/>
                <w:b/>
                <w:color w:val="FFFFFF"/>
                <w:sz w:val="20"/>
              </w:rPr>
              <w:t>Daily Net</w:t>
            </w:r>
          </w:p>
        </w:tc>
        <w:tc>
          <w:tcPr>
            <w:tcW w:type="dxa" w:w="2160"/>
            <w:shd w:val="clear" w:color="auto" w:fill="2E75B6"/>
          </w:tcPr>
          <w:p>
            <w:pPr>
              <w:spacing w:before="40" w:after="40"/>
            </w:pPr>
            <w:r>
              <w:rPr>
                <w:rFonts w:ascii="Calibri" w:hAnsi="Calibri"/>
                <w:b/>
                <w:color w:val="FFFFFF"/>
                <w:sz w:val="20"/>
              </w:rPr>
              <w:t>Daily Return %</w:t>
            </w:r>
          </w:p>
        </w:tc>
      </w:tr>
      <w:tr>
        <w:tc>
          <w:tcPr>
            <w:tcW w:type="dxa" w:w="3168"/>
            <w:shd w:val="clear" w:color="auto" w:fill="F2F2F2"/>
          </w:tcPr>
          <w:p>
            <w:pPr>
              <w:spacing w:before="40" w:after="40"/>
            </w:pPr>
            <w:r>
              <w:rPr>
                <w:rFonts w:ascii="Calibri" w:hAnsi="Calibri"/>
                <w:sz w:val="20"/>
              </w:rPr>
              <w:t>1:2 R:R, 52% WR</w:t>
            </w:r>
          </w:p>
        </w:tc>
        <w:tc>
          <w:tcPr>
            <w:tcW w:type="dxa" w:w="1728"/>
            <w:shd w:val="clear" w:color="auto" w:fill="F2F2F2"/>
          </w:tcPr>
          <w:p>
            <w:pPr>
              <w:spacing w:before="40" w:after="40"/>
            </w:pPr>
            <w:r>
              <w:rPr>
                <w:rFonts w:ascii="Calibri" w:hAnsi="Calibri"/>
                <w:sz w:val="20"/>
              </w:rPr>
              <w:t>+$2.24</w:t>
            </w:r>
          </w:p>
        </w:tc>
        <w:tc>
          <w:tcPr>
            <w:tcW w:type="dxa" w:w="1728"/>
            <w:shd w:val="clear" w:color="auto" w:fill="F2F2F2"/>
          </w:tcPr>
          <w:p>
            <w:pPr>
              <w:spacing w:before="40" w:after="40"/>
            </w:pPr>
            <w:r>
              <w:rPr>
                <w:rFonts w:ascii="Calibri" w:hAnsi="Calibri"/>
                <w:sz w:val="20"/>
              </w:rPr>
              <w:t>80</w:t>
            </w:r>
          </w:p>
        </w:tc>
        <w:tc>
          <w:tcPr>
            <w:tcW w:type="dxa" w:w="2016"/>
            <w:shd w:val="clear" w:color="auto" w:fill="F2F2F2"/>
          </w:tcPr>
          <w:p>
            <w:pPr>
              <w:spacing w:before="40" w:after="40"/>
            </w:pPr>
            <w:r>
              <w:rPr>
                <w:rFonts w:ascii="Calibri" w:hAnsi="Calibri"/>
                <w:sz w:val="20"/>
              </w:rPr>
              <w:t>+$179.20</w:t>
            </w:r>
          </w:p>
        </w:tc>
        <w:tc>
          <w:tcPr>
            <w:tcW w:type="dxa" w:w="2160"/>
            <w:shd w:val="clear" w:color="auto" w:fill="F2F2F2"/>
          </w:tcPr>
          <w:p>
            <w:pPr>
              <w:spacing w:before="40" w:after="40"/>
            </w:pPr>
            <w:r>
              <w:rPr>
                <w:rFonts w:ascii="Calibri" w:hAnsi="Calibri"/>
                <w:sz w:val="20"/>
              </w:rPr>
              <w:t>+89.6%</w:t>
            </w:r>
          </w:p>
        </w:tc>
      </w:tr>
      <w:tr>
        <w:tc>
          <w:tcPr>
            <w:tcW w:type="dxa" w:w="3168"/>
            <w:shd w:val="clear" w:color="auto" w:fill="FFFFFF"/>
          </w:tcPr>
          <w:p>
            <w:pPr>
              <w:spacing w:before="40" w:after="40"/>
            </w:pPr>
            <w:r>
              <w:rPr>
                <w:rFonts w:ascii="Calibri" w:hAnsi="Calibri"/>
                <w:sz w:val="20"/>
              </w:rPr>
              <w:t>1:3 R:R, 52% WR</w:t>
            </w:r>
          </w:p>
        </w:tc>
        <w:tc>
          <w:tcPr>
            <w:tcW w:type="dxa" w:w="1728"/>
            <w:shd w:val="clear" w:color="auto" w:fill="FFFFFF"/>
          </w:tcPr>
          <w:p>
            <w:pPr>
              <w:spacing w:before="40" w:after="40"/>
            </w:pPr>
            <w:r>
              <w:rPr>
                <w:rFonts w:ascii="Calibri" w:hAnsi="Calibri"/>
                <w:sz w:val="20"/>
              </w:rPr>
              <w:t>+$4.32</w:t>
            </w:r>
          </w:p>
        </w:tc>
        <w:tc>
          <w:tcPr>
            <w:tcW w:type="dxa" w:w="1728"/>
            <w:shd w:val="clear" w:color="auto" w:fill="FFFFFF"/>
          </w:tcPr>
          <w:p>
            <w:pPr>
              <w:spacing w:before="40" w:after="40"/>
            </w:pPr>
            <w:r>
              <w:rPr>
                <w:rFonts w:ascii="Calibri" w:hAnsi="Calibri"/>
                <w:sz w:val="20"/>
              </w:rPr>
              <w:t>80</w:t>
            </w:r>
          </w:p>
        </w:tc>
        <w:tc>
          <w:tcPr>
            <w:tcW w:type="dxa" w:w="2016"/>
            <w:shd w:val="clear" w:color="auto" w:fill="FFFFFF"/>
          </w:tcPr>
          <w:p>
            <w:pPr>
              <w:spacing w:before="40" w:after="40"/>
            </w:pPr>
            <w:r>
              <w:rPr>
                <w:rFonts w:ascii="Calibri" w:hAnsi="Calibri"/>
                <w:sz w:val="20"/>
              </w:rPr>
              <w:t>+$345.60</w:t>
            </w:r>
          </w:p>
        </w:tc>
        <w:tc>
          <w:tcPr>
            <w:tcW w:type="dxa" w:w="2160"/>
            <w:shd w:val="clear" w:color="auto" w:fill="FFFFFF"/>
          </w:tcPr>
          <w:p>
            <w:pPr>
              <w:spacing w:before="40" w:after="40"/>
            </w:pPr>
            <w:r>
              <w:rPr>
                <w:rFonts w:ascii="Calibri" w:hAnsi="Calibri"/>
                <w:sz w:val="20"/>
              </w:rPr>
              <w:t>+172.8%</w:t>
            </w:r>
          </w:p>
        </w:tc>
      </w:tr>
    </w:tbl>
    <w:p/>
    <w:p>
      <w:pPr>
        <w:spacing w:before="120" w:after="120"/>
        <w:ind w:left="360"/>
        <w:shd w:val="clear" w:color="auto" w:fill="FFF2CC"/>
      </w:pPr>
      <w:r>
        <w:rPr>
          <w:rFonts w:ascii="Calibri" w:hAnsi="Calibri"/>
          <w:b/>
          <w:color w:val="C55A11"/>
          <w:sz w:val="21"/>
        </w:rPr>
        <w:t xml:space="preserve">NOTE: </w:t>
      </w:r>
      <w:r>
        <w:rPr>
          <w:rFonts w:ascii="Calibri" w:hAnsi="Calibri"/>
          <w:sz w:val="21"/>
        </w:rPr>
        <w:t>These are theoretical expected values assuming consistent 52% WR and 80 trades firing every day. In practice, regime filters, SQS gates, and session masks will reduce active trade count on low-quality days. These numbers represent the system ceiling, not the daily guarantee. The concurrent exposure cap (5% portfolio max) is a hard limit that does not change regardless of trade count. Risk is controlled. Throughput is high because trades are short.</w:t>
      </w:r>
    </w:p>
    <w:p>
      <w:pPr>
        <w:spacing w:before="200" w:after="60"/>
      </w:pPr>
      <w:r>
        <w:rPr>
          <w:rFonts w:ascii="Calibri" w:hAnsi="Calibri"/>
          <w:b/>
          <w:color w:val="2E75B6"/>
          <w:sz w:val="22"/>
        </w:rPr>
        <w:t>S3-1.5  Compound Growth Projections (1:2 R:R, 52% WR, 80 trades/day)</w:t>
      </w:r>
    </w:p>
    <w:p>
      <w:pPr>
        <w:spacing w:before="40" w:after="80"/>
      </w:pPr>
      <w:r>
        <w:rPr>
          <w:rFonts w:ascii="Calibri" w:hAnsi="Calibri"/>
          <w:sz w:val="21"/>
        </w:rPr>
        <w:t>Because risk is always 2% of CURRENT equity, dollar gains grow as equity grows. The daily return % stays constant; the absolute dollar amount compounds.</w:t>
      </w:r>
    </w:p>
    <w:tbl>
      <w:tblPr>
        <w:tblStyle w:val="TableGrid"/>
        <w:tblW w:type="auto" w:w="0"/>
        <w:tblLook w:firstColumn="1" w:firstRow="1" w:lastColumn="0" w:lastRow="0" w:noHBand="0" w:noVBand="1" w:val="04A0"/>
      </w:tblPr>
      <w:tblGrid>
        <w:gridCol w:w="2268"/>
        <w:gridCol w:w="2268"/>
        <w:gridCol w:w="2268"/>
        <w:gridCol w:w="2268"/>
      </w:tblGrid>
      <w:tr>
        <w:tc>
          <w:tcPr>
            <w:tcW w:type="dxa" w:w="864"/>
            <w:shd w:val="clear" w:color="auto" w:fill="2E75B6"/>
          </w:tcPr>
          <w:p>
            <w:pPr>
              <w:spacing w:before="40" w:after="40"/>
            </w:pPr>
            <w:r>
              <w:rPr>
                <w:rFonts w:ascii="Calibri" w:hAnsi="Calibri"/>
                <w:b/>
                <w:color w:val="FFFFFF"/>
                <w:sz w:val="20"/>
              </w:rPr>
              <w:t>Day</w:t>
            </w:r>
          </w:p>
        </w:tc>
        <w:tc>
          <w:tcPr>
            <w:tcW w:type="dxa" w:w="2160"/>
            <w:shd w:val="clear" w:color="auto" w:fill="2E75B6"/>
          </w:tcPr>
          <w:p>
            <w:pPr>
              <w:spacing w:before="40" w:after="40"/>
            </w:pPr>
            <w:r>
              <w:rPr>
                <w:rFonts w:ascii="Calibri" w:hAnsi="Calibri"/>
                <w:b/>
                <w:color w:val="FFFFFF"/>
                <w:sz w:val="20"/>
              </w:rPr>
              <w:t>Equity</w:t>
            </w:r>
          </w:p>
        </w:tc>
        <w:tc>
          <w:tcPr>
            <w:tcW w:type="dxa" w:w="2880"/>
            <w:shd w:val="clear" w:color="auto" w:fill="2E75B6"/>
          </w:tcPr>
          <w:p>
            <w:pPr>
              <w:spacing w:before="40" w:after="40"/>
            </w:pPr>
            <w:r>
              <w:rPr>
                <w:rFonts w:ascii="Calibri" w:hAnsi="Calibri"/>
                <w:b/>
                <w:color w:val="FFFFFF"/>
                <w:sz w:val="20"/>
              </w:rPr>
              <w:t>Daily $ Gain (approx)</w:t>
            </w:r>
          </w:p>
        </w:tc>
        <w:tc>
          <w:tcPr>
            <w:tcW w:type="dxa" w:w="3600"/>
            <w:shd w:val="clear" w:color="auto" w:fill="2E75B6"/>
          </w:tcPr>
          <w:p>
            <w:pPr>
              <w:spacing w:before="40" w:after="40"/>
            </w:pPr>
            <w:r>
              <w:rPr>
                <w:rFonts w:ascii="Calibri" w:hAnsi="Calibri"/>
                <w:b/>
                <w:color w:val="FFFFFF"/>
                <w:sz w:val="20"/>
              </w:rPr>
              <w:t>Notes</w:t>
            </w:r>
          </w:p>
        </w:tc>
      </w:tr>
      <w:tr>
        <w:tc>
          <w:tcPr>
            <w:tcW w:type="dxa" w:w="864"/>
            <w:shd w:val="clear" w:color="auto" w:fill="F2F2F2"/>
          </w:tcPr>
          <w:p>
            <w:pPr>
              <w:spacing w:before="40" w:after="40"/>
            </w:pPr>
            <w:r>
              <w:rPr>
                <w:rFonts w:ascii="Calibri" w:hAnsi="Calibri"/>
                <w:sz w:val="20"/>
              </w:rPr>
              <w:t>1</w:t>
            </w:r>
          </w:p>
        </w:tc>
        <w:tc>
          <w:tcPr>
            <w:tcW w:type="dxa" w:w="2160"/>
            <w:shd w:val="clear" w:color="auto" w:fill="F2F2F2"/>
          </w:tcPr>
          <w:p>
            <w:pPr>
              <w:spacing w:before="40" w:after="40"/>
            </w:pPr>
            <w:r>
              <w:rPr>
                <w:rFonts w:ascii="Calibri" w:hAnsi="Calibri"/>
                <w:sz w:val="20"/>
              </w:rPr>
              <w:t>$379</w:t>
            </w:r>
          </w:p>
        </w:tc>
        <w:tc>
          <w:tcPr>
            <w:tcW w:type="dxa" w:w="2880"/>
            <w:shd w:val="clear" w:color="auto" w:fill="F2F2F2"/>
          </w:tcPr>
          <w:p>
            <w:pPr>
              <w:spacing w:before="40" w:after="40"/>
            </w:pPr>
            <w:r>
              <w:rPr>
                <w:rFonts w:ascii="Calibri" w:hAnsi="Calibri"/>
                <w:sz w:val="20"/>
              </w:rPr>
              <w:t>$179</w:t>
            </w:r>
          </w:p>
        </w:tc>
        <w:tc>
          <w:tcPr>
            <w:tcW w:type="dxa" w:w="3600"/>
            <w:shd w:val="clear" w:color="auto" w:fill="F2F2F2"/>
          </w:tcPr>
          <w:p>
            <w:pPr>
              <w:spacing w:before="40" w:after="40"/>
            </w:pPr>
            <w:r>
              <w:rPr>
                <w:rFonts w:ascii="Calibri" w:hAnsi="Calibri"/>
                <w:sz w:val="20"/>
              </w:rPr>
              <w:t>Day 1 at 80-trade full deployment</w:t>
            </w:r>
          </w:p>
        </w:tc>
      </w:tr>
      <w:tr>
        <w:tc>
          <w:tcPr>
            <w:tcW w:type="dxa" w:w="864"/>
            <w:shd w:val="clear" w:color="auto" w:fill="FFFFFF"/>
          </w:tcPr>
          <w:p>
            <w:pPr>
              <w:spacing w:before="40" w:after="40"/>
            </w:pPr>
            <w:r>
              <w:rPr>
                <w:rFonts w:ascii="Calibri" w:hAnsi="Calibri"/>
                <w:sz w:val="20"/>
              </w:rPr>
              <w:t>5</w:t>
            </w:r>
          </w:p>
        </w:tc>
        <w:tc>
          <w:tcPr>
            <w:tcW w:type="dxa" w:w="2160"/>
            <w:shd w:val="clear" w:color="auto" w:fill="FFFFFF"/>
          </w:tcPr>
          <w:p>
            <w:pPr>
              <w:spacing w:before="40" w:after="40"/>
            </w:pPr>
            <w:r>
              <w:rPr>
                <w:rFonts w:ascii="Calibri" w:hAnsi="Calibri"/>
                <w:sz w:val="20"/>
              </w:rPr>
              <w:t>$2,700</w:t>
            </w:r>
          </w:p>
        </w:tc>
        <w:tc>
          <w:tcPr>
            <w:tcW w:type="dxa" w:w="2880"/>
            <w:shd w:val="clear" w:color="auto" w:fill="FFFFFF"/>
          </w:tcPr>
          <w:p>
            <w:pPr>
              <w:spacing w:before="40" w:after="40"/>
            </w:pPr>
            <w:r>
              <w:rPr>
                <w:rFonts w:ascii="Calibri" w:hAnsi="Calibri"/>
                <w:sz w:val="20"/>
              </w:rPr>
              <w:t>$1,279</w:t>
            </w:r>
          </w:p>
        </w:tc>
        <w:tc>
          <w:tcPr>
            <w:tcW w:type="dxa" w:w="3600"/>
            <w:shd w:val="clear" w:color="auto" w:fill="FFFFFF"/>
          </w:tcPr>
          <w:p>
            <w:pPr>
              <w:spacing w:before="40" w:after="40"/>
            </w:pPr>
            <w:r>
              <w:rPr>
                <w:rFonts w:ascii="Calibri" w:hAnsi="Calibri"/>
                <w:sz w:val="20"/>
              </w:rPr>
              <w:t>After 5 trading days</w:t>
            </w:r>
          </w:p>
        </w:tc>
      </w:tr>
      <w:tr>
        <w:tc>
          <w:tcPr>
            <w:tcW w:type="dxa" w:w="864"/>
            <w:shd w:val="clear" w:color="auto" w:fill="F2F2F2"/>
          </w:tcPr>
          <w:p>
            <w:pPr>
              <w:spacing w:before="40" w:after="40"/>
            </w:pPr>
            <w:r>
              <w:rPr>
                <w:rFonts w:ascii="Calibri" w:hAnsi="Calibri"/>
                <w:sz w:val="20"/>
              </w:rPr>
              <w:t>10</w:t>
            </w:r>
          </w:p>
        </w:tc>
        <w:tc>
          <w:tcPr>
            <w:tcW w:type="dxa" w:w="2160"/>
            <w:shd w:val="clear" w:color="auto" w:fill="F2F2F2"/>
          </w:tcPr>
          <w:p>
            <w:pPr>
              <w:spacing w:before="40" w:after="40"/>
            </w:pPr>
            <w:r>
              <w:rPr>
                <w:rFonts w:ascii="Calibri" w:hAnsi="Calibri"/>
                <w:sz w:val="20"/>
              </w:rPr>
              <w:t>$19,300</w:t>
            </w:r>
          </w:p>
        </w:tc>
        <w:tc>
          <w:tcPr>
            <w:tcW w:type="dxa" w:w="2880"/>
            <w:shd w:val="clear" w:color="auto" w:fill="F2F2F2"/>
          </w:tcPr>
          <w:p>
            <w:pPr>
              <w:spacing w:before="40" w:after="40"/>
            </w:pPr>
            <w:r>
              <w:rPr>
                <w:rFonts w:ascii="Calibri" w:hAnsi="Calibri"/>
                <w:sz w:val="20"/>
              </w:rPr>
              <w:t>$9,100</w:t>
            </w:r>
          </w:p>
        </w:tc>
        <w:tc>
          <w:tcPr>
            <w:tcW w:type="dxa" w:w="3600"/>
            <w:shd w:val="clear" w:color="auto" w:fill="F2F2F2"/>
          </w:tcPr>
          <w:p>
            <w:pPr>
              <w:spacing w:before="40" w:after="40"/>
            </w:pPr>
            <w:r>
              <w:rPr>
                <w:rFonts w:ascii="Calibri" w:hAnsi="Calibri"/>
                <w:sz w:val="20"/>
              </w:rPr>
              <w:t>Compounding effect visible</w:t>
            </w:r>
          </w:p>
        </w:tc>
      </w:tr>
      <w:tr>
        <w:tc>
          <w:tcPr>
            <w:tcW w:type="dxa" w:w="864"/>
            <w:shd w:val="clear" w:color="auto" w:fill="FFFFFF"/>
          </w:tcPr>
          <w:p>
            <w:pPr>
              <w:spacing w:before="40" w:after="40"/>
            </w:pPr>
            <w:r>
              <w:rPr>
                <w:rFonts w:ascii="Calibri" w:hAnsi="Calibri"/>
                <w:sz w:val="20"/>
              </w:rPr>
              <w:t>22</w:t>
            </w:r>
          </w:p>
        </w:tc>
        <w:tc>
          <w:tcPr>
            <w:tcW w:type="dxa" w:w="2160"/>
            <w:shd w:val="clear" w:color="auto" w:fill="FFFFFF"/>
          </w:tcPr>
          <w:p>
            <w:pPr>
              <w:spacing w:before="40" w:after="40"/>
            </w:pPr>
            <w:r>
              <w:rPr>
                <w:rFonts w:ascii="Calibri" w:hAnsi="Calibri"/>
                <w:sz w:val="20"/>
              </w:rPr>
              <w:t>Theoretical ceiling — variance dominates beyond Day 10</w:t>
            </w:r>
          </w:p>
        </w:tc>
        <w:tc>
          <w:tcPr>
            <w:tcW w:type="dxa" w:w="2880"/>
            <w:shd w:val="clear" w:color="auto" w:fill="FFFFFF"/>
          </w:tcPr>
          <w:p>
            <w:pPr>
              <w:spacing w:before="40" w:after="40"/>
            </w:pPr>
            <w:r>
              <w:rPr>
                <w:rFonts w:ascii="Calibri" w:hAnsi="Calibri"/>
                <w:sz w:val="20"/>
              </w:rPr>
            </w:r>
          </w:p>
        </w:tc>
        <w:tc>
          <w:tcPr>
            <w:tcW w:type="dxa" w:w="3600"/>
            <w:shd w:val="clear" w:color="auto" w:fill="FFFFFF"/>
          </w:tcPr>
          <w:p>
            <w:pPr>
              <w:spacing w:before="40" w:after="40"/>
            </w:pPr>
            <w:r>
              <w:rPr>
                <w:rFonts w:ascii="Calibri" w:hAnsi="Calibri"/>
                <w:sz w:val="20"/>
              </w:rPr>
            </w:r>
          </w:p>
        </w:tc>
      </w:tr>
    </w:tbl>
    <w:p/>
    <w:p>
      <w:pPr>
        <w:spacing w:before="120" w:after="120"/>
        <w:ind w:left="360"/>
        <w:shd w:val="clear" w:color="auto" w:fill="FFF2CC"/>
      </w:pPr>
      <w:r>
        <w:rPr>
          <w:rFonts w:ascii="Calibri" w:hAnsi="Calibri"/>
          <w:b/>
          <w:color w:val="C55A11"/>
          <w:sz w:val="21"/>
        </w:rPr>
        <w:t xml:space="preserve">CODING AGENT NOTE: </w:t>
      </w:r>
      <w:r>
        <w:rPr>
          <w:rFonts w:ascii="Calibri" w:hAnsi="Calibri"/>
          <w:sz w:val="21"/>
        </w:rPr>
        <w:t>IMPORTANT FOR CODING AGENT: These projections are theoretical math, not a trading plan. The system is designed to approach these numbers asymptotically as the bot library grows and strategies are validated. Starting phase (Months 1-2) will see 8-15 trades/day, not 80. The numbers justify the architecture — they do not define the launch target.</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S3-2. SL/TP Hybrid Exit Logic — Option B+C</w:t>
      </w:r>
    </w:p>
    <w:p>
      <w:pPr>
        <w:spacing w:before="200" w:after="60"/>
      </w:pPr>
      <w:r>
        <w:rPr>
          <w:rFonts w:ascii="Calibri" w:hAnsi="Calibri"/>
          <w:b/>
          <w:color w:val="2E75B6"/>
          <w:sz w:val="22"/>
        </w:rPr>
        <w:t>S3-2.1  Confirmed Exit Strategy</w:t>
      </w:r>
    </w:p>
    <w:p>
      <w:pPr>
        <w:spacing w:before="40" w:after="80"/>
      </w:pPr>
      <w:r>
        <w:rPr>
          <w:rFonts w:ascii="Calibri" w:hAnsi="Calibri"/>
          <w:sz w:val="21"/>
        </w:rPr>
        <w:t>The confirmed exit strategy for scalping bots is a hybrid of Option B (breakeven move) and Option C (partial close + runner). Option D (dynamic CET) is reserved for Phase 2 bots with 6+ months of validated live performance. This section defines the exact mechanics so the EA template can implement them correctly.</w:t>
      </w:r>
    </w:p>
    <w:p>
      <w:pPr>
        <w:spacing w:before="200" w:after="60"/>
      </w:pPr>
      <w:r>
        <w:rPr>
          <w:rFonts w:ascii="Calibri" w:hAnsi="Calibri"/>
          <w:b/>
          <w:color w:val="2E75B6"/>
          <w:sz w:val="22"/>
        </w:rPr>
        <w:t>S3-2.2  Scalping Exit Mechanics (1:2 R:R Target)</w:t>
      </w:r>
    </w:p>
    <w:p>
      <w:pPr>
        <w:spacing w:before="40" w:after="60"/>
      </w:pPr>
      <w:r>
        <w:rPr>
          <w:rFonts w:ascii="Calibri" w:hAnsi="Calibri"/>
          <w:b/>
          <w:sz w:val="21"/>
        </w:rPr>
        <w:t xml:space="preserve">Entry: </w:t>
      </w:r>
      <w:r>
        <w:rPr>
          <w:rFonts w:ascii="Calibri" w:hAnsi="Calibri"/>
          <w:sz w:val="21"/>
        </w:rPr>
        <w:t>Set SL at X pips below entry. Set initial TP at 2X pips (1:2 target).</w:t>
      </w:r>
    </w:p>
    <w:p>
      <w:pPr>
        <w:spacing w:before="40" w:after="60"/>
      </w:pPr>
      <w:r>
        <w:rPr>
          <w:rFonts w:ascii="Calibri" w:hAnsi="Calibri"/>
          <w:b/>
          <w:sz w:val="21"/>
        </w:rPr>
        <w:t xml:space="preserve">At +0.5× SL pips: </w:t>
      </w:r>
      <w:r>
        <w:rPr>
          <w:rFonts w:ascii="Calibri" w:hAnsi="Calibri"/>
          <w:sz w:val="21"/>
        </w:rPr>
        <w:t>Move SL to breakeven. The full-loss scenario is now eliminated. Worst outcome = 0R.</w:t>
      </w:r>
    </w:p>
    <w:p>
      <w:pPr>
        <w:spacing w:before="40" w:after="60"/>
      </w:pPr>
      <w:r>
        <w:rPr>
          <w:rFonts w:ascii="Calibri" w:hAnsi="Calibri"/>
          <w:b/>
          <w:sz w:val="21"/>
        </w:rPr>
        <w:t xml:space="preserve">At +1× SL pips (1:1 level): </w:t>
      </w:r>
      <w:r>
        <w:rPr>
          <w:rFonts w:ascii="Calibri" w:hAnsi="Calibri"/>
          <w:sz w:val="21"/>
        </w:rPr>
        <w:t>Close 30% of the position. Lock that profit. Remaining 70% continues running with SL at breakeven.</w:t>
      </w:r>
    </w:p>
    <w:p>
      <w:pPr>
        <w:spacing w:before="40" w:after="60"/>
      </w:pPr>
      <w:r>
        <w:rPr>
          <w:rFonts w:ascii="Calibri" w:hAnsi="Calibri"/>
          <w:b/>
          <w:sz w:val="21"/>
        </w:rPr>
        <w:t xml:space="preserve">Runner TP: </w:t>
      </w:r>
      <w:r>
        <w:rPr>
          <w:rFonts w:ascii="Calibri" w:hAnsi="Calibri"/>
          <w:sz w:val="21"/>
        </w:rPr>
        <w:t>20 pips (1:2) for the 70% runner. If RVOL &gt; 1.4 AND spread still clean AND regime still confirmed, EA may extend TP to 30 pips (1:3). Otherwise close at 1:2.</w:t>
      </w:r>
    </w:p>
    <w:p>
      <w:pPr>
        <w:spacing w:before="40" w:after="60"/>
      </w:pPr>
      <w:r>
        <w:rPr>
          <w:rFonts w:ascii="Calibri" w:hAnsi="Calibri"/>
          <w:b/>
          <w:sz w:val="21"/>
        </w:rPr>
        <w:t xml:space="preserve">Average effective R:R: </w:t>
      </w:r>
      <w:r>
        <w:rPr>
          <w:rFonts w:ascii="Calibri" w:hAnsi="Calibri"/>
          <w:sz w:val="21"/>
        </w:rPr>
        <w:t>1.7R to 2.4R per winning trade depending on runner outcome. Better than static 1:2.</w:t>
      </w:r>
    </w:p>
    <w:p>
      <w:pPr>
        <w:spacing w:before="200" w:after="60"/>
      </w:pPr>
      <w:r>
        <w:rPr>
          <w:rFonts w:ascii="Calibri" w:hAnsi="Calibri"/>
          <w:b/>
          <w:color w:val="2E75B6"/>
          <w:sz w:val="22"/>
        </w:rPr>
        <w:t>S3-2.3  ORB Exit Mechanics (1:3 R:R Target)</w:t>
      </w:r>
    </w:p>
    <w:p>
      <w:pPr>
        <w:spacing w:before="40" w:after="60"/>
      </w:pPr>
      <w:r>
        <w:rPr>
          <w:rFonts w:ascii="Calibri" w:hAnsi="Calibri"/>
          <w:b/>
          <w:sz w:val="21"/>
        </w:rPr>
        <w:t xml:space="preserve">TP1: </w:t>
      </w:r>
      <w:r>
        <w:rPr>
          <w:rFonts w:ascii="Calibri" w:hAnsi="Calibri"/>
          <w:sz w:val="21"/>
        </w:rPr>
        <w:t>1:1 level — close 50% of the position.</w:t>
      </w:r>
    </w:p>
    <w:p>
      <w:pPr>
        <w:spacing w:before="40" w:after="60"/>
      </w:pPr>
      <w:r>
        <w:rPr>
          <w:rFonts w:ascii="Calibri" w:hAnsi="Calibri"/>
          <w:b/>
          <w:sz w:val="21"/>
        </w:rPr>
        <w:t xml:space="preserve">SL move: </w:t>
      </w:r>
      <w:r>
        <w:rPr>
          <w:rFonts w:ascii="Calibri" w:hAnsi="Calibri"/>
          <w:sz w:val="21"/>
        </w:rPr>
        <w:t>Move SL to breakeven after TP1 hit.</w:t>
      </w:r>
    </w:p>
    <w:p>
      <w:pPr>
        <w:spacing w:before="40" w:after="60"/>
      </w:pPr>
      <w:r>
        <w:rPr>
          <w:rFonts w:ascii="Calibri" w:hAnsi="Calibri"/>
          <w:b/>
          <w:sz w:val="21"/>
        </w:rPr>
        <w:t xml:space="preserve">Runner: </w:t>
      </w:r>
      <w:r>
        <w:rPr>
          <w:rFonts w:ascii="Calibri" w:hAnsi="Calibri"/>
          <w:sz w:val="21"/>
        </w:rPr>
        <w:t>50% position continues to 1:3 TP. ORB moves have institutional follow-through so the runner gets more room.</w:t>
      </w:r>
    </w:p>
    <w:p>
      <w:pPr>
        <w:spacing w:before="200" w:after="60"/>
      </w:pPr>
      <w:r>
        <w:rPr>
          <w:rFonts w:ascii="Calibri" w:hAnsi="Calibri"/>
          <w:b/>
          <w:color w:val="2E75B6"/>
          <w:sz w:val="22"/>
        </w:rPr>
        <w:t>S3-2.4  The Four Stuck-in-Middle Exit Rules</w:t>
      </w:r>
    </w:p>
    <w:p>
      <w:pPr>
        <w:spacing w:before="40" w:after="80"/>
      </w:pPr>
      <w:r>
        <w:rPr>
          <w:rFonts w:ascii="Calibri" w:hAnsi="Calibri"/>
          <w:sz w:val="21"/>
        </w:rPr>
        <w:t>A trade that is open between breakeven SL and TP — not progressing — consumes a queue slot. These four rules define what happens. All four are implemented in the EA template.</w:t>
      </w:r>
    </w:p>
    <w:p>
      <w:pPr>
        <w:pStyle w:val="ListBullet"/>
        <w:spacing w:before="20" w:after="40"/>
        <w:ind w:left="360"/>
      </w:pPr>
      <w:r>
        <w:rPr>
          <w:rFonts w:ascii="Calibri" w:hAnsi="Calibri"/>
          <w:b/>
          <w:sz w:val="21"/>
        </w:rPr>
        <w:t xml:space="preserve">Rule 1: </w:t>
      </w:r>
      <w:r>
        <w:rPr>
          <w:rFonts w:ascii="Calibri" w:hAnsi="Calibri"/>
          <w:sz w:val="21"/>
        </w:rPr>
        <w:t>MAXIMUM HOLD TIME: Momentum scalpers 20 min max. Liquidity grab scalpers 15 min max. Session open scalpers 30 min max. ORB bots 4 hours max. If not resolved within hold time, close at market.</w:t>
      </w:r>
    </w:p>
    <w:p>
      <w:pPr>
        <w:pStyle w:val="ListBullet"/>
        <w:spacing w:before="20" w:after="40"/>
        <w:ind w:left="360"/>
      </w:pPr>
      <w:r>
        <w:rPr>
          <w:rFonts w:ascii="Calibri" w:hAnsi="Calibri"/>
          <w:b/>
          <w:sz w:val="21"/>
        </w:rPr>
        <w:t xml:space="preserve">Rule 2: </w:t>
      </w:r>
      <w:r>
        <w:rPr>
          <w:rFonts w:ascii="Calibri" w:hAnsi="Calibri"/>
          <w:sz w:val="21"/>
        </w:rPr>
        <w:t>BREAKEVEN TIME EXIT: If SL has been moved to breakeven AND 15 minutes have passed with no progress toward TP, close at market. The slot is more valuable than a stalled trade.</w:t>
      </w:r>
    </w:p>
    <w:p>
      <w:pPr>
        <w:pStyle w:val="ListBullet"/>
        <w:spacing w:before="20" w:after="40"/>
        <w:ind w:left="360"/>
      </w:pPr>
      <w:r>
        <w:rPr>
          <w:rFonts w:ascii="Calibri" w:hAnsi="Calibri"/>
          <w:b/>
          <w:sz w:val="21"/>
        </w:rPr>
        <w:t xml:space="preserve">Rule 3: </w:t>
      </w:r>
      <w:r>
        <w:rPr>
          <w:rFonts w:ascii="Calibri" w:hAnsi="Calibri"/>
          <w:sz w:val="21"/>
        </w:rPr>
        <w:t>SESSION CLOSE FORCED EXIT: Any scalping trade open at the end of its designated session window is force-closed at market. No scalper carries overnight. No scalper crosses into the next session. This is also halal compliance enforcement (no overnight positions). RVOL-LINKED TRIGGER: If session end is within 30 minutes AND RVOL is declining below 0.8x AND trade is in profit, take the profit immediately rather than waiting for hard session close.</w:t>
      </w:r>
    </w:p>
    <w:p>
      <w:pPr>
        <w:pStyle w:val="ListBullet"/>
        <w:spacing w:before="20" w:after="40"/>
        <w:ind w:left="360"/>
      </w:pPr>
      <w:r>
        <w:rPr>
          <w:rFonts w:ascii="Calibri" w:hAnsi="Calibri"/>
          <w:b/>
          <w:sz w:val="21"/>
        </w:rPr>
        <w:t xml:space="preserve">Rule 4: </w:t>
      </w:r>
      <w:r>
        <w:rPr>
          <w:rFonts w:ascii="Calibri" w:hAnsi="Calibri"/>
          <w:sz w:val="21"/>
        </w:rPr>
        <w:t>MOMENTUM DEATH EXIT (RVOL-LINKED): If RVOL drops below 0.8x (market going dead) AND trade is open with no resolution, the momentum that created the setup is gone. Close at market. Rules 3 and 4 are linked — both use RVOL as the trigger signal.</w:t>
      </w:r>
    </w:p>
    <w:p>
      <w:pPr>
        <w:spacing w:before="120" w:after="120"/>
        <w:ind w:left="360"/>
        <w:shd w:val="clear" w:color="auto" w:fill="FFF2CC"/>
      </w:pPr>
      <w:r>
        <w:rPr>
          <w:rFonts w:ascii="Calibri" w:hAnsi="Calibri"/>
          <w:b/>
          <w:color w:val="C55A11"/>
          <w:sz w:val="21"/>
        </w:rPr>
        <w:t xml:space="preserve">CODING AGENT NOTE: </w:t>
      </w:r>
      <w:r>
        <w:rPr>
          <w:rFonts w:ascii="Calibri" w:hAnsi="Calibri"/>
          <w:sz w:val="21"/>
        </w:rPr>
        <w:t>ALL forced exits must be logged with a reason code in the Trading Journal. Reason codes: SESSION_END_CLOSE, TILT_PROFIT_TAKE, TILT_LOSS_ACCEPT, TIME_EXIT_BREAKEVEN, TIME_EXIT_LIMIT, RVOL_MOMENTUM_DEATH, NEWS_BLACKOUT_CLOSE. These codes feed into Workflow 3 (Performance Intelligence) for pattern analysis. High SESSION_END_CLOSE frequency on a strategy means its holding time assumption is wrong — flag for Workflow 2 (Improvement) in the next fortnightly cycle.</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S3-3. The Tilt — Universal Session Transition Mechanism</w:t>
      </w:r>
    </w:p>
    <w:p>
      <w:pPr>
        <w:spacing w:before="200" w:after="60"/>
      </w:pPr>
      <w:r>
        <w:rPr>
          <w:rFonts w:ascii="Calibri" w:hAnsi="Calibri"/>
          <w:b/>
          <w:color w:val="2E75B6"/>
          <w:sz w:val="22"/>
        </w:rPr>
        <w:t>S3-3.1  Definition</w:t>
      </w:r>
    </w:p>
    <w:p>
      <w:pPr>
        <w:spacing w:before="40" w:after="80"/>
      </w:pPr>
      <w:r>
        <w:rPr>
          <w:rFonts w:ascii="Calibri" w:hAnsi="Calibri"/>
          <w:sz w:val="21"/>
        </w:rPr>
        <w:t>The 'Tilt' is the system's term for a session transition moment — when one session is ending and another is beginning. It is a universal mechanism applied at every session boundary in the 24-hour cycle. The Tilt is NOT a manual event. It is triggered automatically by the session template scheduler.</w:t>
      </w:r>
    </w:p>
    <w:p>
      <w:pPr>
        <w:spacing w:before="200" w:after="60"/>
      </w:pPr>
      <w:r>
        <w:rPr>
          <w:rFonts w:ascii="Calibri" w:hAnsi="Calibri"/>
          <w:b/>
          <w:color w:val="2E75B6"/>
          <w:sz w:val="22"/>
        </w:rPr>
        <w:t>S3-3.2  Tilt Trigger Conditions</w:t>
      </w:r>
    </w:p>
    <w:p>
      <w:pPr>
        <w:spacing w:before="40" w:after="80"/>
      </w:pPr>
      <w:r>
        <w:rPr>
          <w:rFonts w:ascii="Calibri" w:hAnsi="Calibri"/>
          <w:sz w:val="21"/>
        </w:rPr>
        <w:t>A Tilt is triggered when ANY of the following conditions are met:</w:t>
      </w:r>
    </w:p>
    <w:p>
      <w:pPr>
        <w:pStyle w:val="ListBullet"/>
        <w:spacing w:before="20" w:after="40"/>
        <w:ind w:left="360"/>
      </w:pPr>
      <w:r>
        <w:rPr>
          <w:rFonts w:ascii="Calibri" w:hAnsi="Calibri"/>
          <w:sz w:val="21"/>
        </w:rPr>
        <w:t>Session end time is T-5 minutes (5 minutes before the scheduled session close).</w:t>
      </w:r>
    </w:p>
    <w:p>
      <w:pPr>
        <w:pStyle w:val="ListBullet"/>
        <w:spacing w:before="20" w:after="40"/>
        <w:ind w:left="360"/>
      </w:pPr>
      <w:r>
        <w:rPr>
          <w:rFonts w:ascii="Calibri" w:hAnsi="Calibri"/>
          <w:sz w:val="21"/>
        </w:rPr>
        <w:t>RVOL for all active session instruments drops below 0.7x simultaneously.</w:t>
      </w:r>
    </w:p>
    <w:p>
      <w:pPr>
        <w:pStyle w:val="ListBullet"/>
        <w:spacing w:before="20" w:after="40"/>
        <w:ind w:left="360"/>
      </w:pPr>
      <w:r>
        <w:rPr>
          <w:rFonts w:ascii="Calibri" w:hAnsi="Calibri"/>
          <w:sz w:val="21"/>
        </w:rPr>
        <w:t>The Sentinel regime confidence drops below 0.40 for the outgoing session.</w:t>
      </w:r>
    </w:p>
    <w:p>
      <w:pPr>
        <w:spacing w:before="200" w:after="60"/>
      </w:pPr>
      <w:r>
        <w:rPr>
          <w:rFonts w:ascii="Calibri" w:hAnsi="Calibri"/>
          <w:b/>
          <w:color w:val="2E75B6"/>
          <w:sz w:val="22"/>
        </w:rPr>
        <w:t>S3-3.3  Tilt Sequence</w:t>
      </w:r>
    </w:p>
    <w:p>
      <w:pPr>
        <w:spacing w:before="40" w:after="80"/>
      </w:pPr>
      <w:r>
        <w:rPr>
          <w:rFonts w:ascii="Calibri" w:hAnsi="Calibri"/>
          <w:sz w:val="21"/>
        </w:rPr>
        <w:t>The Tilt executes the following sequence in order:</w:t>
      </w:r>
    </w:p>
    <w:p>
      <w:pPr>
        <w:pStyle w:val="ListBullet"/>
        <w:spacing w:before="20" w:after="40"/>
        <w:ind w:left="360"/>
      </w:pPr>
      <w:r>
        <w:rPr>
          <w:rFonts w:ascii="Calibri" w:hAnsi="Calibri"/>
          <w:sz w:val="21"/>
        </w:rPr>
        <w:t>LOCK: No new entries for any bot in the outgoing session pool.</w:t>
      </w:r>
    </w:p>
    <w:p>
      <w:pPr>
        <w:pStyle w:val="ListBullet"/>
        <w:spacing w:before="20" w:after="40"/>
        <w:ind w:left="360"/>
      </w:pPr>
      <w:r>
        <w:rPr>
          <w:rFonts w:ascii="Calibri" w:hAnsi="Calibri"/>
          <w:sz w:val="21"/>
        </w:rPr>
        <w:t>SIGNAL: Running trades receive the RVOL-linked profit signal. If in profit AND RVOL declining, close at market immediately. If at a loss, let existing SL/TP resolve it — do not force-close unless hard session end is reached.</w:t>
      </w:r>
    </w:p>
    <w:p>
      <w:pPr>
        <w:pStyle w:val="ListBullet"/>
        <w:spacing w:before="20" w:after="40"/>
        <w:ind w:left="360"/>
      </w:pPr>
      <w:r>
        <w:rPr>
          <w:rFonts w:ascii="Calibri" w:hAnsi="Calibri"/>
          <w:sz w:val="21"/>
        </w:rPr>
        <w:t>WAIT: 1-minute transition gap (system stabilisation, no actions).</w:t>
      </w:r>
    </w:p>
    <w:p>
      <w:pPr>
        <w:pStyle w:val="ListBullet"/>
        <w:spacing w:before="20" w:after="40"/>
        <w:ind w:left="360"/>
      </w:pPr>
      <w:r>
        <w:rPr>
          <w:rFonts w:ascii="Calibri" w:hAnsi="Calibri"/>
          <w:sz w:val="21"/>
        </w:rPr>
        <w:t>RE-RANK: DPR sub-agent scores the closing session bots. Queue is re-ordered for the incoming session.</w:t>
      </w:r>
    </w:p>
    <w:p>
      <w:pPr>
        <w:pStyle w:val="ListBullet"/>
        <w:spacing w:before="20" w:after="40"/>
        <w:ind w:left="360"/>
      </w:pPr>
      <w:r>
        <w:rPr>
          <w:rFonts w:ascii="Calibri" w:hAnsi="Calibri"/>
          <w:sz w:val="21"/>
        </w:rPr>
        <w:t>ACTIVATE: New session queue is unlocked. Bots cleared to trade in the incoming session.</w:t>
      </w:r>
    </w:p>
    <w:p>
      <w:pPr>
        <w:spacing w:before="120" w:after="120"/>
        <w:ind w:left="360"/>
        <w:shd w:val="clear" w:color="auto" w:fill="FFF2CC"/>
      </w:pPr>
      <w:r>
        <w:rPr>
          <w:rFonts w:ascii="Calibri" w:hAnsi="Calibri"/>
          <w:b/>
          <w:color w:val="C55A11"/>
          <w:sz w:val="21"/>
        </w:rPr>
        <w:t xml:space="preserve">NOTE: </w:t>
      </w:r>
      <w:r>
        <w:rPr>
          <w:rFonts w:ascii="Calibri" w:hAnsi="Calibri"/>
          <w:sz w:val="21"/>
        </w:rPr>
        <w:t>The Tilt is not just for London-NY transitions. It applies at: Sydney→Sydney-Tokyo, Sydney-Tokyo→Tokyo, Tokyo→London (with London Open Assault activation), London→Inter-session Cooldown, Cooldown→NY Open Assault, NY→Wind-down, Wind-down→Dead Zone, Dead Zone→Sydney. Every boundary has a Tilt.</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S3-4. Full 24-Hour Session Cycle Architecture</w:t>
      </w:r>
    </w:p>
    <w:p>
      <w:pPr>
        <w:spacing w:before="200" w:after="60"/>
      </w:pPr>
      <w:r>
        <w:rPr>
          <w:rFonts w:ascii="Calibri" w:hAnsi="Calibri"/>
          <w:b/>
          <w:color w:val="2E75B6"/>
          <w:sz w:val="22"/>
        </w:rPr>
        <w:t>S3-4.1  Session Template Design</w:t>
      </w:r>
    </w:p>
    <w:p>
      <w:pPr>
        <w:spacing w:before="40" w:after="80"/>
      </w:pPr>
      <w:r>
        <w:rPr>
          <w:rFonts w:ascii="Calibri" w:hAnsi="Calibri"/>
          <w:sz w:val="21"/>
        </w:rPr>
        <w:t>Rather than hard-coding separate logic per session, all sessions use a single configurable Session Template. The template has parameters that are set differently per session window. A coding agent implementing this should build ONE session template class with per-session configuration, not separate classes per session.</w:t>
      </w:r>
    </w:p>
    <w:p>
      <w:pPr>
        <w:spacing w:before="40" w:after="80"/>
      </w:pPr>
      <w:r>
        <w:rPr>
          <w:rFonts w:ascii="Calibri" w:hAnsi="Calibri"/>
          <w:sz w:val="21"/>
        </w:rPr>
        <w:t>Session Template parameters (vary per session):</w:t>
      </w:r>
    </w:p>
    <w:p>
      <w:pPr>
        <w:pStyle w:val="ListBullet"/>
        <w:spacing w:before="20" w:after="40"/>
        <w:ind w:left="360"/>
      </w:pPr>
      <w:r>
        <w:rPr>
          <w:rFonts w:ascii="Calibri" w:hAnsi="Calibri"/>
          <w:sz w:val="21"/>
        </w:rPr>
        <w:t>instruments_in_scope: list of currency pairs / instruments active in this session</w:t>
      </w:r>
    </w:p>
    <w:p>
      <w:pPr>
        <w:pStyle w:val="ListBullet"/>
        <w:spacing w:before="20" w:after="40"/>
        <w:ind w:left="360"/>
      </w:pPr>
      <w:r>
        <w:rPr>
          <w:rFonts w:ascii="Calibri" w:hAnsi="Calibri"/>
          <w:sz w:val="21"/>
        </w:rPr>
        <w:t>scalper_priority_weight: 0.0-1.0, proportion of queue slots allocated to scalper bots</w:t>
      </w:r>
    </w:p>
    <w:p>
      <w:pPr>
        <w:pStyle w:val="ListBullet"/>
        <w:spacing w:before="20" w:after="40"/>
        <w:ind w:left="360"/>
      </w:pPr>
      <w:r>
        <w:rPr>
          <w:rFonts w:ascii="Calibri" w:hAnsi="Calibri"/>
          <w:sz w:val="21"/>
        </w:rPr>
        <w:t>orb_priority_weight: 0.0-1.0, proportion of queue slots allocated to ORB bots (scalper + orb must sum to 1.0)</w:t>
      </w:r>
    </w:p>
    <w:p>
      <w:pPr>
        <w:pStyle w:val="ListBullet"/>
        <w:spacing w:before="20" w:after="40"/>
        <w:ind w:left="360"/>
      </w:pPr>
      <w:r>
        <w:rPr>
          <w:rFonts w:ascii="Calibri" w:hAnsi="Calibri"/>
          <w:sz w:val="21"/>
        </w:rPr>
        <w:t>kelly_fraction_modifier: multiplier applied to Kelly fraction during this session (1.0 = normal, 0.8 = conservative)</w:t>
      </w:r>
    </w:p>
    <w:p>
      <w:pPr>
        <w:pStyle w:val="ListBullet"/>
        <w:spacing w:before="20" w:after="40"/>
        <w:ind w:left="360"/>
      </w:pPr>
      <w:r>
        <w:rPr>
          <w:rFonts w:ascii="Calibri" w:hAnsi="Calibri"/>
          <w:sz w:val="21"/>
        </w:rPr>
        <w:t>max_concurrent_bots: maximum open positions at any time in this session (typically 5 for 2% risk each = 5% max exposure)</w:t>
      </w:r>
    </w:p>
    <w:p>
      <w:pPr>
        <w:pStyle w:val="ListBullet"/>
        <w:spacing w:before="20" w:after="40"/>
        <w:ind w:left="360"/>
      </w:pPr>
      <w:r>
        <w:rPr>
          <w:rFonts w:ascii="Calibri" w:hAnsi="Calibri"/>
          <w:sz w:val="21"/>
        </w:rPr>
        <w:t>house_money_threshold: daily PnL % required to trigger house money multiplier (lower = more aggressive in premium sessions)</w:t>
      </w:r>
    </w:p>
    <w:p>
      <w:pPr>
        <w:pStyle w:val="ListBullet"/>
        <w:spacing w:before="20" w:after="40"/>
        <w:ind w:left="360"/>
      </w:pPr>
      <w:r>
        <w:rPr>
          <w:rFonts w:ascii="Calibri" w:hAnsi="Calibri"/>
          <w:sz w:val="21"/>
        </w:rPr>
        <w:t>news_blackout_check: boolean — always true, but specified explicitly so coding agent does not omit it</w:t>
      </w:r>
    </w:p>
    <w:p>
      <w:pPr>
        <w:pStyle w:val="ListBullet"/>
        <w:spacing w:before="20" w:after="40"/>
        <w:ind w:left="360"/>
      </w:pPr>
      <w:r>
        <w:rPr>
          <w:rFonts w:ascii="Calibri" w:hAnsi="Calibri"/>
          <w:sz w:val="21"/>
        </w:rPr>
        <w:t>session_open_scalpers_active: boolean — true only for London Open and NY Open assault windows</w:t>
      </w:r>
    </w:p>
    <w:p>
      <w:pPr>
        <w:pStyle w:val="ListBullet"/>
        <w:spacing w:before="20" w:after="40"/>
        <w:ind w:left="360"/>
      </w:pPr>
      <w:r>
        <w:rPr>
          <w:rFonts w:ascii="Calibri" w:hAnsi="Calibri"/>
          <w:sz w:val="21"/>
        </w:rPr>
        <w:t>tilt_trigger_minutes: minutes before session end to initiate the Tilt sequence</w:t>
      </w:r>
    </w:p>
    <w:p>
      <w:pPr>
        <w:spacing w:before="200" w:after="60"/>
      </w:pPr>
      <w:r>
        <w:rPr>
          <w:rFonts w:ascii="Calibri" w:hAnsi="Calibri"/>
          <w:b/>
          <w:color w:val="2E75B6"/>
          <w:sz w:val="22"/>
        </w:rPr>
        <w:t>S3-4.2  Complete Daily Cycle Table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2592"/>
            <w:shd w:val="clear" w:color="auto" w:fill="2E75B6"/>
          </w:tcPr>
          <w:p>
            <w:pPr>
              <w:spacing w:before="40" w:after="40"/>
            </w:pPr>
            <w:r>
              <w:rPr>
                <w:rFonts w:ascii="Calibri" w:hAnsi="Calibri"/>
                <w:b/>
                <w:color w:val="FFFFFF"/>
                <w:sz w:val="20"/>
              </w:rPr>
              <w:t>Window</w:t>
            </w:r>
          </w:p>
        </w:tc>
        <w:tc>
          <w:tcPr>
            <w:tcW w:type="dxa" w:w="1872"/>
            <w:shd w:val="clear" w:color="auto" w:fill="2E75B6"/>
          </w:tcPr>
          <w:p>
            <w:pPr>
              <w:spacing w:before="40" w:after="40"/>
            </w:pPr>
            <w:r>
              <w:rPr>
                <w:rFonts w:ascii="Calibri" w:hAnsi="Calibri"/>
                <w:b/>
                <w:color w:val="FFFFFF"/>
                <w:sz w:val="20"/>
              </w:rPr>
              <w:t>GMT Range</w:t>
            </w:r>
          </w:p>
        </w:tc>
        <w:tc>
          <w:tcPr>
            <w:tcW w:type="dxa" w:w="2592"/>
            <w:shd w:val="clear" w:color="auto" w:fill="2E75B6"/>
          </w:tcPr>
          <w:p>
            <w:pPr>
              <w:spacing w:before="40" w:after="40"/>
            </w:pPr>
            <w:r>
              <w:rPr>
                <w:rFonts w:ascii="Calibri" w:hAnsi="Calibri"/>
                <w:b/>
                <w:color w:val="FFFFFF"/>
                <w:sz w:val="20"/>
              </w:rPr>
              <w:t>Primary Type</w:t>
            </w:r>
          </w:p>
        </w:tc>
        <w:tc>
          <w:tcPr>
            <w:tcW w:type="dxa" w:w="2880"/>
            <w:shd w:val="clear" w:color="auto" w:fill="2E75B6"/>
          </w:tcPr>
          <w:p>
            <w:pPr>
              <w:spacing w:before="40" w:after="40"/>
            </w:pPr>
            <w:r>
              <w:rPr>
                <w:rFonts w:ascii="Calibri" w:hAnsi="Calibri"/>
                <w:b/>
                <w:color w:val="FFFFFF"/>
                <w:sz w:val="20"/>
              </w:rPr>
              <w:t>Key Instruments</w:t>
            </w:r>
          </w:p>
        </w:tc>
        <w:tc>
          <w:tcPr>
            <w:tcW w:type="dxa" w:w="1008"/>
            <w:shd w:val="clear" w:color="auto" w:fill="2E75B6"/>
          </w:tcPr>
          <w:p>
            <w:pPr>
              <w:spacing w:before="40" w:after="40"/>
            </w:pPr>
            <w:r>
              <w:rPr>
                <w:rFonts w:ascii="Calibri" w:hAnsi="Calibri"/>
                <w:b/>
                <w:color w:val="FFFFFF"/>
                <w:sz w:val="20"/>
              </w:rPr>
              <w:t>Scalper%</w:t>
            </w:r>
          </w:p>
        </w:tc>
        <w:tc>
          <w:tcPr>
            <w:tcW w:type="dxa" w:w="864"/>
            <w:shd w:val="clear" w:color="auto" w:fill="2E75B6"/>
          </w:tcPr>
          <w:p>
            <w:pPr>
              <w:spacing w:before="40" w:after="40"/>
            </w:pPr>
            <w:r>
              <w:rPr>
                <w:rFonts w:ascii="Calibri" w:hAnsi="Calibri"/>
                <w:b/>
                <w:color w:val="FFFFFF"/>
                <w:sz w:val="20"/>
              </w:rPr>
              <w:t>ORB%</w:t>
            </w:r>
          </w:p>
        </w:tc>
        <w:tc>
          <w:tcPr>
            <w:tcW w:type="dxa" w:w="1296"/>
            <w:shd w:val="clear" w:color="auto" w:fill="2E75B6"/>
          </w:tcPr>
          <w:p>
            <w:pPr>
              <w:spacing w:before="40" w:after="40"/>
            </w:pPr>
            <w:r>
              <w:rPr>
                <w:rFonts w:ascii="Calibri" w:hAnsi="Calibri"/>
                <w:b/>
                <w:color w:val="FFFFFF"/>
                <w:sz w:val="20"/>
              </w:rPr>
              <w:t>Kelly Mod</w:t>
            </w:r>
          </w:p>
        </w:tc>
      </w:tr>
      <w:tr>
        <w:tc>
          <w:tcPr>
            <w:tcW w:type="dxa" w:w="2592"/>
            <w:shd w:val="clear" w:color="auto" w:fill="F2F2F2"/>
          </w:tcPr>
          <w:p>
            <w:pPr>
              <w:spacing w:before="40" w:after="40"/>
            </w:pPr>
            <w:r>
              <w:rPr>
                <w:rFonts w:ascii="Calibri" w:hAnsi="Calibri"/>
                <w:sz w:val="20"/>
              </w:rPr>
              <w:t>Sydney Open</w:t>
            </w:r>
          </w:p>
        </w:tc>
        <w:tc>
          <w:tcPr>
            <w:tcW w:type="dxa" w:w="1872"/>
            <w:shd w:val="clear" w:color="auto" w:fill="F2F2F2"/>
          </w:tcPr>
          <w:p>
            <w:pPr>
              <w:spacing w:before="40" w:after="40"/>
            </w:pPr>
            <w:r>
              <w:rPr>
                <w:rFonts w:ascii="Calibri" w:hAnsi="Calibri"/>
                <w:sz w:val="20"/>
              </w:rPr>
              <w:t>22:00-00:00</w:t>
            </w:r>
          </w:p>
        </w:tc>
        <w:tc>
          <w:tcPr>
            <w:tcW w:type="dxa" w:w="2592"/>
            <w:shd w:val="clear" w:color="auto" w:fill="F2F2F2"/>
          </w:tcPr>
          <w:p>
            <w:pPr>
              <w:spacing w:before="40" w:after="40"/>
            </w:pPr>
            <w:r>
              <w:rPr>
                <w:rFonts w:ascii="Calibri" w:hAnsi="Calibri"/>
                <w:sz w:val="20"/>
              </w:rPr>
              <w:t>ORB dominant</w:t>
            </w:r>
          </w:p>
        </w:tc>
        <w:tc>
          <w:tcPr>
            <w:tcW w:type="dxa" w:w="2880"/>
            <w:shd w:val="clear" w:color="auto" w:fill="F2F2F2"/>
          </w:tcPr>
          <w:p>
            <w:pPr>
              <w:spacing w:before="40" w:after="40"/>
            </w:pPr>
            <w:r>
              <w:rPr>
                <w:rFonts w:ascii="Calibri" w:hAnsi="Calibri"/>
                <w:sz w:val="20"/>
              </w:rPr>
              <w:t>AUDUSD, AUDCAD, AUDNZD, AUDJPY</w:t>
            </w:r>
          </w:p>
        </w:tc>
        <w:tc>
          <w:tcPr>
            <w:tcW w:type="dxa" w:w="1008"/>
            <w:shd w:val="clear" w:color="auto" w:fill="F2F2F2"/>
          </w:tcPr>
          <w:p>
            <w:pPr>
              <w:spacing w:before="40" w:after="40"/>
            </w:pPr>
            <w:r>
              <w:rPr>
                <w:rFonts w:ascii="Calibri" w:hAnsi="Calibri"/>
                <w:sz w:val="20"/>
              </w:rPr>
              <w:t>30%</w:t>
            </w:r>
          </w:p>
        </w:tc>
        <w:tc>
          <w:tcPr>
            <w:tcW w:type="dxa" w:w="864"/>
            <w:shd w:val="clear" w:color="auto" w:fill="F2F2F2"/>
          </w:tcPr>
          <w:p>
            <w:pPr>
              <w:spacing w:before="40" w:after="40"/>
            </w:pPr>
            <w:r>
              <w:rPr>
                <w:rFonts w:ascii="Calibri" w:hAnsi="Calibri"/>
                <w:sz w:val="20"/>
              </w:rPr>
              <w:t>70%</w:t>
            </w:r>
          </w:p>
        </w:tc>
        <w:tc>
          <w:tcPr>
            <w:tcW w:type="dxa" w:w="1296"/>
            <w:shd w:val="clear" w:color="auto" w:fill="F2F2F2"/>
          </w:tcPr>
          <w:p>
            <w:pPr>
              <w:spacing w:before="40" w:after="40"/>
            </w:pPr>
            <w:r>
              <w:rPr>
                <w:rFonts w:ascii="Calibri" w:hAnsi="Calibri"/>
                <w:sz w:val="20"/>
              </w:rPr>
              <w:t>0.80x</w:t>
            </w:r>
          </w:p>
        </w:tc>
      </w:tr>
      <w:tr>
        <w:tc>
          <w:tcPr>
            <w:tcW w:type="dxa" w:w="2592"/>
            <w:shd w:val="clear" w:color="auto" w:fill="FFFFFF"/>
          </w:tcPr>
          <w:p>
            <w:pPr>
              <w:spacing w:before="40" w:after="40"/>
            </w:pPr>
            <w:r>
              <w:rPr>
                <w:rFonts w:ascii="Calibri" w:hAnsi="Calibri"/>
                <w:sz w:val="20"/>
              </w:rPr>
              <w:t>Sydney-Tokyo Overlap</w:t>
            </w:r>
          </w:p>
        </w:tc>
        <w:tc>
          <w:tcPr>
            <w:tcW w:type="dxa" w:w="1872"/>
            <w:shd w:val="clear" w:color="auto" w:fill="FFFFFF"/>
          </w:tcPr>
          <w:p>
            <w:pPr>
              <w:spacing w:before="40" w:after="40"/>
            </w:pPr>
            <w:r>
              <w:rPr>
                <w:rFonts w:ascii="Calibri" w:hAnsi="Calibri"/>
                <w:sz w:val="20"/>
              </w:rPr>
              <w:t>00:00-07:00</w:t>
            </w:r>
          </w:p>
        </w:tc>
        <w:tc>
          <w:tcPr>
            <w:tcW w:type="dxa" w:w="2592"/>
            <w:shd w:val="clear" w:color="auto" w:fill="FFFFFF"/>
          </w:tcPr>
          <w:p>
            <w:pPr>
              <w:spacing w:before="40" w:after="40"/>
            </w:pPr>
            <w:r>
              <w:rPr>
                <w:rFonts w:ascii="Calibri" w:hAnsi="Calibri"/>
                <w:sz w:val="20"/>
              </w:rPr>
              <w:t>Scalpers return</w:t>
            </w:r>
          </w:p>
        </w:tc>
        <w:tc>
          <w:tcPr>
            <w:tcW w:type="dxa" w:w="2880"/>
            <w:shd w:val="clear" w:color="auto" w:fill="FFFFFF"/>
          </w:tcPr>
          <w:p>
            <w:pPr>
              <w:spacing w:before="40" w:after="40"/>
            </w:pPr>
            <w:r>
              <w:rPr>
                <w:rFonts w:ascii="Calibri" w:hAnsi="Calibri"/>
                <w:sz w:val="20"/>
              </w:rPr>
              <w:t>USDJPY, AUDJPY, GBPJPY</w:t>
            </w:r>
          </w:p>
        </w:tc>
        <w:tc>
          <w:tcPr>
            <w:tcW w:type="dxa" w:w="1008"/>
            <w:shd w:val="clear" w:color="auto" w:fill="FFFFFF"/>
          </w:tcPr>
          <w:p>
            <w:pPr>
              <w:spacing w:before="40" w:after="40"/>
            </w:pPr>
            <w:r>
              <w:rPr>
                <w:rFonts w:ascii="Calibri" w:hAnsi="Calibri"/>
                <w:sz w:val="20"/>
              </w:rPr>
              <w:t>60%</w:t>
            </w:r>
          </w:p>
        </w:tc>
        <w:tc>
          <w:tcPr>
            <w:tcW w:type="dxa" w:w="864"/>
            <w:shd w:val="clear" w:color="auto" w:fill="FFFFFF"/>
          </w:tcPr>
          <w:p>
            <w:pPr>
              <w:spacing w:before="40" w:after="40"/>
            </w:pPr>
            <w:r>
              <w:rPr>
                <w:rFonts w:ascii="Calibri" w:hAnsi="Calibri"/>
                <w:sz w:val="20"/>
              </w:rPr>
              <w:t>40%</w:t>
            </w:r>
          </w:p>
        </w:tc>
        <w:tc>
          <w:tcPr>
            <w:tcW w:type="dxa" w:w="1296"/>
            <w:shd w:val="clear" w:color="auto" w:fill="FFFFFF"/>
          </w:tcPr>
          <w:p>
            <w:pPr>
              <w:spacing w:before="40" w:after="40"/>
            </w:pPr>
            <w:r>
              <w:rPr>
                <w:rFonts w:ascii="Calibri" w:hAnsi="Calibri"/>
                <w:sz w:val="20"/>
              </w:rPr>
              <w:t>0.90x</w:t>
            </w:r>
          </w:p>
        </w:tc>
      </w:tr>
      <w:tr>
        <w:tc>
          <w:tcPr>
            <w:tcW w:type="dxa" w:w="2592"/>
            <w:shd w:val="clear" w:color="auto" w:fill="F2F2F2"/>
          </w:tcPr>
          <w:p>
            <w:pPr>
              <w:spacing w:before="40" w:after="40"/>
            </w:pPr>
            <w:r>
              <w:rPr>
                <w:rFonts w:ascii="Calibri" w:hAnsi="Calibri"/>
                <w:sz w:val="20"/>
              </w:rPr>
              <w:t>Tokyo Open</w:t>
            </w:r>
          </w:p>
        </w:tc>
        <w:tc>
          <w:tcPr>
            <w:tcW w:type="dxa" w:w="1872"/>
            <w:shd w:val="clear" w:color="auto" w:fill="F2F2F2"/>
          </w:tcPr>
          <w:p>
            <w:pPr>
              <w:spacing w:before="40" w:after="40"/>
            </w:pPr>
            <w:r>
              <w:rPr>
                <w:rFonts w:ascii="Calibri" w:hAnsi="Calibri"/>
                <w:sz w:val="20"/>
              </w:rPr>
              <w:t>00:00-02:00</w:t>
            </w:r>
          </w:p>
        </w:tc>
        <w:tc>
          <w:tcPr>
            <w:tcW w:type="dxa" w:w="2592"/>
            <w:shd w:val="clear" w:color="auto" w:fill="F2F2F2"/>
          </w:tcPr>
          <w:p>
            <w:pPr>
              <w:spacing w:before="40" w:after="40"/>
            </w:pPr>
            <w:r>
              <w:rPr>
                <w:rFonts w:ascii="Calibri" w:hAnsi="Calibri"/>
                <w:sz w:val="20"/>
              </w:rPr>
              <w:t>ORB + Scalpers balanced</w:t>
            </w:r>
          </w:p>
        </w:tc>
        <w:tc>
          <w:tcPr>
            <w:tcW w:type="dxa" w:w="2880"/>
            <w:shd w:val="clear" w:color="auto" w:fill="F2F2F2"/>
          </w:tcPr>
          <w:p>
            <w:pPr>
              <w:spacing w:before="40" w:after="40"/>
            </w:pPr>
            <w:r>
              <w:rPr>
                <w:rFonts w:ascii="Calibri" w:hAnsi="Calibri"/>
                <w:sz w:val="20"/>
              </w:rPr>
              <w:t>USDJPY, JPY crosses</w:t>
            </w:r>
          </w:p>
        </w:tc>
        <w:tc>
          <w:tcPr>
            <w:tcW w:type="dxa" w:w="1008"/>
            <w:shd w:val="clear" w:color="auto" w:fill="F2F2F2"/>
          </w:tcPr>
          <w:p>
            <w:pPr>
              <w:spacing w:before="40" w:after="40"/>
            </w:pPr>
            <w:r>
              <w:rPr>
                <w:rFonts w:ascii="Calibri" w:hAnsi="Calibri"/>
                <w:sz w:val="20"/>
              </w:rPr>
              <w:t>50%</w:t>
            </w:r>
          </w:p>
        </w:tc>
        <w:tc>
          <w:tcPr>
            <w:tcW w:type="dxa" w:w="864"/>
            <w:shd w:val="clear" w:color="auto" w:fill="F2F2F2"/>
          </w:tcPr>
          <w:p>
            <w:pPr>
              <w:spacing w:before="40" w:after="40"/>
            </w:pPr>
            <w:r>
              <w:rPr>
                <w:rFonts w:ascii="Calibri" w:hAnsi="Calibri"/>
                <w:sz w:val="20"/>
              </w:rPr>
              <w:t>50%</w:t>
            </w:r>
          </w:p>
        </w:tc>
        <w:tc>
          <w:tcPr>
            <w:tcW w:type="dxa" w:w="1296"/>
            <w:shd w:val="clear" w:color="auto" w:fill="F2F2F2"/>
          </w:tcPr>
          <w:p>
            <w:pPr>
              <w:spacing w:before="40" w:after="40"/>
            </w:pPr>
            <w:r>
              <w:rPr>
                <w:rFonts w:ascii="Calibri" w:hAnsi="Calibri"/>
                <w:sz w:val="20"/>
              </w:rPr>
              <w:t>0.90x</w:t>
            </w:r>
          </w:p>
        </w:tc>
      </w:tr>
      <w:tr>
        <w:tc>
          <w:tcPr>
            <w:tcW w:type="dxa" w:w="2592"/>
            <w:shd w:val="clear" w:color="auto" w:fill="FFFFFF"/>
          </w:tcPr>
          <w:p>
            <w:pPr>
              <w:spacing w:before="40" w:after="40"/>
            </w:pPr>
            <w:r>
              <w:rPr>
                <w:rFonts w:ascii="Calibri" w:hAnsi="Calibri"/>
                <w:sz w:val="20"/>
              </w:rPr>
              <w:t>Tokyo-London Overlap</w:t>
            </w:r>
          </w:p>
        </w:tc>
        <w:tc>
          <w:tcPr>
            <w:tcW w:type="dxa" w:w="1872"/>
            <w:shd w:val="clear" w:color="auto" w:fill="FFFFFF"/>
          </w:tcPr>
          <w:p>
            <w:pPr>
              <w:spacing w:before="40" w:after="40"/>
            </w:pPr>
            <w:r>
              <w:rPr>
                <w:rFonts w:ascii="Calibri" w:hAnsi="Calibri"/>
                <w:sz w:val="20"/>
              </w:rPr>
              <w:t>07:00-09:00</w:t>
            </w:r>
          </w:p>
        </w:tc>
        <w:tc>
          <w:tcPr>
            <w:tcW w:type="dxa" w:w="2592"/>
            <w:shd w:val="clear" w:color="auto" w:fill="FFFFFF"/>
          </w:tcPr>
          <w:p>
            <w:pPr>
              <w:spacing w:before="40" w:after="40"/>
            </w:pPr>
            <w:r>
              <w:rPr>
                <w:rFonts w:ascii="Calibri" w:hAnsi="Calibri"/>
                <w:sz w:val="20"/>
              </w:rPr>
              <w:t>PREMIUM - Max aggression</w:t>
            </w:r>
          </w:p>
        </w:tc>
        <w:tc>
          <w:tcPr>
            <w:tcW w:type="dxa" w:w="2880"/>
            <w:shd w:val="clear" w:color="auto" w:fill="FFFFFF"/>
          </w:tcPr>
          <w:p>
            <w:pPr>
              <w:spacing w:before="40" w:after="40"/>
            </w:pPr>
            <w:r>
              <w:rPr>
                <w:rFonts w:ascii="Calibri" w:hAnsi="Calibri"/>
                <w:sz w:val="20"/>
              </w:rPr>
              <w:t>EURUSD, GBPUSD, GBPJPY, EURJPY</w:t>
            </w:r>
          </w:p>
        </w:tc>
        <w:tc>
          <w:tcPr>
            <w:tcW w:type="dxa" w:w="1008"/>
            <w:shd w:val="clear" w:color="auto" w:fill="FFFFFF"/>
          </w:tcPr>
          <w:p>
            <w:pPr>
              <w:spacing w:before="40" w:after="40"/>
            </w:pPr>
            <w:r>
              <w:rPr>
                <w:rFonts w:ascii="Calibri" w:hAnsi="Calibri"/>
                <w:sz w:val="20"/>
              </w:rPr>
              <w:t>80%</w:t>
            </w:r>
          </w:p>
        </w:tc>
        <w:tc>
          <w:tcPr>
            <w:tcW w:type="dxa" w:w="864"/>
            <w:shd w:val="clear" w:color="auto" w:fill="FFFFFF"/>
          </w:tcPr>
          <w:p>
            <w:pPr>
              <w:spacing w:before="40" w:after="40"/>
            </w:pPr>
            <w:r>
              <w:rPr>
                <w:rFonts w:ascii="Calibri" w:hAnsi="Calibri"/>
                <w:sz w:val="20"/>
              </w:rPr>
              <w:t>20%</w:t>
            </w:r>
          </w:p>
        </w:tc>
        <w:tc>
          <w:tcPr>
            <w:tcW w:type="dxa" w:w="1296"/>
            <w:shd w:val="clear" w:color="auto" w:fill="FFFFFF"/>
          </w:tcPr>
          <w:p>
            <w:pPr>
              <w:spacing w:before="40" w:after="40"/>
            </w:pPr>
            <w:r>
              <w:rPr>
                <w:rFonts w:ascii="Calibri" w:hAnsi="Calibri"/>
                <w:sz w:val="20"/>
              </w:rPr>
              <w:t>1.00x</w:t>
            </w:r>
          </w:p>
        </w:tc>
      </w:tr>
      <w:tr>
        <w:tc>
          <w:tcPr>
            <w:tcW w:type="dxa" w:w="2592"/>
            <w:shd w:val="clear" w:color="auto" w:fill="F2F2F2"/>
          </w:tcPr>
          <w:p>
            <w:pPr>
              <w:spacing w:before="40" w:after="40"/>
            </w:pPr>
            <w:r>
              <w:rPr>
                <w:rFonts w:ascii="Calibri" w:hAnsi="Calibri"/>
                <w:sz w:val="20"/>
              </w:rPr>
              <w:t>London Open Assault</w:t>
            </w:r>
          </w:p>
        </w:tc>
        <w:tc>
          <w:tcPr>
            <w:tcW w:type="dxa" w:w="1872"/>
            <w:shd w:val="clear" w:color="auto" w:fill="F2F2F2"/>
          </w:tcPr>
          <w:p>
            <w:pPr>
              <w:spacing w:before="40" w:after="40"/>
            </w:pPr>
            <w:r>
              <w:rPr>
                <w:rFonts w:ascii="Calibri" w:hAnsi="Calibri"/>
                <w:sz w:val="20"/>
              </w:rPr>
              <w:t>07:00-10:00</w:t>
            </w:r>
          </w:p>
        </w:tc>
        <w:tc>
          <w:tcPr>
            <w:tcW w:type="dxa" w:w="2592"/>
            <w:shd w:val="clear" w:color="auto" w:fill="F2F2F2"/>
          </w:tcPr>
          <w:p>
            <w:pPr>
              <w:spacing w:before="40" w:after="40"/>
            </w:pPr>
            <w:r>
              <w:rPr>
                <w:rFonts w:ascii="Calibri" w:hAnsi="Calibri"/>
                <w:sz w:val="20"/>
              </w:rPr>
              <w:t>Session Open Scalpers lead</w:t>
            </w:r>
          </w:p>
        </w:tc>
        <w:tc>
          <w:tcPr>
            <w:tcW w:type="dxa" w:w="2880"/>
            <w:shd w:val="clear" w:color="auto" w:fill="F2F2F2"/>
          </w:tcPr>
          <w:p>
            <w:pPr>
              <w:spacing w:before="40" w:after="40"/>
            </w:pPr>
            <w:r>
              <w:rPr>
                <w:rFonts w:ascii="Calibri" w:hAnsi="Calibri"/>
                <w:sz w:val="20"/>
              </w:rPr>
              <w:t>EUR/GBP pairs</w:t>
            </w:r>
          </w:p>
        </w:tc>
        <w:tc>
          <w:tcPr>
            <w:tcW w:type="dxa" w:w="1008"/>
            <w:shd w:val="clear" w:color="auto" w:fill="F2F2F2"/>
          </w:tcPr>
          <w:p>
            <w:pPr>
              <w:spacing w:before="40" w:after="40"/>
            </w:pPr>
            <w:r>
              <w:rPr>
                <w:rFonts w:ascii="Calibri" w:hAnsi="Calibri"/>
                <w:sz w:val="20"/>
              </w:rPr>
              <w:t>80%</w:t>
            </w:r>
          </w:p>
        </w:tc>
        <w:tc>
          <w:tcPr>
            <w:tcW w:type="dxa" w:w="864"/>
            <w:shd w:val="clear" w:color="auto" w:fill="F2F2F2"/>
          </w:tcPr>
          <w:p>
            <w:pPr>
              <w:spacing w:before="40" w:after="40"/>
            </w:pPr>
            <w:r>
              <w:rPr>
                <w:rFonts w:ascii="Calibri" w:hAnsi="Calibri"/>
                <w:sz w:val="20"/>
              </w:rPr>
              <w:t>20%</w:t>
            </w:r>
          </w:p>
        </w:tc>
        <w:tc>
          <w:tcPr>
            <w:tcW w:type="dxa" w:w="1296"/>
            <w:shd w:val="clear" w:color="auto" w:fill="F2F2F2"/>
          </w:tcPr>
          <w:p>
            <w:pPr>
              <w:spacing w:before="40" w:after="40"/>
            </w:pPr>
            <w:r>
              <w:rPr>
                <w:rFonts w:ascii="Calibri" w:hAnsi="Calibri"/>
                <w:sz w:val="20"/>
              </w:rPr>
              <w:t>1.00x</w:t>
            </w:r>
          </w:p>
        </w:tc>
      </w:tr>
      <w:tr>
        <w:tc>
          <w:tcPr>
            <w:tcW w:type="dxa" w:w="2592"/>
            <w:shd w:val="clear" w:color="auto" w:fill="FFFFFF"/>
          </w:tcPr>
          <w:p>
            <w:pPr>
              <w:spacing w:before="40" w:after="40"/>
            </w:pPr>
            <w:r>
              <w:rPr>
                <w:rFonts w:ascii="Calibri" w:hAnsi="Calibri"/>
                <w:sz w:val="20"/>
              </w:rPr>
              <w:t>Inter-session Cooldown</w:t>
            </w:r>
          </w:p>
        </w:tc>
        <w:tc>
          <w:tcPr>
            <w:tcW w:type="dxa" w:w="1872"/>
            <w:shd w:val="clear" w:color="auto" w:fill="FFFFFF"/>
          </w:tcPr>
          <w:p>
            <w:pPr>
              <w:spacing w:before="40" w:after="40"/>
            </w:pPr>
            <w:r>
              <w:rPr>
                <w:rFonts w:ascii="Calibri" w:hAnsi="Calibri"/>
                <w:sz w:val="20"/>
              </w:rPr>
              <w:t>10:00-13:00</w:t>
            </w:r>
          </w:p>
        </w:tc>
        <w:tc>
          <w:tcPr>
            <w:tcW w:type="dxa" w:w="2592"/>
            <w:shd w:val="clear" w:color="auto" w:fill="FFFFFF"/>
          </w:tcPr>
          <w:p>
            <w:pPr>
              <w:spacing w:before="40" w:after="40"/>
            </w:pPr>
            <w:r>
              <w:rPr>
                <w:rFonts w:ascii="Calibri" w:hAnsi="Calibri"/>
                <w:sz w:val="20"/>
              </w:rPr>
              <w:t>No trading - Eval only</w:t>
            </w:r>
          </w:p>
        </w:tc>
        <w:tc>
          <w:tcPr>
            <w:tcW w:type="dxa" w:w="2880"/>
            <w:shd w:val="clear" w:color="auto" w:fill="FFFFFF"/>
          </w:tcPr>
          <w:p>
            <w:pPr>
              <w:spacing w:before="40" w:after="40"/>
            </w:pPr>
            <w:r>
              <w:rPr>
                <w:rFonts w:ascii="Calibri" w:hAnsi="Calibri"/>
                <w:sz w:val="20"/>
              </w:rPr>
              <w:t>N/A</w:t>
            </w:r>
          </w:p>
        </w:tc>
        <w:tc>
          <w:tcPr>
            <w:tcW w:type="dxa" w:w="1008"/>
            <w:shd w:val="clear" w:color="auto" w:fill="FFFFFF"/>
          </w:tcPr>
          <w:p>
            <w:pPr>
              <w:spacing w:before="40" w:after="40"/>
            </w:pPr>
            <w:r>
              <w:rPr>
                <w:rFonts w:ascii="Calibri" w:hAnsi="Calibri"/>
                <w:sz w:val="20"/>
              </w:rPr>
              <w:t>N/A</w:t>
            </w:r>
          </w:p>
        </w:tc>
        <w:tc>
          <w:tcPr>
            <w:tcW w:type="dxa" w:w="864"/>
            <w:shd w:val="clear" w:color="auto" w:fill="FFFFFF"/>
          </w:tcPr>
          <w:p>
            <w:pPr>
              <w:spacing w:before="40" w:after="40"/>
            </w:pPr>
            <w:r>
              <w:rPr>
                <w:rFonts w:ascii="Calibri" w:hAnsi="Calibri"/>
                <w:sz w:val="20"/>
              </w:rPr>
              <w:t>N/A</w:t>
            </w:r>
          </w:p>
        </w:tc>
        <w:tc>
          <w:tcPr>
            <w:tcW w:type="dxa" w:w="1296"/>
            <w:shd w:val="clear" w:color="auto" w:fill="FFFFFF"/>
          </w:tcPr>
          <w:p>
            <w:pPr>
              <w:spacing w:before="40" w:after="40"/>
            </w:pPr>
            <w:r>
              <w:rPr>
                <w:rFonts w:ascii="Calibri" w:hAnsi="Calibri"/>
                <w:sz w:val="20"/>
              </w:rPr>
              <w:t>N/A</w:t>
            </w:r>
          </w:p>
        </w:tc>
      </w:tr>
      <w:tr>
        <w:tc>
          <w:tcPr>
            <w:tcW w:type="dxa" w:w="2592"/>
            <w:shd w:val="clear" w:color="auto" w:fill="F2F2F2"/>
          </w:tcPr>
          <w:p>
            <w:pPr>
              <w:spacing w:before="40" w:after="40"/>
            </w:pPr>
            <w:r>
              <w:rPr>
                <w:rFonts w:ascii="Calibri" w:hAnsi="Calibri"/>
                <w:sz w:val="20"/>
              </w:rPr>
              <w:t>London-NY Overlap (PREMIUM)</w:t>
            </w:r>
          </w:p>
        </w:tc>
        <w:tc>
          <w:tcPr>
            <w:tcW w:type="dxa" w:w="1872"/>
            <w:shd w:val="clear" w:color="auto" w:fill="F2F2F2"/>
          </w:tcPr>
          <w:p>
            <w:pPr>
              <w:spacing w:before="40" w:after="40"/>
            </w:pPr>
            <w:r>
              <w:rPr>
                <w:rFonts w:ascii="Calibri" w:hAnsi="Calibri"/>
                <w:sz w:val="20"/>
              </w:rPr>
              <w:t>13:00-16:00</w:t>
            </w:r>
          </w:p>
        </w:tc>
        <w:tc>
          <w:tcPr>
            <w:tcW w:type="dxa" w:w="2592"/>
            <w:shd w:val="clear" w:color="auto" w:fill="F2F2F2"/>
          </w:tcPr>
          <w:p>
            <w:pPr>
              <w:spacing w:before="40" w:after="40"/>
            </w:pPr>
            <w:r>
              <w:rPr>
                <w:rFonts w:ascii="Calibri" w:hAnsi="Calibri"/>
                <w:sz w:val="20"/>
              </w:rPr>
              <w:t>Max aggression + House Money</w:t>
            </w:r>
          </w:p>
        </w:tc>
        <w:tc>
          <w:tcPr>
            <w:tcW w:type="dxa" w:w="2880"/>
            <w:shd w:val="clear" w:color="auto" w:fill="F2F2F2"/>
          </w:tcPr>
          <w:p>
            <w:pPr>
              <w:spacing w:before="40" w:after="40"/>
            </w:pPr>
            <w:r>
              <w:rPr>
                <w:rFonts w:ascii="Calibri" w:hAnsi="Calibri"/>
                <w:sz w:val="20"/>
              </w:rPr>
              <w:t>All majors + Gold</w:t>
            </w:r>
          </w:p>
        </w:tc>
        <w:tc>
          <w:tcPr>
            <w:tcW w:type="dxa" w:w="1008"/>
            <w:shd w:val="clear" w:color="auto" w:fill="F2F2F2"/>
          </w:tcPr>
          <w:p>
            <w:pPr>
              <w:spacing w:before="40" w:after="40"/>
            </w:pPr>
            <w:r>
              <w:rPr>
                <w:rFonts w:ascii="Calibri" w:hAnsi="Calibri"/>
                <w:sz w:val="20"/>
              </w:rPr>
              <w:t>70%</w:t>
            </w:r>
          </w:p>
        </w:tc>
        <w:tc>
          <w:tcPr>
            <w:tcW w:type="dxa" w:w="864"/>
            <w:shd w:val="clear" w:color="auto" w:fill="F2F2F2"/>
          </w:tcPr>
          <w:p>
            <w:pPr>
              <w:spacing w:before="40" w:after="40"/>
            </w:pPr>
            <w:r>
              <w:rPr>
                <w:rFonts w:ascii="Calibri" w:hAnsi="Calibri"/>
                <w:sz w:val="20"/>
              </w:rPr>
              <w:t>30%</w:t>
            </w:r>
          </w:p>
        </w:tc>
        <w:tc>
          <w:tcPr>
            <w:tcW w:type="dxa" w:w="1296"/>
            <w:shd w:val="clear" w:color="auto" w:fill="F2F2F2"/>
          </w:tcPr>
          <w:p>
            <w:pPr>
              <w:spacing w:before="40" w:after="40"/>
            </w:pPr>
            <w:r>
              <w:rPr>
                <w:rFonts w:ascii="Calibri" w:hAnsi="Calibri"/>
                <w:sz w:val="20"/>
              </w:rPr>
              <w:t>1.00x</w:t>
            </w:r>
          </w:p>
        </w:tc>
      </w:tr>
      <w:tr>
        <w:tc>
          <w:tcPr>
            <w:tcW w:type="dxa" w:w="2592"/>
            <w:shd w:val="clear" w:color="auto" w:fill="FFFFFF"/>
          </w:tcPr>
          <w:p>
            <w:pPr>
              <w:spacing w:before="40" w:after="40"/>
            </w:pPr>
            <w:r>
              <w:rPr>
                <w:rFonts w:ascii="Calibri" w:hAnsi="Calibri"/>
                <w:sz w:val="20"/>
              </w:rPr>
              <w:t>NY Open Assault</w:t>
            </w:r>
          </w:p>
        </w:tc>
        <w:tc>
          <w:tcPr>
            <w:tcW w:type="dxa" w:w="1872"/>
            <w:shd w:val="clear" w:color="auto" w:fill="FFFFFF"/>
          </w:tcPr>
          <w:p>
            <w:pPr>
              <w:spacing w:before="40" w:after="40"/>
            </w:pPr>
            <w:r>
              <w:rPr>
                <w:rFonts w:ascii="Calibri" w:hAnsi="Calibri"/>
                <w:sz w:val="20"/>
              </w:rPr>
              <w:t>13:00-15:30</w:t>
            </w:r>
          </w:p>
        </w:tc>
        <w:tc>
          <w:tcPr>
            <w:tcW w:type="dxa" w:w="2592"/>
            <w:shd w:val="clear" w:color="auto" w:fill="FFFFFF"/>
          </w:tcPr>
          <w:p>
            <w:pPr>
              <w:spacing w:before="40" w:after="40"/>
            </w:pPr>
            <w:r>
              <w:rPr>
                <w:rFonts w:ascii="Calibri" w:hAnsi="Calibri"/>
                <w:sz w:val="20"/>
              </w:rPr>
              <w:t>NY Session Scalpers lead</w:t>
            </w:r>
          </w:p>
        </w:tc>
        <w:tc>
          <w:tcPr>
            <w:tcW w:type="dxa" w:w="2880"/>
            <w:shd w:val="clear" w:color="auto" w:fill="FFFFFF"/>
          </w:tcPr>
          <w:p>
            <w:pPr>
              <w:spacing w:before="40" w:after="40"/>
            </w:pPr>
            <w:r>
              <w:rPr>
                <w:rFonts w:ascii="Calibri" w:hAnsi="Calibri"/>
                <w:sz w:val="20"/>
              </w:rPr>
              <w:t>USD pairs, Gold</w:t>
            </w:r>
          </w:p>
        </w:tc>
        <w:tc>
          <w:tcPr>
            <w:tcW w:type="dxa" w:w="1008"/>
            <w:shd w:val="clear" w:color="auto" w:fill="FFFFFF"/>
          </w:tcPr>
          <w:p>
            <w:pPr>
              <w:spacing w:before="40" w:after="40"/>
            </w:pPr>
            <w:r>
              <w:rPr>
                <w:rFonts w:ascii="Calibri" w:hAnsi="Calibri"/>
                <w:sz w:val="20"/>
              </w:rPr>
              <w:t>75%</w:t>
            </w:r>
          </w:p>
        </w:tc>
        <w:tc>
          <w:tcPr>
            <w:tcW w:type="dxa" w:w="864"/>
            <w:shd w:val="clear" w:color="auto" w:fill="FFFFFF"/>
          </w:tcPr>
          <w:p>
            <w:pPr>
              <w:spacing w:before="40" w:after="40"/>
            </w:pPr>
            <w:r>
              <w:rPr>
                <w:rFonts w:ascii="Calibri" w:hAnsi="Calibri"/>
                <w:sz w:val="20"/>
              </w:rPr>
              <w:t>25%</w:t>
            </w:r>
          </w:p>
        </w:tc>
        <w:tc>
          <w:tcPr>
            <w:tcW w:type="dxa" w:w="1296"/>
            <w:shd w:val="clear" w:color="auto" w:fill="FFFFFF"/>
          </w:tcPr>
          <w:p>
            <w:pPr>
              <w:spacing w:before="40" w:after="40"/>
            </w:pPr>
            <w:r>
              <w:rPr>
                <w:rFonts w:ascii="Calibri" w:hAnsi="Calibri"/>
                <w:sz w:val="20"/>
              </w:rPr>
              <w:t>1.00x</w:t>
            </w:r>
          </w:p>
        </w:tc>
      </w:tr>
      <w:tr>
        <w:tc>
          <w:tcPr>
            <w:tcW w:type="dxa" w:w="2592"/>
            <w:shd w:val="clear" w:color="auto" w:fill="F2F2F2"/>
          </w:tcPr>
          <w:p>
            <w:pPr>
              <w:spacing w:before="40" w:after="40"/>
            </w:pPr>
            <w:r>
              <w:rPr>
                <w:rFonts w:ascii="Calibri" w:hAnsi="Calibri"/>
                <w:sz w:val="20"/>
              </w:rPr>
              <w:t>NY Wind-down</w:t>
            </w:r>
          </w:p>
        </w:tc>
        <w:tc>
          <w:tcPr>
            <w:tcW w:type="dxa" w:w="1872"/>
            <w:shd w:val="clear" w:color="auto" w:fill="F2F2F2"/>
          </w:tcPr>
          <w:p>
            <w:pPr>
              <w:spacing w:before="40" w:after="40"/>
            </w:pPr>
            <w:r>
              <w:rPr>
                <w:rFonts w:ascii="Calibri" w:hAnsi="Calibri"/>
                <w:sz w:val="20"/>
              </w:rPr>
              <w:t>15:30-16:00</w:t>
            </w:r>
          </w:p>
        </w:tc>
        <w:tc>
          <w:tcPr>
            <w:tcW w:type="dxa" w:w="2592"/>
            <w:shd w:val="clear" w:color="auto" w:fill="F2F2F2"/>
          </w:tcPr>
          <w:p>
            <w:pPr>
              <w:spacing w:before="40" w:after="40"/>
            </w:pPr>
            <w:r>
              <w:rPr>
                <w:rFonts w:ascii="Calibri" w:hAnsi="Calibri"/>
                <w:sz w:val="20"/>
              </w:rPr>
              <w:t>Exit only, no new entries</w:t>
            </w:r>
          </w:p>
        </w:tc>
        <w:tc>
          <w:tcPr>
            <w:tcW w:type="dxa" w:w="2880"/>
            <w:shd w:val="clear" w:color="auto" w:fill="F2F2F2"/>
          </w:tcPr>
          <w:p>
            <w:pPr>
              <w:spacing w:before="40" w:after="40"/>
            </w:pPr>
            <w:r>
              <w:rPr>
                <w:rFonts w:ascii="Calibri" w:hAnsi="Calibri"/>
                <w:sz w:val="20"/>
              </w:rPr>
              <w:t>N/A</w:t>
            </w:r>
          </w:p>
        </w:tc>
        <w:tc>
          <w:tcPr>
            <w:tcW w:type="dxa" w:w="1008"/>
            <w:shd w:val="clear" w:color="auto" w:fill="F2F2F2"/>
          </w:tcPr>
          <w:p>
            <w:pPr>
              <w:spacing w:before="40" w:after="40"/>
            </w:pPr>
            <w:r>
              <w:rPr>
                <w:rFonts w:ascii="Calibri" w:hAnsi="Calibri"/>
                <w:sz w:val="20"/>
              </w:rPr>
              <w:t>0%</w:t>
            </w:r>
          </w:p>
        </w:tc>
        <w:tc>
          <w:tcPr>
            <w:tcW w:type="dxa" w:w="864"/>
            <w:shd w:val="clear" w:color="auto" w:fill="F2F2F2"/>
          </w:tcPr>
          <w:p>
            <w:pPr>
              <w:spacing w:before="40" w:after="40"/>
            </w:pPr>
            <w:r>
              <w:rPr>
                <w:rFonts w:ascii="Calibri" w:hAnsi="Calibri"/>
                <w:sz w:val="20"/>
              </w:rPr>
              <w:t>0%</w:t>
            </w:r>
          </w:p>
        </w:tc>
        <w:tc>
          <w:tcPr>
            <w:tcW w:type="dxa" w:w="1296"/>
            <w:shd w:val="clear" w:color="auto" w:fill="F2F2F2"/>
          </w:tcPr>
          <w:p>
            <w:pPr>
              <w:spacing w:before="40" w:after="40"/>
            </w:pPr>
            <w:r>
              <w:rPr>
                <w:rFonts w:ascii="Calibri" w:hAnsi="Calibri"/>
                <w:sz w:val="20"/>
              </w:rPr>
              <w:t>N/A</w:t>
            </w:r>
          </w:p>
        </w:tc>
      </w:tr>
      <w:tr>
        <w:tc>
          <w:tcPr>
            <w:tcW w:type="dxa" w:w="2592"/>
            <w:shd w:val="clear" w:color="auto" w:fill="FFFFFF"/>
          </w:tcPr>
          <w:p>
            <w:pPr>
              <w:spacing w:before="40" w:after="40"/>
            </w:pPr>
            <w:r>
              <w:rPr>
                <w:rFonts w:ascii="Calibri" w:hAnsi="Calibri"/>
                <w:sz w:val="20"/>
              </w:rPr>
              <w:t>Dead Zone</w:t>
            </w:r>
          </w:p>
        </w:tc>
        <w:tc>
          <w:tcPr>
            <w:tcW w:type="dxa" w:w="1872"/>
            <w:shd w:val="clear" w:color="auto" w:fill="FFFFFF"/>
          </w:tcPr>
          <w:p>
            <w:pPr>
              <w:spacing w:before="40" w:after="40"/>
            </w:pPr>
            <w:r>
              <w:rPr>
                <w:rFonts w:ascii="Calibri" w:hAnsi="Calibri"/>
                <w:sz w:val="20"/>
              </w:rPr>
              <w:t>16:00-22:00</w:t>
            </w:r>
          </w:p>
        </w:tc>
        <w:tc>
          <w:tcPr>
            <w:tcW w:type="dxa" w:w="2592"/>
            <w:shd w:val="clear" w:color="auto" w:fill="FFFFFF"/>
          </w:tcPr>
          <w:p>
            <w:pPr>
              <w:spacing w:before="40" w:after="40"/>
            </w:pPr>
            <w:r>
              <w:rPr>
                <w:rFonts w:ascii="Calibri" w:hAnsi="Calibri"/>
                <w:sz w:val="20"/>
              </w:rPr>
              <w:t>Agentic only - no trading</w:t>
            </w:r>
          </w:p>
        </w:tc>
        <w:tc>
          <w:tcPr>
            <w:tcW w:type="dxa" w:w="2880"/>
            <w:shd w:val="clear" w:color="auto" w:fill="FFFFFF"/>
          </w:tcPr>
          <w:p>
            <w:pPr>
              <w:spacing w:before="40" w:after="40"/>
            </w:pPr>
            <w:r>
              <w:rPr>
                <w:rFonts w:ascii="Calibri" w:hAnsi="Calibri"/>
                <w:sz w:val="20"/>
              </w:rPr>
              <w:t>N/A</w:t>
            </w:r>
          </w:p>
        </w:tc>
        <w:tc>
          <w:tcPr>
            <w:tcW w:type="dxa" w:w="1008"/>
            <w:shd w:val="clear" w:color="auto" w:fill="FFFFFF"/>
          </w:tcPr>
          <w:p>
            <w:pPr>
              <w:spacing w:before="40" w:after="40"/>
            </w:pPr>
            <w:r>
              <w:rPr>
                <w:rFonts w:ascii="Calibri" w:hAnsi="Calibri"/>
                <w:sz w:val="20"/>
              </w:rPr>
              <w:t>N/A</w:t>
            </w:r>
          </w:p>
        </w:tc>
        <w:tc>
          <w:tcPr>
            <w:tcW w:type="dxa" w:w="864"/>
            <w:shd w:val="clear" w:color="auto" w:fill="FFFFFF"/>
          </w:tcPr>
          <w:p>
            <w:pPr>
              <w:spacing w:before="40" w:after="40"/>
            </w:pPr>
            <w:r>
              <w:rPr>
                <w:rFonts w:ascii="Calibri" w:hAnsi="Calibri"/>
                <w:sz w:val="20"/>
              </w:rPr>
              <w:t>N/A</w:t>
            </w:r>
          </w:p>
        </w:tc>
        <w:tc>
          <w:tcPr>
            <w:tcW w:type="dxa" w:w="1296"/>
            <w:shd w:val="clear" w:color="auto" w:fill="FFFFFF"/>
          </w:tcPr>
          <w:p>
            <w:pPr>
              <w:spacing w:before="40" w:after="40"/>
            </w:pPr>
            <w:r>
              <w:rPr>
                <w:rFonts w:ascii="Calibri" w:hAnsi="Calibri"/>
                <w:sz w:val="20"/>
              </w:rPr>
              <w:t>N/A</w:t>
            </w:r>
          </w:p>
        </w:tc>
      </w:tr>
    </w:tbl>
    <w:p/>
    <w:p>
      <w:pPr>
        <w:spacing w:before="120" w:after="120"/>
        <w:ind w:left="360"/>
        <w:shd w:val="clear" w:color="auto" w:fill="FFF2CC"/>
      </w:pPr>
      <w:r>
        <w:rPr>
          <w:rFonts w:ascii="Calibri" w:hAnsi="Calibri"/>
          <w:b/>
          <w:color w:val="C55A11"/>
          <w:sz w:val="21"/>
        </w:rPr>
        <w:t xml:space="preserve">NOTE: </w:t>
      </w:r>
      <w:r>
        <w:rPr>
          <w:rFonts w:ascii="Calibri" w:hAnsi="Calibri"/>
          <w:sz w:val="21"/>
        </w:rPr>
        <w:t>The Tokyo-London Overlap (07:00-09:00 GMT) is embedded within the London Open Assault window. When London opens, Tokyo is still running. JPY crosses (GBPJPY, EURJPY) are at peak volatility because both institutional populations are simultaneously active. Session Open Scalpers deployed during this overlap see the highest momentum of the day. This window is treated as PREMIUM even though it is not the London-NY overlap.</w:t>
      </w:r>
    </w:p>
    <w:p>
      <w:pPr>
        <w:spacing w:before="200" w:after="60"/>
      </w:pPr>
      <w:r>
        <w:rPr>
          <w:rFonts w:ascii="Calibri" w:hAnsi="Calibri"/>
          <w:b/>
          <w:color w:val="2E75B6"/>
          <w:sz w:val="22"/>
        </w:rPr>
        <w:t>S3-4.3  ORB Session Allocation Logic</w:t>
      </w:r>
    </w:p>
    <w:p>
      <w:pPr>
        <w:spacing w:before="40" w:after="80"/>
      </w:pPr>
      <w:r>
        <w:rPr>
          <w:rFonts w:ascii="Calibri" w:hAnsi="Calibri"/>
          <w:sz w:val="21"/>
        </w:rPr>
        <w:t>ORB (Opening Range Breakout) bots are session-masked. Each ORB variant is tagged with the session whose opening range it trades. ORB bots tagged for London Open trade the 07:00-07:30 range establishment, then watch for breakout. They are session-masked OFF by 11:00 GMT. ORB bots tagged for NY Open trade the 13:00-13:30 range, session-masked OFF by 17:00 GMT. ORB bots tagged for Tokyo Open trade the 00:00-00:30 range. In the London-NY premium overlap, ONLY NY ORB variants run (their range is establishing). London ORBs do NOT run in the afternoon. Scalpers dominate the premium window.</w:t>
      </w:r>
    </w:p>
    <w:p>
      <w:pPr>
        <w:spacing w:before="200" w:after="60"/>
      </w:pPr>
      <w:r>
        <w:rPr>
          <w:rFonts w:ascii="Calibri" w:hAnsi="Calibri"/>
          <w:b/>
          <w:color w:val="2E75B6"/>
          <w:sz w:val="22"/>
        </w:rPr>
        <w:t>S3-4.4  ORB in Asian Session — Special Allocation</w:t>
      </w:r>
    </w:p>
    <w:p>
      <w:pPr>
        <w:spacing w:before="40" w:after="80"/>
      </w:pPr>
      <w:r>
        <w:rPr>
          <w:rFonts w:ascii="Calibri" w:hAnsi="Calibri"/>
          <w:sz w:val="21"/>
        </w:rPr>
        <w:t>The Sydney Open (22:00-00:00 GMT) has low liquidity but clean directional movement. This is ORB-dominant territory because low volume = less noise = cleaner breakout signals. During Sydney Open, ORB bots are given 70% of the concurrent slot allocation. Capital allocation during Asian session remains at the same Kelly fraction as other sessions — house money threshold is NOT lowered for Asian sessions. The system does not increase aggression during low-liquidity windows.</w:t>
      </w:r>
    </w:p>
    <w:p>
      <w:pPr>
        <w:spacing w:before="200" w:after="60"/>
      </w:pPr>
      <w:r>
        <w:rPr>
          <w:rFonts w:ascii="Calibri" w:hAnsi="Calibri"/>
          <w:b/>
          <w:color w:val="2E75B6"/>
          <w:sz w:val="22"/>
        </w:rPr>
        <w:t>S3-4.5  News Kill Switch Integration (CRITICAL)</w:t>
      </w:r>
    </w:p>
    <w:p>
      <w:pPr>
        <w:spacing w:before="40" w:after="80"/>
      </w:pPr>
      <w:r>
        <w:rPr>
          <w:rFonts w:ascii="Calibri" w:hAnsi="Calibri"/>
          <w:sz w:val="21"/>
        </w:rPr>
        <w:t>Since the system now operates 24/7 across all sessions, the economic calendar news blackout must be integrated into EVERY session template. This was previously documented for London/NY sessions only. The rule now applies globally.</w:t>
      </w:r>
    </w:p>
    <w:p>
      <w:pPr>
        <w:pStyle w:val="ListBullet"/>
        <w:spacing w:before="20" w:after="40"/>
        <w:ind w:left="360"/>
      </w:pPr>
      <w:r>
        <w:rPr>
          <w:rFonts w:ascii="Calibri" w:hAnsi="Calibri"/>
          <w:sz w:val="21"/>
        </w:rPr>
        <w:t>Every session template checks the economic calendar before clearing any bot to trade.</w:t>
      </w:r>
    </w:p>
    <w:p>
      <w:pPr>
        <w:pStyle w:val="ListBullet"/>
        <w:spacing w:before="20" w:after="40"/>
        <w:ind w:left="360"/>
      </w:pPr>
      <w:r>
        <w:rPr>
          <w:rFonts w:ascii="Calibri" w:hAnsi="Calibri"/>
          <w:sz w:val="21"/>
        </w:rPr>
        <w:t>HIGH-IMPACT news events trigger a blackout window for the affected instrument pair: T-5 minutes before release to T+3 minutes after. No entries. Running trades are not force-closed but no new entries permitted.</w:t>
      </w:r>
    </w:p>
    <w:p>
      <w:pPr>
        <w:pStyle w:val="ListBullet"/>
        <w:spacing w:before="20" w:after="40"/>
        <w:ind w:left="360"/>
      </w:pPr>
      <w:r>
        <w:rPr>
          <w:rFonts w:ascii="Calibri" w:hAnsi="Calibri"/>
          <w:sz w:val="21"/>
        </w:rPr>
        <w:t>MEDIUM-IMPACT news: T-2 minutes to T+1 minute blackout.</w:t>
      </w:r>
    </w:p>
    <w:p>
      <w:pPr>
        <w:pStyle w:val="ListBullet"/>
        <w:spacing w:before="20" w:after="40"/>
        <w:ind w:left="360"/>
      </w:pPr>
      <w:r>
        <w:rPr>
          <w:rFonts w:ascii="Calibri" w:hAnsi="Calibri"/>
          <w:sz w:val="21"/>
        </w:rPr>
        <w:t>The SQS filter already partially handles this via spread spiking detection. The news calendar check is an additional explicit gate, not a replacement for SQS.</w:t>
      </w:r>
    </w:p>
    <w:p>
      <w:pPr>
        <w:pStyle w:val="ListBullet"/>
        <w:spacing w:before="20" w:after="40"/>
        <w:ind w:left="360"/>
      </w:pPr>
      <w:r>
        <w:rPr>
          <w:rFonts w:ascii="Calibri" w:hAnsi="Calibri"/>
          <w:sz w:val="21"/>
        </w:rPr>
        <w:t>News blackout applies even during Asian session. BOJ announcements, RBA decisions, RBNZ decisions all qualify as high-impact for their respective pair sessions.</w:t>
      </w:r>
    </w:p>
    <w:p>
      <w:pPr>
        <w:spacing w:before="120" w:after="120"/>
        <w:ind w:left="360"/>
        <w:shd w:val="clear" w:color="auto" w:fill="FFF2CC"/>
      </w:pPr>
      <w:r>
        <w:rPr>
          <w:rFonts w:ascii="Calibri" w:hAnsi="Calibri"/>
          <w:b/>
          <w:color w:val="C55A11"/>
          <w:sz w:val="21"/>
        </w:rPr>
        <w:t xml:space="preserve">NOTE: </w:t>
      </w:r>
      <w:r>
        <w:rPr>
          <w:rFonts w:ascii="Calibri" w:hAnsi="Calibri"/>
          <w:sz w:val="21"/>
        </w:rPr>
        <w:t>Coding agent: the economic calendar integration must be a shared service (similar to SVSS) that all session templates query. It should not be duplicated per session. One calendar service, queried by all.</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S3-5. Dead Zone Operations and Workflow 3 (Performance Intelligence)</w:t>
      </w:r>
    </w:p>
    <w:p>
      <w:pPr>
        <w:spacing w:before="200" w:after="60"/>
      </w:pPr>
      <w:r>
        <w:rPr>
          <w:rFonts w:ascii="Calibri" w:hAnsi="Calibri"/>
          <w:b/>
          <w:color w:val="2E75B6"/>
          <w:sz w:val="22"/>
        </w:rPr>
        <w:t>S3-5.1  Dead Zone Definition</w:t>
      </w:r>
    </w:p>
    <w:p>
      <w:pPr>
        <w:spacing w:before="40" w:after="80"/>
      </w:pPr>
      <w:r>
        <w:rPr>
          <w:rFonts w:ascii="Calibri" w:hAnsi="Calibri"/>
          <w:sz w:val="21"/>
        </w:rPr>
        <w:t>The Dead Zone is 16:00-22:00 GMT daily (6 hours). No new trading entries occur. All scalping positions must have been closed by the Tilt at 16:00 GMT. This window is the system's intelligence and analysis period. The Trading Journal is already being written to during live trading — the Dead Zone reads it, it does not write to it.</w:t>
      </w:r>
    </w:p>
    <w:p>
      <w:pPr>
        <w:spacing w:before="200" w:after="60"/>
      </w:pPr>
      <w:r>
        <w:rPr>
          <w:rFonts w:ascii="Calibri" w:hAnsi="Calibri"/>
          <w:b/>
          <w:color w:val="2E75B6"/>
          <w:sz w:val="22"/>
        </w:rPr>
        <w:t>S3-5.2  Workflow 3 — Performance Intelligence (Agent-Driven)</w:t>
      </w:r>
    </w:p>
    <w:p>
      <w:pPr>
        <w:spacing w:before="40" w:after="80"/>
      </w:pPr>
      <w:r>
        <w:rPr>
          <w:rFonts w:ascii="Calibri" w:hAnsi="Calibri"/>
          <w:sz w:val="21"/>
        </w:rPr>
        <w:t>DEFINITION: A Workflow in this system is any process that involves agents. If a process only involves system components executing automated logic, it is a system process, not a workflow. Workflow 3 is agent-driven because it requires intelligence synthesis, not just data aggregation.</w:t>
      </w:r>
    </w:p>
    <w:p>
      <w:pPr>
        <w:spacing w:before="40" w:after="80"/>
      </w:pPr>
      <w:r>
        <w:rPr>
          <w:rFonts w:ascii="Calibri" w:hAnsi="Calibri"/>
          <w:sz w:val="21"/>
        </w:rPr>
        <w:t>Workflow 3 runs during the Dead Zone every weekday. Steps:</w:t>
      </w:r>
    </w:p>
    <w:p>
      <w:pPr>
        <w:pStyle w:val="ListBullet"/>
        <w:spacing w:before="20" w:after="40"/>
        <w:ind w:left="360"/>
      </w:pPr>
      <w:r>
        <w:rPr>
          <w:rFonts w:ascii="Calibri" w:hAnsi="Calibri"/>
          <w:b/>
          <w:sz w:val="21"/>
        </w:rPr>
        <w:t xml:space="preserve">16:15 GMT: </w:t>
      </w:r>
      <w:r>
        <w:rPr>
          <w:rFonts w:ascii="Calibri" w:hAnsi="Calibri"/>
          <w:sz w:val="21"/>
        </w:rPr>
        <w:t>STEP 1 — EOD Report Generation: Trading Department agent reads the Trading Journal for the day. Produces a structured daily report: total trades, wins, losses, session-by-session breakdown, circuit breaker events, force-close events by reason code, net PnL, max drawdown, best performer, worst performer. Format mirrors a portfolio manager's end-of-day brief.</w:t>
      </w:r>
    </w:p>
    <w:p>
      <w:pPr>
        <w:pStyle w:val="ListBullet"/>
        <w:spacing w:before="20" w:after="40"/>
        <w:ind w:left="360"/>
      </w:pPr>
      <w:r>
        <w:rPr>
          <w:rFonts w:ascii="Calibri" w:hAnsi="Calibri"/>
          <w:b/>
          <w:sz w:val="21"/>
        </w:rPr>
        <w:t xml:space="preserve">16:45 GMT: </w:t>
      </w:r>
      <w:r>
        <w:rPr>
          <w:rFonts w:ascii="Calibri" w:hAnsi="Calibri"/>
          <w:sz w:val="21"/>
        </w:rPr>
        <w:t>STEP 2 — Session-Based Performer Identification: Agent analyses performance by session window. Identifies bots that consistently outperform in specific sessions but underperform globally. Tags these bots as SESSION_SPECIALIST for their strong session. This tag elevates the bot to Tier 1 in its specialist session regardless of overall DPR composite score.</w:t>
      </w:r>
    </w:p>
    <w:p>
      <w:pPr>
        <w:pStyle w:val="ListBullet"/>
        <w:spacing w:before="20" w:after="40"/>
        <w:ind w:left="360"/>
      </w:pPr>
      <w:r>
        <w:rPr>
          <w:rFonts w:ascii="Calibri" w:hAnsi="Calibri"/>
          <w:b/>
          <w:sz w:val="21"/>
        </w:rPr>
        <w:t xml:space="preserve">17:00 GMT: </w:t>
      </w:r>
      <w:r>
        <w:rPr>
          <w:rFonts w:ascii="Calibri" w:hAnsi="Calibri"/>
          <w:sz w:val="21"/>
        </w:rPr>
        <w:t>STEP 3 — DPR Score Update: System component (not agent) recalculates composite DPR scores for all bots based on the day's data. DPR score components: session win rate (25%), net PnL (30%), consistency score (equity curve smoothness, 20%), expected value per trade (25%). SESSION_SPECIALIST bots receive a tier override in their tagged session.</w:t>
      </w:r>
    </w:p>
    <w:p>
      <w:pPr>
        <w:pStyle w:val="ListBullet"/>
        <w:spacing w:before="20" w:after="40"/>
        <w:ind w:left="360"/>
      </w:pPr>
      <w:r>
        <w:rPr>
          <w:rFonts w:ascii="Calibri" w:hAnsi="Calibri"/>
          <w:b/>
          <w:sz w:val="21"/>
        </w:rPr>
        <w:t xml:space="preserve">17:30 GMT: </w:t>
      </w:r>
      <w:r>
        <w:rPr>
          <w:rFonts w:ascii="Calibri" w:hAnsi="Calibri"/>
          <w:sz w:val="21"/>
        </w:rPr>
        <w:t>STEP 4 — Queue Re-ranking: System component re-orders the bot queue for tomorrow's sessions using updated DPR scores and SESSION_SPECIALIST tags.</w:t>
      </w:r>
    </w:p>
    <w:p>
      <w:pPr>
        <w:pStyle w:val="ListBullet"/>
        <w:spacing w:before="20" w:after="40"/>
        <w:ind w:left="360"/>
      </w:pPr>
      <w:r>
        <w:rPr>
          <w:rFonts w:ascii="Calibri" w:hAnsi="Calibri"/>
          <w:b/>
          <w:sz w:val="21"/>
        </w:rPr>
        <w:t xml:space="preserve">18:00 GMT: </w:t>
      </w:r>
      <w:r>
        <w:rPr>
          <w:rFonts w:ascii="Calibri" w:hAnsi="Calibri"/>
          <w:sz w:val="21"/>
        </w:rPr>
        <w:t>STEP 5 — Fortnight Data Accumulation: Agent appends the daily report to the 14-day rolling intelligence file. When 14 days of data are accumulated, this file becomes the input to Workflow 4 (Weekend Update Cycle).</w:t>
      </w:r>
    </w:p>
    <w:p>
      <w:pPr>
        <w:spacing w:before="120" w:after="120"/>
        <w:ind w:left="360"/>
        <w:shd w:val="clear" w:color="auto" w:fill="FFF2CC"/>
      </w:pPr>
      <w:r>
        <w:rPr>
          <w:rFonts w:ascii="Calibri" w:hAnsi="Calibri"/>
          <w:b/>
          <w:color w:val="C55A11"/>
          <w:sz w:val="21"/>
        </w:rPr>
        <w:t xml:space="preserve">NOTE: </w:t>
      </w:r>
      <w:r>
        <w:rPr>
          <w:rFonts w:ascii="Calibri" w:hAnsi="Calibri"/>
          <w:sz w:val="21"/>
        </w:rPr>
        <w:t>Bots are NOT updated during weekdays or during any active session. The Dead Zone collects and ranks — it does not modify strategy parameters or code. All bot updates happen on weekends only via Workflow 4. This is a hard rule to prevent unstable mid-week changes to a live system.</w:t>
      </w:r>
    </w:p>
    <w:p>
      <w:pPr>
        <w:spacing w:before="200" w:after="60"/>
      </w:pPr>
      <w:r>
        <w:rPr>
          <w:rFonts w:ascii="Calibri" w:hAnsi="Calibri"/>
          <w:b/>
          <w:color w:val="2E75B6"/>
          <w:sz w:val="22"/>
        </w:rPr>
        <w:t>S3-5.3  Session-Based Performer Tagging — Game Theory Element</w:t>
      </w:r>
    </w:p>
    <w:p>
      <w:pPr>
        <w:spacing w:before="40" w:after="80"/>
      </w:pPr>
      <w:r>
        <w:rPr>
          <w:rFonts w:ascii="Calibri" w:hAnsi="Calibri"/>
          <w:sz w:val="21"/>
        </w:rPr>
        <w:t>A bot may have an average overall DPR score but be the best-performing bot during a specific session. For example: a bot that underperforms in the afternoon NY session but consistently tops the London Open Assault leaderboard. This bot is tagged SESSION_SPECIALIST:LONDON_OPEN. During London Open Assault, it is always in Tier 1 regardless of composite DPR. This is a game theory concept: play your strengths, limit trade-offs.</w:t>
      </w:r>
    </w:p>
    <w:p>
      <w:pPr>
        <w:spacing w:before="40" w:after="80"/>
      </w:pPr>
      <w:r>
        <w:rPr>
          <w:rFonts w:ascii="Calibri" w:hAnsi="Calibri"/>
          <w:sz w:val="21"/>
        </w:rPr>
        <w:t>SESSION_SPECIALIST tag logic:</w:t>
      </w:r>
    </w:p>
    <w:p>
      <w:pPr>
        <w:pStyle w:val="ListBullet"/>
        <w:spacing w:before="20" w:after="40"/>
        <w:ind w:left="360"/>
      </w:pPr>
      <w:r>
        <w:rPr>
          <w:rFonts w:ascii="Calibri" w:hAnsi="Calibri"/>
          <w:sz w:val="21"/>
        </w:rPr>
        <w:t>Minimum 5 days of session-specific data required before tagging.</w:t>
      </w:r>
    </w:p>
    <w:p>
      <w:pPr>
        <w:pStyle w:val="ListBullet"/>
        <w:spacing w:before="20" w:after="40"/>
        <w:ind w:left="360"/>
      </w:pPr>
      <w:r>
        <w:rPr>
          <w:rFonts w:ascii="Calibri" w:hAnsi="Calibri"/>
          <w:sz w:val="21"/>
        </w:rPr>
        <w:t>Bot must rank in the top 20% for session win rate AND top 20% for session net PnL for that specific session.</w:t>
      </w:r>
    </w:p>
    <w:p>
      <w:pPr>
        <w:pStyle w:val="ListBullet"/>
        <w:spacing w:before="20" w:after="40"/>
        <w:ind w:left="360"/>
      </w:pPr>
      <w:r>
        <w:rPr>
          <w:rFonts w:ascii="Calibri" w:hAnsi="Calibri"/>
          <w:sz w:val="21"/>
        </w:rPr>
        <w:t>Tag persists until the bot underperforms in its specialist session for 3 consecutive days.</w:t>
      </w:r>
    </w:p>
    <w:p>
      <w:pPr>
        <w:pStyle w:val="ListBullet"/>
        <w:spacing w:before="20" w:after="40"/>
        <w:ind w:left="360"/>
      </w:pPr>
      <w:r>
        <w:rPr>
          <w:rFonts w:ascii="Calibri" w:hAnsi="Calibri"/>
          <w:sz w:val="21"/>
        </w:rPr>
        <w:t>A bot can hold multiple SESSION_SPECIALIST tags (e.g., LONDON_OPEN and NY_OPEN).</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S3-6. Survivorship Selection Loop (SSL) — Corrected Architecture</w:t>
      </w:r>
    </w:p>
    <w:p>
      <w:pPr>
        <w:spacing w:before="200" w:after="60"/>
      </w:pPr>
      <w:r>
        <w:rPr>
          <w:rFonts w:ascii="Calibri" w:hAnsi="Calibri"/>
          <w:b/>
          <w:color w:val="2E75B6"/>
          <w:sz w:val="22"/>
        </w:rPr>
        <w:t>S3-6.1  Correct Language and Framing</w:t>
      </w:r>
    </w:p>
    <w:p>
      <w:pPr>
        <w:spacing w:before="40" w:after="80"/>
      </w:pPr>
      <w:r>
        <w:rPr>
          <w:rFonts w:ascii="Calibri" w:hAnsi="Calibri"/>
          <w:sz w:val="21"/>
        </w:rPr>
        <w:t>CRITICAL LANGUAGE NOTE FOR CODING AGENT: Do NOT use the phrase 'promoted to live' anywhere in the codebase for this mechanism. The correct language is 'cleared to trade' or 'given market access'. A bot does not change its operational state — it has always been built for live execution. It simply receives a queue window to trade. This distinction matters because 'promoted to live' implies a state change that would conflict with the AlphaForge paper-to-live gate (which is a separate, one-time, manually confirmed promotion).</w:t>
      </w:r>
    </w:p>
    <w:p>
      <w:pPr>
        <w:spacing w:before="200" w:after="60"/>
      </w:pPr>
      <w:r>
        <w:rPr>
          <w:rFonts w:ascii="Calibri" w:hAnsi="Calibri"/>
          <w:b/>
          <w:color w:val="2E75B6"/>
          <w:sz w:val="22"/>
        </w:rPr>
        <w:t>S3-6.2  SSL Flow</w:t>
      </w:r>
    </w:p>
    <w:p>
      <w:pPr>
        <w:spacing w:before="40" w:after="80"/>
      </w:pPr>
      <w:r>
        <w:rPr>
          <w:rFonts w:ascii="Calibri" w:hAnsi="Calibri"/>
          <w:sz w:val="21"/>
        </w:rPr>
        <w:t>The Survivorship Selection Loop is the daily rotation mechanism. It is automatic.</w:t>
      </w:r>
    </w:p>
    <w:p>
      <w:pPr>
        <w:spacing w:before="20" w:after="20"/>
        <w:ind w:left="432"/>
        <w:shd w:val="clear" w:color="auto" w:fill="F2F2F2"/>
      </w:pPr>
      <w:r>
        <w:rPr>
          <w:rFonts w:ascii="Courier New" w:hAnsi="Courier New"/>
          <w:sz w:val="18"/>
        </w:rPr>
        <w:t>Bot loses 2 consecutive trades (personal book threshold)</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Circuit breaker fires → Bot enters Paper/Demo rotation</w:t>
      </w:r>
    </w:p>
    <w:p>
      <w:pPr>
        <w:spacing w:before="20" w:after="20"/>
        <w:ind w:left="432"/>
        <w:shd w:val="clear" w:color="auto" w:fill="F2F2F2"/>
      </w:pPr>
      <w:r>
        <w:rPr>
          <w:rFonts w:ascii="Courier New" w:hAnsi="Courier New"/>
          <w:sz w:val="18"/>
        </w:rPr>
        <w:t>(Circuit breaker in paper trading = LOG ONLY, no quarantine effect)</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Live queue slot opens → Next ranked bot in DPR queue is CLEARED TO TRADE</w:t>
      </w:r>
    </w:p>
    <w:p>
      <w:pPr>
        <w:spacing w:before="20" w:after="20"/>
        <w:ind w:left="432"/>
        <w:shd w:val="clear" w:color="auto" w:fill="F2F2F2"/>
      </w:pPr>
      <w:r>
        <w:rPr>
          <w:rFonts w:ascii="Courier New" w:hAnsi="Courier New"/>
          <w:sz w:val="18"/>
        </w:rPr>
        <w:t>(It was always built for live — it simply receives its queue window)</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Dedicated monitoring sub-agent (Trading Department) tracks paper rotation performance</w:t>
      </w:r>
    </w:p>
    <w:p>
      <w:pPr>
        <w:spacing w:before="20" w:after="20"/>
        <w:ind w:left="432"/>
        <w:shd w:val="clear" w:color="auto" w:fill="F2F2F2"/>
      </w:pPr>
      <w:r>
        <w:rPr>
          <w:rFonts w:ascii="Courier New" w:hAnsi="Courier New"/>
          <w:sz w:val="18"/>
        </w:rPr>
        <w:t>Paper trading uses IDENTICAL system components as live trading — same Kelly, same SQS,</w:t>
      </w:r>
    </w:p>
    <w:p>
      <w:pPr>
        <w:spacing w:before="20" w:after="20"/>
        <w:ind w:left="432"/>
        <w:shd w:val="clear" w:color="auto" w:fill="F2F2F2"/>
      </w:pPr>
      <w:r>
        <w:rPr>
          <w:rFonts w:ascii="Courier New" w:hAnsi="Courier New"/>
          <w:sz w:val="18"/>
        </w:rPr>
        <w:t>same Sentinel gate, same session masks. ONLY difference = virtual capital, no real orders.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End of session: ALL bots scored by DPR (system component, not agent)</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Tomorrow's queue order = today's DPR composite scores + SESSION_SPECIALIST tag overrides</w:t>
      </w:r>
    </w:p>
    <w:p>
      <w:pPr>
        <w:spacing w:before="20" w:after="20"/>
        <w:ind w:left="432"/>
        <w:shd w:val="clear" w:color="auto" w:fill="F2F2F2"/>
      </w:pPr>
      <w:r>
        <w:rPr>
          <w:rFonts w:ascii="Courier New" w:hAnsi="Courier New"/>
          <w:sz w:val="18"/>
        </w:rPr>
        <w:t>Best performer today → front of queue tomorrow</w:t>
      </w:r>
    </w:p>
    <w:p>
      <w:pPr>
        <w:spacing w:before="20" w:after="20"/>
        <w:ind w:left="432"/>
        <w:shd w:val="clear" w:color="auto" w:fill="F2F2F2"/>
      </w:pPr>
      <w:r>
        <w:rPr>
          <w:rFonts w:ascii="Courier New" w:hAnsi="Courier New"/>
          <w:sz w:val="18"/>
        </w:rPr>
        <w:t>Quarantined bots in paper: their paper performance feeds DPR score but does NOT gate re-entry</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Weekend: Workflow 4 reviews fortnight data, decides parameter updates for consistently poor bots</w:t>
      </w:r>
    </w:p>
    <w:p>
      <w:pPr>
        <w:spacing w:before="200" w:after="60"/>
      </w:pPr>
      <w:r>
        <w:rPr>
          <w:rFonts w:ascii="Calibri" w:hAnsi="Calibri"/>
          <w:b/>
          <w:color w:val="2E75B6"/>
          <w:sz w:val="22"/>
        </w:rPr>
        <w:t>S3-6.3  Paper Trading Is Intelligence, Not a Gate</w:t>
      </w:r>
    </w:p>
    <w:p>
      <w:pPr>
        <w:spacing w:before="40" w:after="80"/>
      </w:pPr>
      <w:r>
        <w:rPr>
          <w:rFonts w:ascii="Calibri" w:hAnsi="Calibri"/>
          <w:sz w:val="21"/>
        </w:rPr>
        <w:t>A bot in paper trading is not being 're-evaluated for permission to return to live'. It was already fully validated before its first live trade (AlphaForge Workflow 1 → Workflow 2 → initial paper gate → manual one-time promotion). A quarantine event is market condition feedback, not a performance failure requiring re-certification. The paper trading data from a quarantined bot is valuable intelligence: if a bot continues to hit circuit breaker events even in paper trading (where the circuit breaker is logged not enforced), that is a strong negative signal for the DPR score and flags the bot for the fortnightly Workflow 4 improvement cycle.</w:t>
      </w:r>
    </w:p>
    <w:p>
      <w:pPr>
        <w:spacing w:before="200" w:after="60"/>
      </w:pPr>
      <w:r>
        <w:rPr>
          <w:rFonts w:ascii="Calibri" w:hAnsi="Calibri"/>
          <w:b/>
          <w:color w:val="2E75B6"/>
          <w:sz w:val="22"/>
        </w:rPr>
        <w:t>S3-6.4  Paper Trading Tiers</w:t>
      </w:r>
    </w:p>
    <w:p>
      <w:pPr>
        <w:spacing w:before="40" w:after="80"/>
      </w:pPr>
      <w:r>
        <w:rPr>
          <w:rFonts w:ascii="Calibri" w:hAnsi="Calibri"/>
          <w:sz w:val="21"/>
        </w:rPr>
        <w:t>The paper trading environment contains two populations:</w:t>
      </w:r>
    </w:p>
    <w:p>
      <w:pPr>
        <w:pStyle w:val="ListBullet"/>
        <w:spacing w:before="20" w:after="40"/>
        <w:ind w:left="360"/>
      </w:pPr>
      <w:r>
        <w:rPr>
          <w:rFonts w:ascii="Calibri" w:hAnsi="Calibri"/>
          <w:b/>
          <w:sz w:val="21"/>
        </w:rPr>
        <w:t xml:space="preserve">Tier 1: </w:t>
      </w:r>
      <w:r>
        <w:rPr>
          <w:rFonts w:ascii="Calibri" w:hAnsi="Calibri"/>
          <w:sz w:val="21"/>
        </w:rPr>
        <w:t>TIER 1 PAPER — Bots quarantined from live trading. These were previously validated and running live. They are temporarily rotating out. Their paper performance is held to a higher standard because they have a live history to compare against.</w:t>
      </w:r>
    </w:p>
    <w:p>
      <w:pPr>
        <w:pStyle w:val="ListBullet"/>
        <w:spacing w:before="20" w:after="40"/>
        <w:ind w:left="360"/>
      </w:pPr>
      <w:r>
        <w:rPr>
          <w:rFonts w:ascii="Calibri" w:hAnsi="Calibri"/>
          <w:b/>
          <w:sz w:val="21"/>
        </w:rPr>
        <w:t xml:space="preserve">Tier 2: </w:t>
      </w:r>
      <w:r>
        <w:rPr>
          <w:rFonts w:ascii="Calibri" w:hAnsi="Calibri"/>
          <w:sz w:val="21"/>
        </w:rPr>
        <w:t>TIER 2 PAPER — Fresh bots from AlphaForge Workflow 2. They have never been live. These are the 'babies' fresh out of the coding and improvement pipeline. They must demonstrate at least 2 weeks of consistent paper performance before being eligible for the weekly live queue release.</w:t>
      </w:r>
    </w:p>
    <w:p>
      <w:pPr>
        <w:spacing w:before="200" w:after="60"/>
      </w:pPr>
      <w:r>
        <w:rPr>
          <w:rFonts w:ascii="Calibri" w:hAnsi="Calibri"/>
          <w:b/>
          <w:color w:val="2E75B6"/>
          <w:sz w:val="22"/>
        </w:rPr>
        <w:t>S3-6.5  Consecutive Loss Threshold — Confirmed at 2</w:t>
      </w:r>
    </w:p>
    <w:p>
      <w:pPr>
        <w:spacing w:before="40" w:after="60"/>
      </w:pPr>
      <w:r>
        <w:rPr>
          <w:rFonts w:ascii="Calibri" w:hAnsi="Calibri"/>
          <w:b/>
          <w:sz w:val="21"/>
        </w:rPr>
        <w:t xml:space="preserve">Personal book (scalping): </w:t>
      </w:r>
      <w:r>
        <w:rPr>
          <w:rFonts w:ascii="Calibri" w:hAnsi="Calibri"/>
          <w:sz w:val="21"/>
        </w:rPr>
        <w:t>2 consecutive losses → circuit breaker fires → paper rotation</w:t>
      </w:r>
    </w:p>
    <w:p>
      <w:pPr>
        <w:spacing w:before="40" w:after="60"/>
      </w:pPr>
      <w:r>
        <w:rPr>
          <w:rFonts w:ascii="Calibri" w:hAnsi="Calibri"/>
          <w:b/>
          <w:sz w:val="21"/>
        </w:rPr>
        <w:t xml:space="preserve">ORB bots: </w:t>
      </w:r>
      <w:r>
        <w:rPr>
          <w:rFonts w:ascii="Calibri" w:hAnsi="Calibri"/>
          <w:sz w:val="21"/>
        </w:rPr>
        <w:t>3 consecutive losses (ORB trades less frequently, 2 would be too hair-trigger)</w:t>
      </w:r>
    </w:p>
    <w:p>
      <w:pPr>
        <w:spacing w:before="40" w:after="60"/>
      </w:pPr>
      <w:r>
        <w:rPr>
          <w:rFonts w:ascii="Calibri" w:hAnsi="Calibri"/>
          <w:b/>
          <w:sz w:val="21"/>
        </w:rPr>
        <w:t xml:space="preserve">Prop firm book (future): </w:t>
      </w:r>
      <w:r>
        <w:rPr>
          <w:rFonts w:ascii="Calibri" w:hAnsi="Calibri"/>
          <w:sz w:val="21"/>
        </w:rPr>
        <w:t>Remains at 3 as configured in BotCircuitBreakerManager</w:t>
      </w:r>
    </w:p>
    <w:p>
      <w:pPr>
        <w:spacing w:before="120" w:after="120"/>
        <w:ind w:left="360"/>
        <w:shd w:val="clear" w:color="auto" w:fill="FFF2CC"/>
      </w:pPr>
      <w:r>
        <w:rPr>
          <w:rFonts w:ascii="Calibri" w:hAnsi="Calibri"/>
          <w:b/>
          <w:color w:val="C55A11"/>
          <w:sz w:val="21"/>
        </w:rPr>
        <w:t xml:space="preserve">NOTE: </w:t>
      </w:r>
      <w:r>
        <w:rPr>
          <w:rFonts w:ascii="Calibri" w:hAnsi="Calibri"/>
          <w:sz w:val="21"/>
        </w:rPr>
        <w:t>The rationale for 2 (not 5): at 52% WR, probability of 2 consecutive losses by chance = 0.48² = 23%. Probability of 5 in a row = 0.48⁵ = 2.5%. Waiting for 5 consecutive losses means the bot is probably genuinely broken before it is pulled. At 2, the cost of a false positive (pulling a healthy bot) is one session off live — the queue fills the slot immediately. The benefit of catching a broken bot early justifies the threshold.</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S3-7. Daily Performance Ranking (DPR) System</w:t>
      </w:r>
    </w:p>
    <w:p>
      <w:pPr>
        <w:spacing w:before="200" w:after="60"/>
      </w:pPr>
      <w:r>
        <w:rPr>
          <w:rFonts w:ascii="Calibri" w:hAnsi="Calibri"/>
          <w:b/>
          <w:color w:val="2E75B6"/>
          <w:sz w:val="22"/>
        </w:rPr>
        <w:t>S3-7.1  Definition and Ownership</w:t>
      </w:r>
    </w:p>
    <w:p>
      <w:pPr>
        <w:spacing w:before="40" w:after="60"/>
      </w:pPr>
      <w:r>
        <w:rPr>
          <w:rFonts w:ascii="Calibri" w:hAnsi="Calibri"/>
          <w:b/>
          <w:sz w:val="21"/>
        </w:rPr>
        <w:t xml:space="preserve">What it is: </w:t>
      </w:r>
      <w:r>
        <w:rPr>
          <w:rFonts w:ascii="Calibri" w:hAnsi="Calibri"/>
          <w:sz w:val="21"/>
        </w:rPr>
        <w:t>An automated system component that scores all bots daily and determines queue order. NOT a workflow (no agents involved in the ranking calculation itself).</w:t>
      </w:r>
    </w:p>
    <w:p>
      <w:pPr>
        <w:spacing w:before="40" w:after="60"/>
      </w:pPr>
      <w:r>
        <w:rPr>
          <w:rFonts w:ascii="Calibri" w:hAnsi="Calibri"/>
          <w:b/>
          <w:sz w:val="21"/>
        </w:rPr>
        <w:t xml:space="preserve">Owner: </w:t>
      </w:r>
      <w:r>
        <w:rPr>
          <w:rFonts w:ascii="Calibri" w:hAnsi="Calibri"/>
          <w:sz w:val="21"/>
        </w:rPr>
        <w:t>Trading Department (system component). Portfolio Department monitors the output. FloorManager updates the Kanban board based on DPR output.</w:t>
      </w:r>
    </w:p>
    <w:p>
      <w:pPr>
        <w:spacing w:before="40" w:after="60"/>
      </w:pPr>
      <w:r>
        <w:rPr>
          <w:rFonts w:ascii="Calibri" w:hAnsi="Calibri"/>
          <w:b/>
          <w:sz w:val="21"/>
        </w:rPr>
        <w:t xml:space="preserve">Runs: </w:t>
      </w:r>
      <w:r>
        <w:rPr>
          <w:rFonts w:ascii="Calibri" w:hAnsi="Calibri"/>
          <w:sz w:val="21"/>
        </w:rPr>
        <w:t>Once per Dead Zone cycle (after Workflow 3 Step 3). Also recalculates at every Tilt event.</w:t>
      </w:r>
    </w:p>
    <w:p>
      <w:pPr>
        <w:spacing w:before="40" w:after="60"/>
      </w:pPr>
      <w:r>
        <w:rPr>
          <w:rFonts w:ascii="Calibri" w:hAnsi="Calibri"/>
          <w:b/>
          <w:sz w:val="21"/>
        </w:rPr>
        <w:t xml:space="preserve">Data source: </w:t>
      </w:r>
      <w:r>
        <w:rPr>
          <w:rFonts w:ascii="Calibri" w:hAnsi="Calibri"/>
          <w:sz w:val="21"/>
        </w:rPr>
        <w:t>Trading Journal (the canonical record of all trades, outcomes, timing, and reason codes).</w:t>
      </w:r>
    </w:p>
    <w:p>
      <w:pPr>
        <w:spacing w:before="200" w:after="60"/>
      </w:pPr>
      <w:r>
        <w:rPr>
          <w:rFonts w:ascii="Calibri" w:hAnsi="Calibri"/>
          <w:b/>
          <w:color w:val="2E75B6"/>
          <w:sz w:val="22"/>
        </w:rPr>
        <w:t>S3-7.2  DPR Composite Score Formula</w:t>
      </w:r>
    </w:p>
    <w:p>
      <w:pPr>
        <w:spacing w:before="40" w:after="80"/>
      </w:pPr>
      <w:r>
        <w:rPr>
          <w:rFonts w:ascii="Calibri" w:hAnsi="Calibri"/>
          <w:sz w:val="21"/>
        </w:rPr>
        <w:t>Each bot receives a composite score on a 0-100 scale:</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2E75B6"/>
          </w:tcPr>
          <w:p>
            <w:pPr>
              <w:spacing w:before="40" w:after="40"/>
            </w:pPr>
            <w:r>
              <w:rPr>
                <w:rFonts w:ascii="Calibri" w:hAnsi="Calibri"/>
                <w:b/>
                <w:color w:val="FFFFFF"/>
                <w:sz w:val="20"/>
              </w:rPr>
              <w:t>Component</w:t>
            </w:r>
          </w:p>
        </w:tc>
        <w:tc>
          <w:tcPr>
            <w:tcW w:type="dxa" w:w="1152"/>
            <w:shd w:val="clear" w:color="auto" w:fill="2E75B6"/>
          </w:tcPr>
          <w:p>
            <w:pPr>
              <w:spacing w:before="40" w:after="40"/>
            </w:pPr>
            <w:r>
              <w:rPr>
                <w:rFonts w:ascii="Calibri" w:hAnsi="Calibri"/>
                <w:b/>
                <w:color w:val="FFFFFF"/>
                <w:sz w:val="20"/>
              </w:rPr>
              <w:t>Weight</w:t>
            </w:r>
          </w:p>
        </w:tc>
        <w:tc>
          <w:tcPr>
            <w:tcW w:type="dxa" w:w="6480"/>
            <w:shd w:val="clear" w:color="auto" w:fill="2E75B6"/>
          </w:tcPr>
          <w:p>
            <w:pPr>
              <w:spacing w:before="40" w:after="40"/>
            </w:pPr>
            <w:r>
              <w:rPr>
                <w:rFonts w:ascii="Calibri" w:hAnsi="Calibri"/>
                <w:b/>
                <w:color w:val="FFFFFF"/>
                <w:sz w:val="20"/>
              </w:rPr>
              <w:t>Description</w:t>
            </w:r>
          </w:p>
        </w:tc>
      </w:tr>
      <w:tr>
        <w:tc>
          <w:tcPr>
            <w:tcW w:type="dxa" w:w="2880"/>
            <w:shd w:val="clear" w:color="auto" w:fill="F2F2F2"/>
          </w:tcPr>
          <w:p>
            <w:pPr>
              <w:spacing w:before="40" w:after="40"/>
            </w:pPr>
            <w:r>
              <w:rPr>
                <w:rFonts w:ascii="Calibri" w:hAnsi="Calibri"/>
                <w:sz w:val="20"/>
              </w:rPr>
              <w:t>Session Win Rate</w:t>
            </w:r>
          </w:p>
        </w:tc>
        <w:tc>
          <w:tcPr>
            <w:tcW w:type="dxa" w:w="1152"/>
            <w:shd w:val="clear" w:color="auto" w:fill="F2F2F2"/>
          </w:tcPr>
          <w:p>
            <w:pPr>
              <w:spacing w:before="40" w:after="40"/>
            </w:pPr>
            <w:r>
              <w:rPr>
                <w:rFonts w:ascii="Calibri" w:hAnsi="Calibri"/>
                <w:sz w:val="20"/>
              </w:rPr>
              <w:t>25%</w:t>
            </w:r>
          </w:p>
        </w:tc>
        <w:tc>
          <w:tcPr>
            <w:tcW w:type="dxa" w:w="6480"/>
            <w:shd w:val="clear" w:color="auto" w:fill="F2F2F2"/>
          </w:tcPr>
          <w:p>
            <w:pPr>
              <w:spacing w:before="40" w:after="40"/>
            </w:pPr>
            <w:r>
              <w:rPr>
                <w:rFonts w:ascii="Calibri" w:hAnsi="Calibri"/>
                <w:sz w:val="20"/>
              </w:rPr>
              <w:t>Win rate for the most recent session window (not lifetime average). Rewards recent performance.</w:t>
            </w:r>
          </w:p>
        </w:tc>
      </w:tr>
      <w:tr>
        <w:tc>
          <w:tcPr>
            <w:tcW w:type="dxa" w:w="2880"/>
            <w:shd w:val="clear" w:color="auto" w:fill="FFFFFF"/>
          </w:tcPr>
          <w:p>
            <w:pPr>
              <w:spacing w:before="40" w:after="40"/>
            </w:pPr>
            <w:r>
              <w:rPr>
                <w:rFonts w:ascii="Calibri" w:hAnsi="Calibri"/>
                <w:sz w:val="20"/>
              </w:rPr>
              <w:t>Net PnL</w:t>
            </w:r>
          </w:p>
        </w:tc>
        <w:tc>
          <w:tcPr>
            <w:tcW w:type="dxa" w:w="1152"/>
            <w:shd w:val="clear" w:color="auto" w:fill="FFFFFF"/>
          </w:tcPr>
          <w:p>
            <w:pPr>
              <w:spacing w:before="40" w:after="40"/>
            </w:pPr>
            <w:r>
              <w:rPr>
                <w:rFonts w:ascii="Calibri" w:hAnsi="Calibri"/>
                <w:sz w:val="20"/>
              </w:rPr>
              <w:t>30%</w:t>
            </w:r>
          </w:p>
        </w:tc>
        <w:tc>
          <w:tcPr>
            <w:tcW w:type="dxa" w:w="6480"/>
            <w:shd w:val="clear" w:color="auto" w:fill="FFFFFF"/>
          </w:tcPr>
          <w:p>
            <w:pPr>
              <w:spacing w:before="40" w:after="40"/>
            </w:pPr>
            <w:r>
              <w:rPr>
                <w:rFonts w:ascii="Calibri" w:hAnsi="Calibri"/>
                <w:sz w:val="20"/>
              </w:rPr>
              <w:t>Net PnL in dollars for the most recent session. Highest weight because absolute profit is the objective.</w:t>
            </w:r>
          </w:p>
        </w:tc>
      </w:tr>
      <w:tr>
        <w:tc>
          <w:tcPr>
            <w:tcW w:type="dxa" w:w="2880"/>
            <w:shd w:val="clear" w:color="auto" w:fill="F2F2F2"/>
          </w:tcPr>
          <w:p>
            <w:pPr>
              <w:spacing w:before="40" w:after="40"/>
            </w:pPr>
            <w:r>
              <w:rPr>
                <w:rFonts w:ascii="Calibri" w:hAnsi="Calibri"/>
                <w:sz w:val="20"/>
              </w:rPr>
              <w:t>Consistency Score</w:t>
            </w:r>
          </w:p>
        </w:tc>
        <w:tc>
          <w:tcPr>
            <w:tcW w:type="dxa" w:w="1152"/>
            <w:shd w:val="clear" w:color="auto" w:fill="F2F2F2"/>
          </w:tcPr>
          <w:p>
            <w:pPr>
              <w:spacing w:before="40" w:after="40"/>
            </w:pPr>
            <w:r>
              <w:rPr>
                <w:rFonts w:ascii="Calibri" w:hAnsi="Calibri"/>
                <w:sz w:val="20"/>
              </w:rPr>
              <w:t>20%</w:t>
            </w:r>
          </w:p>
        </w:tc>
        <w:tc>
          <w:tcPr>
            <w:tcW w:type="dxa" w:w="6480"/>
            <w:shd w:val="clear" w:color="auto" w:fill="F2F2F2"/>
          </w:tcPr>
          <w:p>
            <w:pPr>
              <w:spacing w:before="40" w:after="40"/>
            </w:pPr>
            <w:r>
              <w:rPr>
                <w:rFonts w:ascii="Calibri" w:hAnsi="Calibri"/>
                <w:sz w:val="20"/>
              </w:rPr>
              <w:t>Equity curve smoothness for the session. Calculated as 1 - (max_drawdown_in_session / total_gain_in_session). Higher = smoother curve = more consistent.</w:t>
            </w:r>
          </w:p>
        </w:tc>
      </w:tr>
      <w:tr>
        <w:tc>
          <w:tcPr>
            <w:tcW w:type="dxa" w:w="2880"/>
            <w:shd w:val="clear" w:color="auto" w:fill="FFFFFF"/>
          </w:tcPr>
          <w:p>
            <w:pPr>
              <w:spacing w:before="40" w:after="40"/>
            </w:pPr>
            <w:r>
              <w:rPr>
                <w:rFonts w:ascii="Calibri" w:hAnsi="Calibri"/>
                <w:sz w:val="20"/>
              </w:rPr>
              <w:t>Expected Value / Trade</w:t>
            </w:r>
          </w:p>
        </w:tc>
        <w:tc>
          <w:tcPr>
            <w:tcW w:type="dxa" w:w="1152"/>
            <w:shd w:val="clear" w:color="auto" w:fill="FFFFFF"/>
          </w:tcPr>
          <w:p>
            <w:pPr>
              <w:spacing w:before="40" w:after="40"/>
            </w:pPr>
            <w:r>
              <w:rPr>
                <w:rFonts w:ascii="Calibri" w:hAnsi="Calibri"/>
                <w:sz w:val="20"/>
              </w:rPr>
              <w:t>25%</w:t>
            </w:r>
          </w:p>
        </w:tc>
        <w:tc>
          <w:tcPr>
            <w:tcW w:type="dxa" w:w="6480"/>
            <w:shd w:val="clear" w:color="auto" w:fill="FFFFFF"/>
          </w:tcPr>
          <w:p>
            <w:pPr>
              <w:spacing w:before="40" w:after="40"/>
            </w:pPr>
            <w:r>
              <w:rPr>
                <w:rFonts w:ascii="Calibri" w:hAnsi="Calibri"/>
                <w:sz w:val="20"/>
              </w:rPr>
              <w:t>Net EV per trade for the session. EV = (win_rate × avg_win) - (loss_rate × avg_loss). Positive EV is required. Negative EV triggers a SESSION_CONCERN flag.</w:t>
            </w:r>
          </w:p>
        </w:tc>
      </w:tr>
    </w:tbl>
    <w:p/>
    <w:p>
      <w:pPr>
        <w:spacing w:before="120" w:after="120"/>
        <w:ind w:left="360"/>
        <w:shd w:val="clear" w:color="auto" w:fill="FFF2CC"/>
      </w:pPr>
      <w:r>
        <w:rPr>
          <w:rFonts w:ascii="Calibri" w:hAnsi="Calibri"/>
          <w:b/>
          <w:color w:val="C55A11"/>
          <w:sz w:val="21"/>
        </w:rPr>
        <w:t xml:space="preserve">NOTE: </w:t>
      </w:r>
      <w:r>
        <w:rPr>
          <w:rFonts w:ascii="Calibri" w:hAnsi="Calibri"/>
          <w:sz w:val="21"/>
        </w:rPr>
        <w:t>SESSION_CONCERN flag: if a bot has negative EV for 3 consecutive sessions, it is flagged for priority review in the next Workflow 4 cycle (fortnightly). The flag does NOT quarantine the bot — it only elevates it in the review queue.</w:t>
      </w:r>
    </w:p>
    <w:p>
      <w:pPr>
        <w:spacing w:before="200" w:after="60"/>
      </w:pPr>
      <w:r>
        <w:rPr>
          <w:rFonts w:ascii="Calibri" w:hAnsi="Calibri"/>
          <w:b/>
          <w:color w:val="2E75B6"/>
          <w:sz w:val="22"/>
        </w:rPr>
        <w:t>S3-7.3  Queue Tier Remix Logic</w:t>
      </w:r>
    </w:p>
    <w:p>
      <w:pPr>
        <w:spacing w:before="40" w:after="80"/>
      </w:pPr>
      <w:r>
        <w:rPr>
          <w:rFonts w:ascii="Calibri" w:hAnsi="Calibri"/>
          <w:sz w:val="21"/>
        </w:rPr>
        <w:t>Queue order is NOT strict Tier 1 → Tier 2 → Tier 3. The confirmed remix approach is: Tier 1 bots interleaved with Tier 3 conditional re-entries, with Tier 2 solid performers filling the gaps. The reasoning: solid performers (Tier 2) will perform reliably regardless of queue position. Starting with the best (Tier 1), then testing a recovery candidate (Tier 3), then a solid performer (Tier 2), then another Tier 1, etc. — produces better learning data because you always have a control group (Tier 2) running alongside experimental slots (Tier 3).</w:t>
      </w:r>
    </w:p>
    <w:p>
      <w:pPr>
        <w:spacing w:before="40" w:after="60"/>
      </w:pPr>
      <w:r>
        <w:rPr>
          <w:rFonts w:ascii="Calibri" w:hAnsi="Calibri"/>
          <w:b/>
          <w:sz w:val="21"/>
        </w:rPr>
        <w:t xml:space="preserve">Example queue order: </w:t>
      </w:r>
      <w:r>
        <w:rPr>
          <w:rFonts w:ascii="Calibri" w:hAnsi="Calibri"/>
          <w:sz w:val="21"/>
        </w:rPr>
        <w:t>T1, T3, T2, T1, T3, T2, T1, T2, T2, T2 (remaining slots)</w:t>
      </w:r>
    </w:p>
    <w:p>
      <w:pPr>
        <w:spacing w:before="40" w:after="60"/>
      </w:pPr>
      <w:r>
        <w:rPr>
          <w:rFonts w:ascii="Calibri" w:hAnsi="Calibri"/>
          <w:b/>
          <w:sz w:val="21"/>
        </w:rPr>
        <w:t xml:space="preserve">SESSION_SPECIALIST override: </w:t>
      </w:r>
      <w:r>
        <w:rPr>
          <w:rFonts w:ascii="Calibri" w:hAnsi="Calibri"/>
          <w:sz w:val="21"/>
        </w:rPr>
        <w:t>Any bot with a SESSION_SPECIALIST tag for the current session is always placed in the first available Tier 1 slot for that session, regardless of composite DPR score.</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S3-8. Inter-Session Cooldown — 3-Hour Intelligence Window</w:t>
      </w:r>
    </w:p>
    <w:p>
      <w:pPr>
        <w:spacing w:before="200" w:after="60"/>
      </w:pPr>
      <w:r>
        <w:rPr>
          <w:rFonts w:ascii="Calibri" w:hAnsi="Calibri"/>
          <w:b/>
          <w:color w:val="2E75B6"/>
          <w:sz w:val="22"/>
        </w:rPr>
        <w:t>S3-8.1  Window Definition</w:t>
      </w:r>
    </w:p>
    <w:p>
      <w:pPr>
        <w:spacing w:before="40" w:after="80"/>
      </w:pPr>
      <w:r>
        <w:rPr>
          <w:rFonts w:ascii="Calibri" w:hAnsi="Calibri"/>
          <w:sz w:val="21"/>
        </w:rPr>
        <w:t>Between the London Open Assault close (~10:00 GMT) and the NY Open Assault start (13:00 GMT), there are approximately 3 hours. This is NOT idle time — it is the system's most important intra-day operational window. The Trading Department and Portfolio Department work together during this window. FloorManager updates the Kanban.</w:t>
      </w:r>
    </w:p>
    <w:p>
      <w:pPr>
        <w:spacing w:before="200" w:after="60"/>
      </w:pPr>
      <w:r>
        <w:rPr>
          <w:rFonts w:ascii="Calibri" w:hAnsi="Calibri"/>
          <w:b/>
          <w:color w:val="2E75B6"/>
          <w:sz w:val="22"/>
        </w:rPr>
        <w:t>S3-8.2  Cooldown Sequence</w:t>
      </w:r>
    </w:p>
    <w:p>
      <w:pPr>
        <w:pStyle w:val="ListBullet"/>
        <w:spacing w:before="20" w:after="40"/>
        <w:ind w:left="360"/>
      </w:pPr>
      <w:r>
        <w:rPr>
          <w:rFonts w:ascii="Calibri" w:hAnsi="Calibri"/>
          <w:b/>
          <w:sz w:val="21"/>
        </w:rPr>
        <w:t xml:space="preserve">Step 1: </w:t>
      </w:r>
      <w:r>
        <w:rPr>
          <w:rFonts w:ascii="Calibri" w:hAnsi="Calibri"/>
          <w:sz w:val="21"/>
        </w:rPr>
        <w:t>10:00-10:30 GMT — Score all bots from London session. Produce DPR rankings. Flag quarantined bots.</w:t>
      </w:r>
    </w:p>
    <w:p>
      <w:pPr>
        <w:pStyle w:val="ListBullet"/>
        <w:spacing w:before="20" w:after="40"/>
        <w:ind w:left="360"/>
      </w:pPr>
      <w:r>
        <w:rPr>
          <w:rFonts w:ascii="Calibri" w:hAnsi="Calibri"/>
          <w:b/>
          <w:sz w:val="21"/>
        </w:rPr>
        <w:t xml:space="preserve">Step 2: </w:t>
      </w:r>
      <w:r>
        <w:rPr>
          <w:rFonts w:ascii="Calibri" w:hAnsi="Calibri"/>
          <w:sz w:val="21"/>
        </w:rPr>
        <w:t>10:30-11:30 GMT — Monitoring sub-agent reviews paper trading data for quarantined bots. Review only — no parameter updates (weekday rule). Bots showing strong paper recovery are elevated to Tier 3 conditional re-entry for the NY session queue.</w:t>
      </w:r>
    </w:p>
    <w:p>
      <w:pPr>
        <w:pStyle w:val="ListBullet"/>
        <w:spacing w:before="20" w:after="40"/>
        <w:ind w:left="360"/>
      </w:pPr>
      <w:r>
        <w:rPr>
          <w:rFonts w:ascii="Calibri" w:hAnsi="Calibri"/>
          <w:b/>
          <w:sz w:val="21"/>
        </w:rPr>
        <w:t xml:space="preserve">Step 3: </w:t>
      </w:r>
      <w:r>
        <w:rPr>
          <w:rFonts w:ascii="Calibri" w:hAnsi="Calibri"/>
          <w:sz w:val="21"/>
        </w:rPr>
        <w:t>11:30-12:40 GMT — Set NY Open queue order using DPR scores + SESSION_SPECIALIST tags + Tier remix logic. Tier 1 = best London performers. Tier 3 = first recovery candidates from quarantine review. AlphaForge does NOT release new variants to live during weekdays — new variants enter paper trading only.</w:t>
      </w:r>
    </w:p>
    <w:p>
      <w:pPr>
        <w:pStyle w:val="ListBullet"/>
        <w:spacing w:before="20" w:after="40"/>
        <w:ind w:left="360"/>
      </w:pPr>
      <w:r>
        <w:rPr>
          <w:rFonts w:ascii="Calibri" w:hAnsi="Calibri"/>
          <w:b/>
          <w:sz w:val="21"/>
        </w:rPr>
        <w:t xml:space="preserve">Step 4: </w:t>
      </w:r>
      <w:r>
        <w:rPr>
          <w:rFonts w:ascii="Calibri" w:hAnsi="Calibri"/>
          <w:sz w:val="21"/>
        </w:rPr>
        <w:t>12:40-13:00 GMT — System health check. SQS pre-check for NY session instruments. Sentinel regime pre-confirmation for NY pairs. Session mask verification. 20-minute prep window before NY Open. The system walks into the NY Open Assault already warm and ranked.</w:t>
      </w:r>
    </w:p>
    <w:p>
      <w:pPr>
        <w:spacing w:before="120" w:after="120"/>
        <w:ind w:left="360"/>
        <w:shd w:val="clear" w:color="auto" w:fill="FFF2CC"/>
      </w:pPr>
      <w:r>
        <w:rPr>
          <w:rFonts w:ascii="Calibri" w:hAnsi="Calibri"/>
          <w:b/>
          <w:color w:val="C55A11"/>
          <w:sz w:val="21"/>
        </w:rPr>
        <w:t xml:space="preserve">NOTE: </w:t>
      </w:r>
      <w:r>
        <w:rPr>
          <w:rFonts w:ascii="Calibri" w:hAnsi="Calibri"/>
          <w:sz w:val="21"/>
        </w:rPr>
        <w:t>The hybrid queue for NY Open: the bot that topped the London Open leaderboard goes first. The best-performing paper recovery candidate (highest paper DPR score) goes second. Then standard Tier 1/3/2 remix. This produces the highest-quality roster for the premium London-NY overlap window that begins at 13:00.</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S3-9. Confirmed Workflow Inventory (All Workflows)</w:t>
      </w:r>
    </w:p>
    <w:p>
      <w:pPr>
        <w:spacing w:before="40" w:after="80"/>
      </w:pPr>
      <w:r>
        <w:rPr>
          <w:rFonts w:ascii="Calibri" w:hAnsi="Calibri"/>
          <w:sz w:val="21"/>
        </w:rPr>
        <w:t>DEFINITION LOCK: In this system, a Workflow is any process that involves AI agents. If a process only involves system components executing automated logic without agents, it is a SYSTEM PROCESS, not a Workflow. DPR scoring is a system process. The Tilt is a system process. The following are the confirmed Workflows.</w:t>
      </w:r>
    </w:p>
    <w:p>
      <w:pPr>
        <w:spacing w:before="200" w:after="60"/>
      </w:pPr>
      <w:r>
        <w:rPr>
          <w:rFonts w:ascii="Calibri" w:hAnsi="Calibri"/>
          <w:b/>
          <w:color w:val="2E75B6"/>
          <w:sz w:val="22"/>
        </w:rPr>
        <w:t>S3-9.1  Workflow 1 — AlphaForge (Strategy Creation)</w:t>
      </w:r>
    </w:p>
    <w:p>
      <w:pPr>
        <w:spacing w:before="40" w:after="80"/>
      </w:pPr>
      <w:r>
        <w:rPr>
          <w:rFonts w:ascii="Calibri" w:hAnsi="Calibri"/>
          <w:sz w:val="21"/>
        </w:rPr>
        <w:t>Purpose: Turn raw strategy ideas (from any source) into a working, backtested EA.</w:t>
      </w:r>
    </w:p>
    <w:p>
      <w:pPr>
        <w:spacing w:before="20" w:after="20"/>
        <w:ind w:left="432"/>
        <w:shd w:val="clear" w:color="auto" w:fill="F2F2F2"/>
      </w:pPr>
      <w:r>
        <w:rPr>
          <w:rFonts w:ascii="Courier New" w:hAnsi="Courier New"/>
          <w:sz w:val="18"/>
        </w:rPr>
        <w:t>INPUT: Strategy seed (video ingest, Firecrawl scrape, article, indicator combination, manual design)</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Research Department agent: extracts trading logic, creates SDD (Strategy Design Document)</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Coding: EA implementation in MQL5</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Compiling: MT5 compile check, syntax validation</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Backtesting: historical backtest across multiple market conditions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Monte Carlo simulation: 1000+ permutations to test robustness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Report: performance metrics, win rate, drawdown, R:R, edge score</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OUTPUT: EA file + performance report</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WORKFLOW 1 ENDS HERE. Refinement is handled by Workflow 2, not here.</w:t>
      </w:r>
    </w:p>
    <w:p>
      <w:pPr>
        <w:spacing w:before="200" w:after="60"/>
      </w:pPr>
      <w:r>
        <w:rPr>
          <w:rFonts w:ascii="Calibri" w:hAnsi="Calibri"/>
          <w:b/>
          <w:color w:val="2E75B6"/>
          <w:sz w:val="22"/>
        </w:rPr>
        <w:t>S3-9.2  Workflow 2 — Improvement Loop (Refinement and Paper Gate)</w:t>
      </w:r>
    </w:p>
    <w:p>
      <w:pPr>
        <w:spacing w:before="40" w:after="80"/>
      </w:pPr>
      <w:r>
        <w:rPr>
          <w:rFonts w:ascii="Calibri" w:hAnsi="Calibri"/>
          <w:sz w:val="21"/>
        </w:rPr>
        <w:t>Purpose: Continuously improve strategy parameters and validate via paper trading.</w:t>
      </w:r>
    </w:p>
    <w:p>
      <w:pPr>
        <w:spacing w:before="20" w:after="20"/>
        <w:ind w:left="432"/>
        <w:shd w:val="clear" w:color="auto" w:fill="F2F2F2"/>
      </w:pPr>
      <w:r>
        <w:rPr>
          <w:rFonts w:ascii="Courier New" w:hAnsi="Courier New"/>
          <w:sz w:val="18"/>
        </w:rPr>
        <w:t>INPUT: EA from Workflow 1 (new bot) OR EA flagged for improvement by Workflow 3/4 (existing bot)</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Refinement: parameter optimisation, indicator tuning</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Walk-Forward Analysis (WFA): out-of-sample validation</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Distillation: extract best-performing parameter set from WFA</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BRANCH A — NEW BOT: Enter paper trading gate (minimum 2 weeks, Tier 2 paper population)</w:t>
      </w:r>
    </w:p>
    <w:p>
      <w:pPr>
        <w:spacing w:before="20" w:after="20"/>
        <w:ind w:left="432"/>
        <w:shd w:val="clear" w:color="auto" w:fill="F2F2F2"/>
      </w:pPr>
      <w:r>
        <w:rPr>
          <w:rFonts w:ascii="Courier New" w:hAnsi="Courier New"/>
          <w:sz w:val="18"/>
        </w:rPr>
        <w:t xml:space="preserve">           If paper performance passes → eligible for weekly live queue release</w:t>
      </w:r>
    </w:p>
    <w:p>
      <w:pPr>
        <w:spacing w:before="20" w:after="20"/>
        <w:ind w:left="432"/>
        <w:shd w:val="clear" w:color="auto" w:fill="F2F2F2"/>
      </w:pPr>
      <w:r>
        <w:rPr>
          <w:rFonts w:ascii="Courier New" w:hAnsi="Courier New"/>
          <w:sz w:val="18"/>
        </w:rPr>
        <w:t xml:space="preserve">           If paper performance fails → loop back to Refinement</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BRANCH B — EXISTING BOT IMPROVEMENT: Create new VARIANT. Variant enters Tier 2 paper trading.</w:t>
      </w:r>
    </w:p>
    <w:p>
      <w:pPr>
        <w:spacing w:before="20" w:after="20"/>
        <w:ind w:left="432"/>
        <w:shd w:val="clear" w:color="auto" w:fill="F2F2F2"/>
      </w:pPr>
      <w:r>
        <w:rPr>
          <w:rFonts w:ascii="Courier New" w:hAnsi="Courier New"/>
          <w:sz w:val="18"/>
        </w:rPr>
        <w:t xml:space="preserve">           Old bot continues in live (degraded DPR ranking, fewer queue slots).</w:t>
      </w:r>
    </w:p>
    <w:p>
      <w:pPr>
        <w:spacing w:before="20" w:after="20"/>
        <w:ind w:left="432"/>
        <w:shd w:val="clear" w:color="auto" w:fill="F2F2F2"/>
      </w:pPr>
      <w:r>
        <w:rPr>
          <w:rFonts w:ascii="Courier New" w:hAnsi="Courier New"/>
          <w:sz w:val="18"/>
        </w:rPr>
        <w:t xml:space="preserve">           After 2 weeks: if new variant outperforms old bot in paper → old bot exits live gracefully,</w:t>
      </w:r>
    </w:p>
    <w:p>
      <w:pPr>
        <w:spacing w:before="20" w:after="20"/>
        <w:ind w:left="432"/>
        <w:shd w:val="clear" w:color="auto" w:fill="F2F2F2"/>
      </w:pPr>
      <w:r>
        <w:rPr>
          <w:rFonts w:ascii="Courier New" w:hAnsi="Courier New"/>
          <w:sz w:val="18"/>
        </w:rPr>
        <w:t xml:space="preserve">           new variant enters at Tier 3 conditional. If variant underperforms → discard variant,</w:t>
      </w:r>
    </w:p>
    <w:p>
      <w:pPr>
        <w:spacing w:before="20" w:after="20"/>
        <w:ind w:left="432"/>
        <w:shd w:val="clear" w:color="auto" w:fill="F2F2F2"/>
      </w:pPr>
      <w:r>
        <w:rPr>
          <w:rFonts w:ascii="Courier New" w:hAnsi="Courier New"/>
          <w:sz w:val="18"/>
        </w:rPr>
        <w:t xml:space="preserve">           investigate further, try another cycle.</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OUTPUT: Validated EA variant ready for live queue OR looped back for further improvement</w:t>
      </w:r>
    </w:p>
    <w:p>
      <w:pPr>
        <w:spacing w:before="200" w:after="60"/>
      </w:pPr>
      <w:r>
        <w:rPr>
          <w:rFonts w:ascii="Calibri" w:hAnsi="Calibri"/>
          <w:b/>
          <w:color w:val="2E75B6"/>
          <w:sz w:val="22"/>
        </w:rPr>
        <w:t>S3-9.3  Workflow 3 — Performance Intelligence (Dead Zone, Agent-Driven)</w:t>
      </w:r>
    </w:p>
    <w:p>
      <w:pPr>
        <w:spacing w:before="40" w:after="80"/>
      </w:pPr>
      <w:r>
        <w:rPr>
          <w:rFonts w:ascii="Calibri" w:hAnsi="Calibri"/>
          <w:sz w:val="21"/>
        </w:rPr>
        <w:t>Purpose: Daily intelligence synthesis and reporting. Runs every weekday in the Dead Zone.</w:t>
      </w:r>
    </w:p>
    <w:p>
      <w:pPr>
        <w:spacing w:before="20" w:after="20"/>
        <w:ind w:left="432"/>
        <w:shd w:val="clear" w:color="auto" w:fill="F2F2F2"/>
      </w:pPr>
      <w:r>
        <w:rPr>
          <w:rFonts w:ascii="Courier New" w:hAnsi="Courier New"/>
          <w:sz w:val="18"/>
        </w:rPr>
        <w:t>INPUT: Trading Journal (read-only during weekdays)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EOD Report agent (Trading Department): structured daily performance brief</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Session-based performer identification: SESSION_SPECIALIST tag assignments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DPR score update (SYSTEM PROCESS, not agent — automated calculation)</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Fortnight data accumulation: appends daily report to 14-day rolling intelligence file</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OUTPUT: Daily EOD report + updated DPR scores + SESSION_SPECIALIST tags + fortnight file</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NOTE: No bot parameters are updated. No code changes. Read and rank only.</w:t>
      </w:r>
    </w:p>
    <w:p>
      <w:pPr>
        <w:spacing w:before="200" w:after="60"/>
      </w:pPr>
      <w:r>
        <w:rPr>
          <w:rFonts w:ascii="Calibri" w:hAnsi="Calibri"/>
          <w:b/>
          <w:color w:val="2E75B6"/>
          <w:sz w:val="22"/>
        </w:rPr>
        <w:t>S3-9.4  Workflow 4 — Weekend Update Cycle (Agent-Driven)</w:t>
      </w:r>
    </w:p>
    <w:p>
      <w:pPr>
        <w:spacing w:before="40" w:after="80"/>
      </w:pPr>
      <w:r>
        <w:rPr>
          <w:rFonts w:ascii="Calibri" w:hAnsi="Calibri"/>
          <w:sz w:val="21"/>
        </w:rPr>
        <w:t>Purpose: Weekly improvement cycle based on fortnightly intelligence data.</w:t>
      </w:r>
    </w:p>
    <w:p>
      <w:pPr>
        <w:spacing w:before="20" w:after="20"/>
        <w:ind w:left="432"/>
        <w:shd w:val="clear" w:color="auto" w:fill="F2F2F2"/>
      </w:pPr>
      <w:r>
        <w:rPr>
          <w:rFonts w:ascii="Courier New" w:hAnsi="Courier New"/>
          <w:sz w:val="18"/>
        </w:rPr>
        <w:t>INPUT: 14-day rolling intelligence file from Workflow 3</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Planning session (Trading Dept + Portfolio Dept agents): identify bots flagged SESSION_CONCERN,</w:t>
      </w:r>
    </w:p>
    <w:p>
      <w:pPr>
        <w:spacing w:before="20" w:after="20"/>
        <w:ind w:left="432"/>
        <w:shd w:val="clear" w:color="auto" w:fill="F2F2F2"/>
      </w:pPr>
      <w:r>
        <w:rPr>
          <w:rFonts w:ascii="Courier New" w:hAnsi="Courier New"/>
          <w:sz w:val="18"/>
        </w:rPr>
        <w:t>underperformers, and improvement opportunities. Produce weekend action plan.</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Friday night: analysis and planning (markets closed)</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Saturday: Workflow 2 triggered for flagged bots — refinement, WFA, new variants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Saturday-Sunday: testing, compilation, backtesting of new variants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Sunday night: pre-market preparation, new paper trading slots opened for new variants,</w:t>
      </w:r>
    </w:p>
    <w:p>
      <w:pPr>
        <w:spacing w:before="20" w:after="20"/>
        <w:ind w:left="432"/>
        <w:shd w:val="clear" w:color="auto" w:fill="F2F2F2"/>
      </w:pPr>
      <w:r>
        <w:rPr>
          <w:rFonts w:ascii="Courier New" w:hAnsi="Courier New"/>
          <w:sz w:val="18"/>
        </w:rPr>
        <w:t>Monday queue ranked and ready.</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OUTPUT: Updated bot variants in paper trading, clean Monday queue</w:t>
      </w:r>
    </w:p>
    <w:p>
      <w:pPr>
        <w:spacing w:before="200" w:after="60"/>
      </w:pPr>
      <w:r>
        <w:rPr>
          <w:rFonts w:ascii="Calibri" w:hAnsi="Calibri"/>
          <w:b/>
          <w:color w:val="2E75B6"/>
          <w:sz w:val="22"/>
        </w:rPr>
        <w:t>S3-9.5  Strategy Intelligence Harvester (SIH) — Input Pipeline</w:t>
      </w:r>
    </w:p>
    <w:p>
      <w:pPr>
        <w:spacing w:before="40" w:after="80"/>
      </w:pPr>
      <w:r>
        <w:rPr>
          <w:rFonts w:ascii="Calibri" w:hAnsi="Calibri"/>
          <w:sz w:val="21"/>
        </w:rPr>
        <w:t>The SIH is the data input layer that feeds Workflow 1. It is not a standalone workflow — it is the source of seeds that enter Workflow 1.</w:t>
      </w:r>
    </w:p>
    <w:p>
      <w:pPr>
        <w:pStyle w:val="ListBullet"/>
        <w:spacing w:before="20" w:after="40"/>
        <w:ind w:left="360"/>
      </w:pPr>
      <w:r>
        <w:rPr>
          <w:rFonts w:ascii="Calibri" w:hAnsi="Calibri"/>
          <w:sz w:val="21"/>
        </w:rPr>
        <w:t>VIDEO INGEST: Already implemented as a tool in the system. Ingests YouTube videos containing trading strategy content. Produces unbiased extracted information. Research Department agent then processes this into an SDD for Workflow 1.</w:t>
      </w:r>
    </w:p>
    <w:p>
      <w:pPr>
        <w:pStyle w:val="ListBullet"/>
        <w:spacing w:before="20" w:after="40"/>
        <w:ind w:left="360"/>
      </w:pPr>
      <w:r>
        <w:rPr>
          <w:rFonts w:ascii="Calibri" w:hAnsi="Calibri"/>
          <w:sz w:val="21"/>
        </w:rPr>
        <w:t>FIRECRAWL SCRIPT (MT5 COMMUNITY): A script (not an agent) scrapes the MT5 freelance community section for job postings. People paying for EA development reveal which strategies have demand. Research Department agent filters for scalping-logic strategies. Output feeds Workflow 1.</w:t>
      </w:r>
    </w:p>
    <w:p>
      <w:pPr>
        <w:pStyle w:val="ListBullet"/>
        <w:spacing w:before="20" w:after="40"/>
        <w:ind w:left="360"/>
      </w:pPr>
      <w:r>
        <w:rPr>
          <w:rFonts w:ascii="Calibri" w:hAnsi="Calibri"/>
          <w:sz w:val="21"/>
        </w:rPr>
        <w:t>INDICATOR COMBINATIONS: Agents (during Dead Zone or weekend) can propose new indicator combinations as strategy seeds. These can be generated from articles, trading textbooks, or manual design sessions. They enter Workflow 1 as seeds.</w:t>
      </w:r>
    </w:p>
    <w:p>
      <w:pPr>
        <w:pStyle w:val="ListBullet"/>
        <w:spacing w:before="20" w:after="40"/>
        <w:ind w:left="360"/>
      </w:pPr>
      <w:r>
        <w:rPr>
          <w:rFonts w:ascii="Calibri" w:hAnsi="Calibri"/>
          <w:sz w:val="21"/>
        </w:rPr>
        <w:t>FIRECRAWL SCRIPT (ARTICLES): An existing Firecrawl script for article scraping. Can be extended to target MT5 community with minimal changes.</w:t>
      </w:r>
    </w:p>
    <w:p>
      <w:pPr>
        <w:spacing w:before="120" w:after="120"/>
        <w:ind w:left="360"/>
        <w:shd w:val="clear" w:color="auto" w:fill="FFF2CC"/>
      </w:pPr>
      <w:r>
        <w:rPr>
          <w:rFonts w:ascii="Calibri" w:hAnsi="Calibri"/>
          <w:b/>
          <w:color w:val="C55A11"/>
          <w:sz w:val="21"/>
        </w:rPr>
        <w:t xml:space="preserve">NOTE: </w:t>
      </w:r>
      <w:r>
        <w:rPr>
          <w:rFonts w:ascii="Calibri" w:hAnsi="Calibri"/>
          <w:sz w:val="21"/>
        </w:rPr>
        <w:t>DPR is NOT a step in the SIH pipeline. DPR is a system process that runs independently. The SIH → Workflow 1 → Workflow 2 → Paper Gate → Live Queue pipeline is linear with branches. DPR runs continuously in parallel, scoring whatever is in the live pool.</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S3-10. Session Open Assault Architecture</w:t>
      </w:r>
    </w:p>
    <w:p>
      <w:pPr>
        <w:spacing w:before="200" w:after="60"/>
      </w:pPr>
      <w:r>
        <w:rPr>
          <w:rFonts w:ascii="Calibri" w:hAnsi="Calibri"/>
          <w:b/>
          <w:color w:val="2E75B6"/>
          <w:sz w:val="22"/>
        </w:rPr>
        <w:t>S3-10.1  Concept</w:t>
      </w:r>
    </w:p>
    <w:p>
      <w:pPr>
        <w:spacing w:before="40" w:after="80"/>
      </w:pPr>
      <w:r>
        <w:rPr>
          <w:rFonts w:ascii="Calibri" w:hAnsi="Calibri"/>
          <w:sz w:val="21"/>
        </w:rPr>
        <w:t>The Session Open Assault is a deliberate concentration of session-open-specialist scalper bots during the first 60-180 minutes of high-liquidity session openings. The objective is to capture the maximum directional energy of the opening push before the market settles into range or drift. Session Open Scalpers are a dedicated bot family in the scalping strategy library — they are distinct from general momentum scalpers.</w:t>
      </w:r>
    </w:p>
    <w:p>
      <w:pPr>
        <w:spacing w:before="200" w:after="60"/>
      </w:pPr>
      <w:r>
        <w:rPr>
          <w:rFonts w:ascii="Calibri" w:hAnsi="Calibri"/>
          <w:b/>
          <w:color w:val="2E75B6"/>
          <w:sz w:val="22"/>
        </w:rPr>
        <w:t>S3-10.2  London Open Assault (07:00-10:00 GMT)</w:t>
      </w:r>
    </w:p>
    <w:p>
      <w:pPr>
        <w:spacing w:before="40" w:after="60"/>
      </w:pPr>
      <w:r>
        <w:rPr>
          <w:rFonts w:ascii="Calibri" w:hAnsi="Calibri"/>
          <w:b/>
          <w:sz w:val="21"/>
        </w:rPr>
        <w:t xml:space="preserve">Target pairs: </w:t>
      </w:r>
      <w:r>
        <w:rPr>
          <w:rFonts w:ascii="Calibri" w:hAnsi="Calibri"/>
          <w:sz w:val="21"/>
        </w:rPr>
        <w:t>EURUSD, GBPUSD, EURGBP, GBPJPY — highest pip movement in first 90 minutes</w:t>
      </w:r>
    </w:p>
    <w:p>
      <w:pPr>
        <w:spacing w:before="40" w:after="60"/>
      </w:pPr>
      <w:r>
        <w:rPr>
          <w:rFonts w:ascii="Calibri" w:hAnsi="Calibri"/>
          <w:b/>
          <w:sz w:val="21"/>
        </w:rPr>
        <w:t xml:space="preserve">Minute 0-90: </w:t>
      </w:r>
      <w:r>
        <w:rPr>
          <w:rFonts w:ascii="Calibri" w:hAnsi="Calibri"/>
          <w:sz w:val="21"/>
        </w:rPr>
        <w:t>Maximum aggression. Session Open Scalpers fully deployed. Momentum scalpers alongside them. Sentinel confirms regime direction at 06:55 GMT (5 minutes pre-open).</w:t>
      </w:r>
    </w:p>
    <w:p>
      <w:pPr>
        <w:spacing w:before="40" w:after="60"/>
      </w:pPr>
      <w:r>
        <w:rPr>
          <w:rFonts w:ascii="Calibri" w:hAnsi="Calibri"/>
          <w:b/>
          <w:sz w:val="21"/>
        </w:rPr>
        <w:t xml:space="preserve">Minute 90-180: </w:t>
      </w:r>
      <w:r>
        <w:rPr>
          <w:rFonts w:ascii="Calibri" w:hAnsi="Calibri"/>
          <w:sz w:val="21"/>
        </w:rPr>
        <w:t>Wind down momentum scalpers. ORB logic takes over as the market begins to define its range.</w:t>
      </w:r>
    </w:p>
    <w:p>
      <w:pPr>
        <w:spacing w:before="40" w:after="60"/>
      </w:pPr>
      <w:r>
        <w:rPr>
          <w:rFonts w:ascii="Calibri" w:hAnsi="Calibri"/>
          <w:b/>
          <w:sz w:val="21"/>
        </w:rPr>
        <w:t xml:space="preserve">ORB during assault: </w:t>
      </w:r>
      <w:r>
        <w:rPr>
          <w:rFonts w:ascii="Calibri" w:hAnsi="Calibri"/>
          <w:sz w:val="21"/>
        </w:rPr>
        <w:t>Lower queue priority than scalpers but NOT excluded. If an ORB setup fires and a slot is free, it trades. If all 5 concurrent slots are scalpers, ORB waits. Priority queue: scalpers = 1-5, ORBs = 6-8.</w:t>
      </w:r>
    </w:p>
    <w:p>
      <w:pPr>
        <w:spacing w:before="200" w:after="60"/>
      </w:pPr>
      <w:r>
        <w:rPr>
          <w:rFonts w:ascii="Calibri" w:hAnsi="Calibri"/>
          <w:b/>
          <w:color w:val="2E75B6"/>
          <w:sz w:val="22"/>
        </w:rPr>
        <w:t>S3-10.3  NY Open Assault (13:00-16:00 GMT — Premium Window)</w:t>
      </w:r>
    </w:p>
    <w:p>
      <w:pPr>
        <w:spacing w:before="40" w:after="60"/>
      </w:pPr>
      <w:r>
        <w:rPr>
          <w:rFonts w:ascii="Calibri" w:hAnsi="Calibri"/>
          <w:b/>
          <w:sz w:val="21"/>
        </w:rPr>
        <w:t xml:space="preserve">Target pairs: </w:t>
      </w:r>
      <w:r>
        <w:rPr>
          <w:rFonts w:ascii="Calibri" w:hAnsi="Calibri"/>
          <w:sz w:val="21"/>
        </w:rPr>
        <w:t>EURUSD, GBPUSD, USDCAD, XAUUSD (Gold)</w:t>
      </w:r>
    </w:p>
    <w:p>
      <w:pPr>
        <w:spacing w:before="40" w:after="60"/>
      </w:pPr>
      <w:r>
        <w:rPr>
          <w:rFonts w:ascii="Calibri" w:hAnsi="Calibri"/>
          <w:b/>
          <w:sz w:val="21"/>
        </w:rPr>
        <w:t xml:space="preserve">House money: </w:t>
      </w:r>
      <w:r>
        <w:rPr>
          <w:rFonts w:ascii="Calibri" w:hAnsi="Calibri"/>
          <w:sz w:val="21"/>
        </w:rPr>
        <w:t>London-NY overlap triggers house money multiplier at +4% daily PnL threshold (lower than the normal +8%). During this window the system deploys more aggressively because liquidity is highest.</w:t>
      </w:r>
    </w:p>
    <w:p>
      <w:pPr>
        <w:spacing w:before="40" w:after="60"/>
      </w:pPr>
      <w:r>
        <w:rPr>
          <w:rFonts w:ascii="Calibri" w:hAnsi="Calibri"/>
          <w:b/>
          <w:sz w:val="21"/>
        </w:rPr>
        <w:t xml:space="preserve">NY Opening Range ORBs: </w:t>
      </w:r>
      <w:r>
        <w:rPr>
          <w:rFonts w:ascii="Calibri" w:hAnsi="Calibri"/>
          <w:sz w:val="21"/>
        </w:rPr>
        <w:t>ORB bots specifically designed for the NY 13:00-13:30 range establishment are valid in this window. London ORBs are NOT active past 11:00 GMT.</w:t>
      </w:r>
    </w:p>
    <w:p>
      <w:pPr>
        <w:spacing w:before="40" w:after="60"/>
      </w:pPr>
      <w:r>
        <w:rPr>
          <w:rFonts w:ascii="Calibri" w:hAnsi="Calibri"/>
          <w:b/>
          <w:sz w:val="21"/>
        </w:rPr>
        <w:t xml:space="preserve">Minute 0-90 (13:00-14:30): </w:t>
      </w:r>
      <w:r>
        <w:rPr>
          <w:rFonts w:ascii="Calibri" w:hAnsi="Calibri"/>
          <w:sz w:val="21"/>
        </w:rPr>
        <w:t>Maximum NY Open Assault. Session Open Scalpers + NY ORBs active.</w:t>
      </w:r>
    </w:p>
    <w:p>
      <w:pPr>
        <w:spacing w:before="40" w:after="60"/>
      </w:pPr>
      <w:r>
        <w:rPr>
          <w:rFonts w:ascii="Calibri" w:hAnsi="Calibri"/>
          <w:b/>
          <w:sz w:val="21"/>
        </w:rPr>
        <w:t xml:space="preserve">Minute 90-150 (14:30-16:00): </w:t>
      </w:r>
      <w:r>
        <w:rPr>
          <w:rFonts w:ascii="Calibri" w:hAnsi="Calibri"/>
          <w:sz w:val="21"/>
        </w:rPr>
        <w:t>Wind down. Premium overlap closes at 16:00 with the Tilt.</w:t>
      </w:r>
    </w:p>
    <w:p>
      <w:pPr>
        <w:spacing w:before="200" w:after="60"/>
      </w:pPr>
      <w:r>
        <w:rPr>
          <w:rFonts w:ascii="Calibri" w:hAnsi="Calibri"/>
          <w:b/>
          <w:color w:val="2E75B6"/>
          <w:sz w:val="22"/>
        </w:rPr>
        <w:t>S3-10.4  The 3-Hour Inter-Session Intelligence Window</w:t>
      </w:r>
    </w:p>
    <w:p>
      <w:pPr>
        <w:spacing w:before="40" w:after="80"/>
      </w:pPr>
      <w:r>
        <w:rPr>
          <w:rFonts w:ascii="Calibri" w:hAnsi="Calibri"/>
          <w:sz w:val="21"/>
        </w:rPr>
        <w:t>Between London Open close (~10:00) and NY Open start (13:00) there are approximately 3 hours. This gap is used for the Inter-Session Cooldown (see Section S3-8). The NY Open queue is set using London session performance data, creating a meritocratic performance-tiered roster for the premium window. Best London performer → first in NY queue.</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S3-11. House of Money — Corrected Threshold Architecture</w:t>
      </w:r>
    </w:p>
    <w:p>
      <w:pPr>
        <w:spacing w:before="200" w:after="60"/>
      </w:pPr>
      <w:r>
        <w:rPr>
          <w:rFonts w:ascii="Calibri" w:hAnsi="Calibri"/>
          <w:b/>
          <w:color w:val="2E75B6"/>
          <w:sz w:val="22"/>
        </w:rPr>
        <w:t>S3-11.1  Problem with Current Implementation</w:t>
      </w:r>
    </w:p>
    <w:p>
      <w:pPr>
        <w:spacing w:before="40" w:after="80"/>
      </w:pPr>
      <w:r>
        <w:rPr>
          <w:rFonts w:ascii="Calibri" w:hAnsi="Calibri"/>
          <w:sz w:val="21"/>
        </w:rPr>
        <w:t>The current EnhancedGovernor has the preservation mode trigger at -3% daily PnL. On a $200 account doing 30+ trades at 2% risk, -3% = $6 = approximately 1.5 losing trades. This is normal variance for a scalping system, not a genuine problem day. The -3% threshold causes the system to constantly throttle itself on variance, suppressing compounding.</w:t>
      </w:r>
    </w:p>
    <w:p>
      <w:pPr>
        <w:spacing w:before="200" w:after="60"/>
      </w:pPr>
      <w:r>
        <w:rPr>
          <w:rFonts w:ascii="Calibri" w:hAnsi="Calibri"/>
          <w:b/>
          <w:color w:val="2E75B6"/>
          <w:sz w:val="22"/>
        </w:rPr>
        <w:t>S3-11.2  Confirmed Corrected Thresholds</w:t>
      </w:r>
    </w:p>
    <w:tbl>
      <w:tblPr>
        <w:tblStyle w:val="TableGrid"/>
        <w:tblW w:type="auto" w:w="0"/>
        <w:tblLook w:firstColumn="1" w:firstRow="1" w:lastColumn="0" w:lastRow="0" w:noHBand="0" w:noVBand="1" w:val="04A0"/>
      </w:tblPr>
      <w:tblGrid>
        <w:gridCol w:w="2268"/>
        <w:gridCol w:w="2268"/>
        <w:gridCol w:w="2268"/>
        <w:gridCol w:w="2268"/>
      </w:tblGrid>
      <w:tr>
        <w:tc>
          <w:tcPr>
            <w:tcW w:type="dxa" w:w="2880"/>
            <w:shd w:val="clear" w:color="auto" w:fill="2E75B6"/>
          </w:tcPr>
          <w:p>
            <w:pPr>
              <w:spacing w:before="40" w:after="40"/>
            </w:pPr>
            <w:r>
              <w:rPr>
                <w:rFonts w:ascii="Calibri" w:hAnsi="Calibri"/>
                <w:b/>
                <w:color w:val="FFFFFF"/>
                <w:sz w:val="20"/>
              </w:rPr>
              <w:t>Parameter</w:t>
            </w:r>
          </w:p>
        </w:tc>
        <w:tc>
          <w:tcPr>
            <w:tcW w:type="dxa" w:w="2160"/>
            <w:shd w:val="clear" w:color="auto" w:fill="2E75B6"/>
          </w:tcPr>
          <w:p>
            <w:pPr>
              <w:spacing w:before="40" w:after="40"/>
            </w:pPr>
            <w:r>
              <w:rPr>
                <w:rFonts w:ascii="Calibri" w:hAnsi="Calibri"/>
                <w:b/>
                <w:color w:val="FFFFFF"/>
                <w:sz w:val="20"/>
              </w:rPr>
              <w:t>Current Value</w:t>
            </w:r>
          </w:p>
        </w:tc>
        <w:tc>
          <w:tcPr>
            <w:tcW w:type="dxa" w:w="2592"/>
            <w:shd w:val="clear" w:color="auto" w:fill="2E75B6"/>
          </w:tcPr>
          <w:p>
            <w:pPr>
              <w:spacing w:before="40" w:after="40"/>
            </w:pPr>
            <w:r>
              <w:rPr>
                <w:rFonts w:ascii="Calibri" w:hAnsi="Calibri"/>
                <w:b/>
                <w:color w:val="FFFFFF"/>
                <w:sz w:val="20"/>
              </w:rPr>
              <w:t>Corrected Value</w:t>
            </w:r>
          </w:p>
        </w:tc>
        <w:tc>
          <w:tcPr>
            <w:tcW w:type="dxa" w:w="3456"/>
            <w:shd w:val="clear" w:color="auto" w:fill="2E75B6"/>
          </w:tcPr>
          <w:p>
            <w:pPr>
              <w:spacing w:before="40" w:after="40"/>
            </w:pPr>
            <w:r>
              <w:rPr>
                <w:rFonts w:ascii="Calibri" w:hAnsi="Calibri"/>
                <w:b/>
                <w:color w:val="FFFFFF"/>
                <w:sz w:val="20"/>
              </w:rPr>
              <w:t>Rationale</w:t>
            </w:r>
          </w:p>
        </w:tc>
      </w:tr>
      <w:tr>
        <w:tc>
          <w:tcPr>
            <w:tcW w:type="dxa" w:w="2880"/>
            <w:shd w:val="clear" w:color="auto" w:fill="F2F2F2"/>
          </w:tcPr>
          <w:p>
            <w:pPr>
              <w:spacing w:before="40" w:after="40"/>
            </w:pPr>
            <w:r>
              <w:rPr>
                <w:rFonts w:ascii="Calibri" w:hAnsi="Calibri"/>
                <w:sz w:val="20"/>
              </w:rPr>
              <w:t>House money trigger</w:t>
            </w:r>
          </w:p>
        </w:tc>
        <w:tc>
          <w:tcPr>
            <w:tcW w:type="dxa" w:w="2160"/>
            <w:shd w:val="clear" w:color="auto" w:fill="F2F2F2"/>
          </w:tcPr>
          <w:p>
            <w:pPr>
              <w:spacing w:before="40" w:after="40"/>
            </w:pPr>
            <w:r>
              <w:rPr>
                <w:rFonts w:ascii="Calibri" w:hAnsi="Calibri"/>
                <w:sz w:val="20"/>
              </w:rPr>
              <w:t>+5% daily PnL</w:t>
            </w:r>
          </w:p>
        </w:tc>
        <w:tc>
          <w:tcPr>
            <w:tcW w:type="dxa" w:w="2592"/>
            <w:shd w:val="clear" w:color="auto" w:fill="F2F2F2"/>
          </w:tcPr>
          <w:p>
            <w:pPr>
              <w:spacing w:before="40" w:after="40"/>
            </w:pPr>
            <w:r>
              <w:rPr>
                <w:rFonts w:ascii="Calibri" w:hAnsi="Calibri"/>
                <w:sz w:val="20"/>
              </w:rPr>
              <w:t>+8% daily PnL</w:t>
            </w:r>
          </w:p>
        </w:tc>
        <w:tc>
          <w:tcPr>
            <w:tcW w:type="dxa" w:w="3456"/>
            <w:shd w:val="clear" w:color="auto" w:fill="F2F2F2"/>
          </w:tcPr>
          <w:p>
            <w:pPr>
              <w:spacing w:before="40" w:after="40"/>
            </w:pPr>
            <w:r>
              <w:rPr>
                <w:rFonts w:ascii="Calibri" w:hAnsi="Calibri"/>
                <w:sz w:val="20"/>
              </w:rPr>
              <w:t>Let the edge play out before boosting. At 2% risk/30 trades, +8% = ~4 net wins above average.</w:t>
            </w:r>
          </w:p>
        </w:tc>
      </w:tr>
      <w:tr>
        <w:tc>
          <w:tcPr>
            <w:tcW w:type="dxa" w:w="2880"/>
            <w:shd w:val="clear" w:color="auto" w:fill="FFFFFF"/>
          </w:tcPr>
          <w:p>
            <w:pPr>
              <w:spacing w:before="40" w:after="40"/>
            </w:pPr>
            <w:r>
              <w:rPr>
                <w:rFonts w:ascii="Calibri" w:hAnsi="Calibri"/>
                <w:sz w:val="20"/>
              </w:rPr>
              <w:t>House money multiplier up</w:t>
            </w:r>
          </w:p>
        </w:tc>
        <w:tc>
          <w:tcPr>
            <w:tcW w:type="dxa" w:w="2160"/>
            <w:shd w:val="clear" w:color="auto" w:fill="FFFFFF"/>
          </w:tcPr>
          <w:p>
            <w:pPr>
              <w:spacing w:before="40" w:after="40"/>
            </w:pPr>
            <w:r>
              <w:rPr>
                <w:rFonts w:ascii="Calibri" w:hAnsi="Calibri"/>
                <w:sz w:val="20"/>
              </w:rPr>
              <w:t>1.5x</w:t>
            </w:r>
          </w:p>
        </w:tc>
        <w:tc>
          <w:tcPr>
            <w:tcW w:type="dxa" w:w="2592"/>
            <w:shd w:val="clear" w:color="auto" w:fill="FFFFFF"/>
          </w:tcPr>
          <w:p>
            <w:pPr>
              <w:spacing w:before="40" w:after="40"/>
            </w:pPr>
            <w:r>
              <w:rPr>
                <w:rFonts w:ascii="Calibri" w:hAnsi="Calibri"/>
                <w:sz w:val="20"/>
              </w:rPr>
              <w:t>Scales 1.25x → 2.0x</w:t>
            </w:r>
          </w:p>
        </w:tc>
        <w:tc>
          <w:tcPr>
            <w:tcW w:type="dxa" w:w="3456"/>
            <w:shd w:val="clear" w:color="auto" w:fill="FFFFFF"/>
          </w:tcPr>
          <w:p>
            <w:pPr>
              <w:spacing w:before="40" w:after="40"/>
            </w:pPr>
            <w:r>
              <w:rPr>
                <w:rFonts w:ascii="Calibri" w:hAnsi="Calibri"/>
                <w:sz w:val="20"/>
              </w:rPr>
              <w:t>Continuous scaling (not binary). Formula: multiplier = 1.0 + (pnl_pct / 0.10), capped at 2.5x.</w:t>
            </w:r>
          </w:p>
        </w:tc>
      </w:tr>
      <w:tr>
        <w:tc>
          <w:tcPr>
            <w:tcW w:type="dxa" w:w="2880"/>
            <w:shd w:val="clear" w:color="auto" w:fill="F2F2F2"/>
          </w:tcPr>
          <w:p>
            <w:pPr>
              <w:spacing w:before="40" w:after="40"/>
            </w:pPr>
            <w:r>
              <w:rPr>
                <w:rFonts w:ascii="Calibri" w:hAnsi="Calibri"/>
                <w:sz w:val="20"/>
              </w:rPr>
              <w:t>Preservation trigger</w:t>
            </w:r>
          </w:p>
        </w:tc>
        <w:tc>
          <w:tcPr>
            <w:tcW w:type="dxa" w:w="2160"/>
            <w:shd w:val="clear" w:color="auto" w:fill="F2F2F2"/>
          </w:tcPr>
          <w:p>
            <w:pPr>
              <w:spacing w:before="40" w:after="40"/>
            </w:pPr>
            <w:r>
              <w:rPr>
                <w:rFonts w:ascii="Calibri" w:hAnsi="Calibri"/>
                <w:sz w:val="20"/>
              </w:rPr>
              <w:t>-3% daily PnL</w:t>
            </w:r>
          </w:p>
        </w:tc>
        <w:tc>
          <w:tcPr>
            <w:tcW w:type="dxa" w:w="2592"/>
            <w:shd w:val="clear" w:color="auto" w:fill="F2F2F2"/>
          </w:tcPr>
          <w:p>
            <w:pPr>
              <w:spacing w:before="40" w:after="40"/>
            </w:pPr>
            <w:r>
              <w:rPr>
                <w:rFonts w:ascii="Calibri" w:hAnsi="Calibri"/>
                <w:sz w:val="20"/>
              </w:rPr>
              <w:t>-10% daily PnL</w:t>
            </w:r>
          </w:p>
        </w:tc>
        <w:tc>
          <w:tcPr>
            <w:tcW w:type="dxa" w:w="3456"/>
            <w:shd w:val="clear" w:color="auto" w:fill="F2F2F2"/>
          </w:tcPr>
          <w:p>
            <w:pPr>
              <w:spacing w:before="40" w:after="40"/>
            </w:pPr>
            <w:r>
              <w:rPr>
                <w:rFonts w:ascii="Calibri" w:hAnsi="Calibri"/>
                <w:sz w:val="20"/>
              </w:rPr>
              <w:t>-10% = 5 net losses at 2% risk. This is genuine system malfunction, not variance.</w:t>
            </w:r>
          </w:p>
        </w:tc>
      </w:tr>
      <w:tr>
        <w:tc>
          <w:tcPr>
            <w:tcW w:type="dxa" w:w="2880"/>
            <w:shd w:val="clear" w:color="auto" w:fill="FFFFFF"/>
          </w:tcPr>
          <w:p>
            <w:pPr>
              <w:spacing w:before="40" w:after="40"/>
            </w:pPr>
            <w:r>
              <w:rPr>
                <w:rFonts w:ascii="Calibri" w:hAnsi="Calibri"/>
                <w:sz w:val="20"/>
              </w:rPr>
              <w:t>Preservation multiplier</w:t>
            </w:r>
          </w:p>
        </w:tc>
        <w:tc>
          <w:tcPr>
            <w:tcW w:type="dxa" w:w="2160"/>
            <w:shd w:val="clear" w:color="auto" w:fill="FFFFFF"/>
          </w:tcPr>
          <w:p>
            <w:pPr>
              <w:spacing w:before="40" w:after="40"/>
            </w:pPr>
            <w:r>
              <w:rPr>
                <w:rFonts w:ascii="Calibri" w:hAnsi="Calibri"/>
                <w:sz w:val="20"/>
              </w:rPr>
              <w:t>0.5x</w:t>
            </w:r>
          </w:p>
        </w:tc>
        <w:tc>
          <w:tcPr>
            <w:tcW w:type="dxa" w:w="2592"/>
            <w:shd w:val="clear" w:color="auto" w:fill="FFFFFF"/>
          </w:tcPr>
          <w:p>
            <w:pPr>
              <w:spacing w:before="40" w:after="40"/>
            </w:pPr>
            <w:r>
              <w:rPr>
                <w:rFonts w:ascii="Calibri" w:hAnsi="Calibri"/>
                <w:sz w:val="20"/>
              </w:rPr>
              <w:t>0.5x (unchanged)</w:t>
            </w:r>
          </w:p>
        </w:tc>
        <w:tc>
          <w:tcPr>
            <w:tcW w:type="dxa" w:w="3456"/>
            <w:shd w:val="clear" w:color="auto" w:fill="FFFFFF"/>
          </w:tcPr>
          <w:p>
            <w:pPr>
              <w:spacing w:before="40" w:after="40"/>
            </w:pPr>
            <w:r>
              <w:rPr>
                <w:rFonts w:ascii="Calibri" w:hAnsi="Calibri"/>
                <w:sz w:val="20"/>
              </w:rPr>
              <w:t>The multiplier is correct. Only the trigger threshold was wrong.</w:t>
            </w:r>
          </w:p>
        </w:tc>
      </w:tr>
      <w:tr>
        <w:tc>
          <w:tcPr>
            <w:tcW w:type="dxa" w:w="2880"/>
            <w:shd w:val="clear" w:color="auto" w:fill="F2F2F2"/>
          </w:tcPr>
          <w:p>
            <w:pPr>
              <w:spacing w:before="40" w:after="40"/>
            </w:pPr>
            <w:r>
              <w:rPr>
                <w:rFonts w:ascii="Calibri" w:hAnsi="Calibri"/>
                <w:sz w:val="20"/>
              </w:rPr>
              <w:t>London-NY overlap trigger</w:t>
            </w:r>
          </w:p>
        </w:tc>
        <w:tc>
          <w:tcPr>
            <w:tcW w:type="dxa" w:w="2160"/>
            <w:shd w:val="clear" w:color="auto" w:fill="F2F2F2"/>
          </w:tcPr>
          <w:p>
            <w:pPr>
              <w:spacing w:before="40" w:after="40"/>
            </w:pPr>
            <w:r>
              <w:rPr>
                <w:rFonts w:ascii="Calibri" w:hAnsi="Calibri"/>
                <w:sz w:val="20"/>
              </w:rPr>
              <w:t>N/A</w:t>
            </w:r>
          </w:p>
        </w:tc>
        <w:tc>
          <w:tcPr>
            <w:tcW w:type="dxa" w:w="2592"/>
            <w:shd w:val="clear" w:color="auto" w:fill="F2F2F2"/>
          </w:tcPr>
          <w:p>
            <w:pPr>
              <w:spacing w:before="40" w:after="40"/>
            </w:pPr>
            <w:r>
              <w:rPr>
                <w:rFonts w:ascii="Calibri" w:hAnsi="Calibri"/>
                <w:sz w:val="20"/>
              </w:rPr>
              <w:t>+4% daily PnL</w:t>
            </w:r>
          </w:p>
        </w:tc>
        <w:tc>
          <w:tcPr>
            <w:tcW w:type="dxa" w:w="3456"/>
            <w:shd w:val="clear" w:color="auto" w:fill="F2F2F2"/>
          </w:tcPr>
          <w:p>
            <w:pPr>
              <w:spacing w:before="40" w:after="40"/>
            </w:pPr>
            <w:r>
              <w:rPr>
                <w:rFonts w:ascii="Calibri" w:hAnsi="Calibri"/>
                <w:sz w:val="20"/>
              </w:rPr>
              <w:t>Lower threshold in premium session. Deploy faster when liquidity is highest.</w:t>
            </w:r>
          </w:p>
        </w:tc>
      </w:tr>
      <w:tr>
        <w:tc>
          <w:tcPr>
            <w:tcW w:type="dxa" w:w="2880"/>
            <w:shd w:val="clear" w:color="auto" w:fill="FFFFFF"/>
          </w:tcPr>
          <w:p>
            <w:pPr>
              <w:spacing w:before="40" w:after="40"/>
            </w:pPr>
            <w:r>
              <w:rPr>
                <w:rFonts w:ascii="Calibri" w:hAnsi="Calibri"/>
                <w:sz w:val="20"/>
              </w:rPr>
              <w:t>London-NY overlap multiplier</w:t>
            </w:r>
          </w:p>
        </w:tc>
        <w:tc>
          <w:tcPr>
            <w:tcW w:type="dxa" w:w="2160"/>
            <w:shd w:val="clear" w:color="auto" w:fill="FFFFFF"/>
          </w:tcPr>
          <w:p>
            <w:pPr>
              <w:spacing w:before="40" w:after="40"/>
            </w:pPr>
            <w:r>
              <w:rPr>
                <w:rFonts w:ascii="Calibri" w:hAnsi="Calibri"/>
                <w:sz w:val="20"/>
              </w:rPr>
              <w:t>N/A</w:t>
            </w:r>
          </w:p>
        </w:tc>
        <w:tc>
          <w:tcPr>
            <w:tcW w:type="dxa" w:w="2592"/>
            <w:shd w:val="clear" w:color="auto" w:fill="FFFFFF"/>
          </w:tcPr>
          <w:p>
            <w:pPr>
              <w:spacing w:before="40" w:after="40"/>
            </w:pPr>
            <w:r>
              <w:rPr>
                <w:rFonts w:ascii="Calibri" w:hAnsi="Calibri"/>
                <w:sz w:val="20"/>
              </w:rPr>
              <w:t>1.75x → 2.5x scaling</w:t>
            </w:r>
          </w:p>
        </w:tc>
        <w:tc>
          <w:tcPr>
            <w:tcW w:type="dxa" w:w="3456"/>
            <w:shd w:val="clear" w:color="auto" w:fill="FFFFFF"/>
          </w:tcPr>
          <w:p>
            <w:pPr>
              <w:spacing w:before="40" w:after="40"/>
            </w:pPr>
            <w:r>
              <w:rPr>
                <w:rFonts w:ascii="Calibri" w:hAnsi="Calibri"/>
                <w:sz w:val="20"/>
              </w:rPr>
              <w:t>More aggression in the premium window but with the overlap consecutive loss protection.</w:t>
            </w:r>
          </w:p>
        </w:tc>
      </w:tr>
      <w:tr>
        <w:tc>
          <w:tcPr>
            <w:tcW w:type="dxa" w:w="2880"/>
            <w:shd w:val="clear" w:color="auto" w:fill="F2F2F2"/>
          </w:tcPr>
          <w:p>
            <w:pPr>
              <w:spacing w:before="40" w:after="40"/>
            </w:pPr>
            <w:r>
              <w:rPr>
                <w:rFonts w:ascii="Calibri" w:hAnsi="Calibri"/>
                <w:sz w:val="20"/>
              </w:rPr>
              <w:t>Overlap protection</w:t>
            </w:r>
          </w:p>
        </w:tc>
        <w:tc>
          <w:tcPr>
            <w:tcW w:type="dxa" w:w="2160"/>
            <w:shd w:val="clear" w:color="auto" w:fill="F2F2F2"/>
          </w:tcPr>
          <w:p>
            <w:pPr>
              <w:spacing w:before="40" w:after="40"/>
            </w:pPr>
            <w:r>
              <w:rPr>
                <w:rFonts w:ascii="Calibri" w:hAnsi="Calibri"/>
                <w:sz w:val="20"/>
              </w:rPr>
              <w:t>N/A</w:t>
            </w:r>
          </w:p>
        </w:tc>
        <w:tc>
          <w:tcPr>
            <w:tcW w:type="dxa" w:w="2592"/>
            <w:shd w:val="clear" w:color="auto" w:fill="F2F2F2"/>
          </w:tcPr>
          <w:p>
            <w:pPr>
              <w:spacing w:before="40" w:after="40"/>
            </w:pPr>
            <w:r>
              <w:rPr>
                <w:rFonts w:ascii="Calibri" w:hAnsi="Calibri"/>
                <w:sz w:val="20"/>
              </w:rPr>
              <w:t>3 consecutive losses in overlap → reset multiplier to 1.0x for that session only</w:t>
            </w:r>
          </w:p>
        </w:tc>
        <w:tc>
          <w:tcPr>
            <w:tcW w:type="dxa" w:w="3456"/>
            <w:shd w:val="clear" w:color="auto" w:fill="F2F2F2"/>
          </w:tcPr>
          <w:p>
            <w:pPr>
              <w:spacing w:before="40" w:after="40"/>
            </w:pPr>
            <w:r>
              <w:rPr>
                <w:rFonts w:ascii="Calibri" w:hAnsi="Calibri"/>
                <w:sz w:val="20"/>
              </w:rPr>
              <w:t>Prevents a bad overlap run from spiralling.</w:t>
            </w:r>
          </w:p>
        </w:tc>
      </w:tr>
      <w:tr>
        <w:tc>
          <w:tcPr>
            <w:tcW w:type="dxa" w:w="2880"/>
            <w:shd w:val="clear" w:color="auto" w:fill="FFFFFF"/>
          </w:tcPr>
          <w:p>
            <w:pPr>
              <w:spacing w:before="40" w:after="40"/>
            </w:pPr>
            <w:r>
              <w:rPr>
                <w:rFonts w:ascii="Calibri" w:hAnsi="Calibri"/>
                <w:sz w:val="20"/>
              </w:rPr>
              <w:t>Session reset</w:t>
            </w:r>
          </w:p>
        </w:tc>
        <w:tc>
          <w:tcPr>
            <w:tcW w:type="dxa" w:w="2160"/>
            <w:shd w:val="clear" w:color="auto" w:fill="FFFFFF"/>
          </w:tcPr>
          <w:p>
            <w:pPr>
              <w:spacing w:before="40" w:after="40"/>
            </w:pPr>
            <w:r>
              <w:rPr>
                <w:rFonts w:ascii="Calibri" w:hAnsi="Calibri"/>
                <w:sz w:val="20"/>
              </w:rPr>
              <w:t>Daily</w:t>
            </w:r>
          </w:p>
        </w:tc>
        <w:tc>
          <w:tcPr>
            <w:tcW w:type="dxa" w:w="2592"/>
            <w:shd w:val="clear" w:color="auto" w:fill="FFFFFF"/>
          </w:tcPr>
          <w:p>
            <w:pPr>
              <w:spacing w:before="40" w:after="40"/>
            </w:pPr>
            <w:r>
              <w:rPr>
                <w:rFonts w:ascii="Calibri" w:hAnsi="Calibri"/>
                <w:sz w:val="20"/>
              </w:rPr>
              <w:t>Daily at 00:00 GMT (start of Sydney cycle)</w:t>
            </w:r>
          </w:p>
        </w:tc>
        <w:tc>
          <w:tcPr>
            <w:tcW w:type="dxa" w:w="3456"/>
            <w:shd w:val="clear" w:color="auto" w:fill="FFFFFF"/>
          </w:tcPr>
          <w:p>
            <w:pPr>
              <w:spacing w:before="40" w:after="40"/>
            </w:pPr>
            <w:r>
              <w:rPr>
                <w:rFonts w:ascii="Calibri" w:hAnsi="Calibri"/>
                <w:sz w:val="20"/>
              </w:rPr>
              <w:t>House money state resets at the start of each full trading day cycle.</w:t>
            </w:r>
          </w:p>
        </w:tc>
      </w:tr>
    </w:tbl>
    <w:p/>
    <w:p>
      <w:pPr>
        <w:spacing w:before="200" w:after="60"/>
      </w:pPr>
      <w:r>
        <w:rPr>
          <w:rFonts w:ascii="Calibri" w:hAnsi="Calibri"/>
          <w:b/>
          <w:color w:val="2E75B6"/>
          <w:sz w:val="22"/>
        </w:rPr>
        <w:t>S3-11.3  Continuous Scaling Formula</w:t>
      </w:r>
    </w:p>
    <w:p>
      <w:pPr>
        <w:spacing w:before="40" w:after="80"/>
      </w:pPr>
      <w:r>
        <w:rPr>
          <w:rFonts w:ascii="Calibri" w:hAnsi="Calibri"/>
          <w:sz w:val="21"/>
        </w:rPr>
        <w:t>Replace the binary 1.0x / 1.5x flip with continuous scaling:</w:t>
      </w:r>
    </w:p>
    <w:p>
      <w:pPr>
        <w:spacing w:before="20" w:after="20"/>
        <w:ind w:left="432"/>
        <w:shd w:val="clear" w:color="auto" w:fill="F2F2F2"/>
      </w:pPr>
      <w:r>
        <w:rPr>
          <w:rFonts w:ascii="Courier New" w:hAnsi="Courier New"/>
          <w:sz w:val="18"/>
        </w:rPr>
        <w:t>def _update_house_money_effect(self, current_balance: float) -&gt; None:</w:t>
      </w:r>
    </w:p>
    <w:p>
      <w:pPr>
        <w:spacing w:before="20" w:after="20"/>
        <w:ind w:left="432"/>
        <w:shd w:val="clear" w:color="auto" w:fill="F2F2F2"/>
      </w:pPr>
      <w:r>
        <w:rPr>
          <w:rFonts w:ascii="Courier New" w:hAnsi="Courier New"/>
          <w:sz w:val="18"/>
        </w:rPr>
        <w:t xml:space="preserve">    pnl_pct = (current_balance - self._daily_start_balance) / self._daily_start_balance</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xml:space="preserve">    if pnl_pct &gt; 0.08:  # Above +8%: house money active, continuous scaling</w:t>
      </w:r>
    </w:p>
    <w:p>
      <w:pPr>
        <w:spacing w:before="20" w:after="20"/>
        <w:ind w:left="432"/>
        <w:shd w:val="clear" w:color="auto" w:fill="F2F2F2"/>
      </w:pPr>
      <w:r>
        <w:rPr>
          <w:rFonts w:ascii="Courier New" w:hAnsi="Courier New"/>
          <w:sz w:val="18"/>
        </w:rPr>
        <w:t xml:space="preserve">        multiplier = 1.0 + (pnl_pct / 0.10)</w:t>
      </w:r>
    </w:p>
    <w:p>
      <w:pPr>
        <w:spacing w:before="20" w:after="20"/>
        <w:ind w:left="432"/>
        <w:shd w:val="clear" w:color="auto" w:fill="F2F2F2"/>
      </w:pPr>
      <w:r>
        <w:rPr>
          <w:rFonts w:ascii="Courier New" w:hAnsi="Courier New"/>
          <w:sz w:val="18"/>
        </w:rPr>
        <w:t xml:space="preserve">        multiplier = min(multiplier, 2.5)   # Hard ceiling at 2.5x</w:t>
      </w:r>
    </w:p>
    <w:p>
      <w:pPr>
        <w:spacing w:before="20" w:after="20"/>
        <w:ind w:left="432"/>
        <w:shd w:val="clear" w:color="auto" w:fill="F2F2F2"/>
      </w:pPr>
      <w:r>
        <w:rPr>
          <w:rFonts w:ascii="Courier New" w:hAnsi="Courier New"/>
          <w:sz w:val="18"/>
        </w:rPr>
        <w:t xml:space="preserve">    elif pnl_pct &gt; 0.04:  # +4% to +8%: early house money</w:t>
      </w:r>
    </w:p>
    <w:p>
      <w:pPr>
        <w:spacing w:before="20" w:after="20"/>
        <w:ind w:left="432"/>
        <w:shd w:val="clear" w:color="auto" w:fill="F2F2F2"/>
      </w:pPr>
      <w:r>
        <w:rPr>
          <w:rFonts w:ascii="Courier New" w:hAnsi="Courier New"/>
          <w:sz w:val="18"/>
        </w:rPr>
        <w:t xml:space="preserve">        multiplier = 1.25</w:t>
      </w:r>
    </w:p>
    <w:p>
      <w:pPr>
        <w:spacing w:before="20" w:after="20"/>
        <w:ind w:left="432"/>
        <w:shd w:val="clear" w:color="auto" w:fill="F2F2F2"/>
      </w:pPr>
      <w:r>
        <w:rPr>
          <w:rFonts w:ascii="Courier New" w:hAnsi="Courier New"/>
          <w:sz w:val="18"/>
        </w:rPr>
        <w:t xml:space="preserve">    elif pnl_pct &lt; -0.10:  # Below -10%: preservation mode</w:t>
      </w:r>
    </w:p>
    <w:p>
      <w:pPr>
        <w:spacing w:before="20" w:after="20"/>
        <w:ind w:left="432"/>
        <w:shd w:val="clear" w:color="auto" w:fill="F2F2F2"/>
      </w:pPr>
      <w:r>
        <w:rPr>
          <w:rFonts w:ascii="Courier New" w:hAnsi="Courier New"/>
          <w:sz w:val="18"/>
        </w:rPr>
        <w:t xml:space="preserve">        multiplier = 0.5</w:t>
      </w:r>
    </w:p>
    <w:p>
      <w:pPr>
        <w:spacing w:before="20" w:after="20"/>
        <w:ind w:left="432"/>
        <w:shd w:val="clear" w:color="auto" w:fill="F2F2F2"/>
      </w:pPr>
      <w:r>
        <w:rPr>
          <w:rFonts w:ascii="Courier New" w:hAnsi="Courier New"/>
          <w:sz w:val="18"/>
        </w:rPr>
        <w:t xml:space="preserve">    else:</w:t>
      </w:r>
    </w:p>
    <w:p>
      <w:pPr>
        <w:spacing w:before="20" w:after="20"/>
        <w:ind w:left="432"/>
        <w:shd w:val="clear" w:color="auto" w:fill="F2F2F2"/>
      </w:pPr>
      <w:r>
        <w:rPr>
          <w:rFonts w:ascii="Courier New" w:hAnsi="Courier New"/>
          <w:sz w:val="18"/>
        </w:rPr>
        <w:t xml:space="preserve">        multiplier = 1.0  # Normal range</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xml:space="preserve">    # London-NY overlap override (applied on top if in premium session)</w:t>
      </w:r>
    </w:p>
    <w:p>
      <w:pPr>
        <w:spacing w:before="20" w:after="20"/>
        <w:ind w:left="432"/>
        <w:shd w:val="clear" w:color="auto" w:fill="F2F2F2"/>
      </w:pPr>
      <w:r>
        <w:rPr>
          <w:rFonts w:ascii="Courier New" w:hAnsi="Courier New"/>
          <w:sz w:val="18"/>
        </w:rPr>
        <w:t xml:space="preserve">    if self._in_london_ny_overlap():</w:t>
      </w:r>
    </w:p>
    <w:p>
      <w:pPr>
        <w:spacing w:before="20" w:after="20"/>
        <w:ind w:left="432"/>
        <w:shd w:val="clear" w:color="auto" w:fill="F2F2F2"/>
      </w:pPr>
      <w:r>
        <w:rPr>
          <w:rFonts w:ascii="Courier New" w:hAnsi="Courier New"/>
          <w:sz w:val="18"/>
        </w:rPr>
        <w:t xml:space="preserve">        if pnl_pct &gt; 0.04:  # Lower trigger in premium session</w:t>
      </w:r>
    </w:p>
    <w:p>
      <w:pPr>
        <w:spacing w:before="20" w:after="20"/>
        <w:ind w:left="432"/>
        <w:shd w:val="clear" w:color="auto" w:fill="F2F2F2"/>
      </w:pPr>
      <w:r>
        <w:rPr>
          <w:rFonts w:ascii="Courier New" w:hAnsi="Courier New"/>
          <w:sz w:val="18"/>
        </w:rPr>
        <w:t xml:space="preserve">            multiplier = max(multiplier, 1.0 + (pnl_pct / 0.08))</w:t>
      </w:r>
    </w:p>
    <w:p>
      <w:pPr>
        <w:spacing w:before="20" w:after="20"/>
        <w:ind w:left="432"/>
        <w:shd w:val="clear" w:color="auto" w:fill="F2F2F2"/>
      </w:pPr>
      <w:r>
        <w:rPr>
          <w:rFonts w:ascii="Courier New" w:hAnsi="Courier New"/>
          <w:sz w:val="18"/>
        </w:rPr>
        <w:t xml:space="preserve">            multiplier = min(multiplier, 2.5)</w:t>
      </w:r>
    </w:p>
    <w:p>
      <w:pPr>
        <w:spacing w:before="20" w:after="20"/>
        <w:ind w:left="432"/>
        <w:shd w:val="clear" w:color="auto" w:fill="F2F2F2"/>
      </w:pPr>
      <w:r>
        <w:rPr>
          <w:rFonts w:ascii="Courier New" w:hAnsi="Courier New"/>
          <w:sz w:val="18"/>
        </w:rPr>
        <w:t xml:space="preserve">        if self._overlap_consecutive_losses &gt;= 3:</w:t>
      </w:r>
    </w:p>
    <w:p>
      <w:pPr>
        <w:spacing w:before="20" w:after="20"/>
        <w:ind w:left="432"/>
        <w:shd w:val="clear" w:color="auto" w:fill="F2F2F2"/>
      </w:pPr>
      <w:r>
        <w:rPr>
          <w:rFonts w:ascii="Courier New" w:hAnsi="Courier New"/>
          <w:sz w:val="18"/>
        </w:rPr>
        <w:t xml:space="preserve">            multiplier = 1.0  # Reset on 3 consecutive overlap losses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xml:space="preserve">    self.house_money_multiplier = multiplier</w:t>
      </w:r>
    </w:p>
    <w:p>
      <w:pPr>
        <w:spacing w:before="120" w:after="120"/>
        <w:ind w:left="360"/>
        <w:shd w:val="clear" w:color="auto" w:fill="FFF2CC"/>
      </w:pPr>
      <w:r>
        <w:rPr>
          <w:rFonts w:ascii="Calibri" w:hAnsi="Calibri"/>
          <w:b/>
          <w:color w:val="C55A11"/>
          <w:sz w:val="21"/>
        </w:rPr>
        <w:t xml:space="preserve">NOTE: </w:t>
      </w:r>
      <w:r>
        <w:rPr>
          <w:rFonts w:ascii="Calibri" w:hAnsi="Calibri"/>
          <w:sz w:val="21"/>
        </w:rPr>
        <w:t>The _in_london_ny_overlap() method checks if current UTC time is between 13:00 and 16:00 GMT. _overlap_consecutive_losses is a session-scoped counter reset at 16:00 GMT daily.</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S3-12. Enhanced Kelly — Analysis at Confirmed R:R Ratios</w:t>
      </w:r>
    </w:p>
    <w:p>
      <w:pPr>
        <w:spacing w:before="200" w:after="60"/>
      </w:pPr>
      <w:r>
        <w:rPr>
          <w:rFonts w:ascii="Calibri" w:hAnsi="Calibri"/>
          <w:b/>
          <w:color w:val="2E75B6"/>
          <w:sz w:val="22"/>
        </w:rPr>
        <w:t>S3-12.1  Kelly Fraction at 1:2 R:R</w:t>
      </w:r>
    </w:p>
    <w:p>
      <w:pPr>
        <w:spacing w:before="20" w:after="20"/>
        <w:ind w:left="432"/>
        <w:shd w:val="clear" w:color="auto" w:fill="F2F2F2"/>
      </w:pPr>
      <w:r>
        <w:rPr>
          <w:rFonts w:ascii="Courier New" w:hAnsi="Courier New"/>
          <w:sz w:val="18"/>
        </w:rPr>
        <w:t>win_rate = 0.52, payoff_ratio = 2.0</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Base Kelly</w:t>
      </w:r>
    </w:p>
    <w:p>
      <w:pPr>
        <w:spacing w:before="20" w:after="20"/>
        <w:ind w:left="432"/>
        <w:shd w:val="clear" w:color="auto" w:fill="F2F2F2"/>
      </w:pPr>
      <w:r>
        <w:rPr>
          <w:rFonts w:ascii="Courier New" w:hAnsi="Courier New"/>
          <w:sz w:val="18"/>
        </w:rPr>
        <w:t>f* = ((2 + 1) × 0.52 - 1) / 2 = (1.56 - 1) / 2 = 0.56 / 2 = 0.28 = 28%</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After Layer 1 (Half-Kelly, kelly_fraction=0.50 in EnhancedKellyConfig):</w:t>
      </w:r>
    </w:p>
    <w:p>
      <w:pPr>
        <w:spacing w:before="20" w:after="20"/>
        <w:ind w:left="432"/>
        <w:shd w:val="clear" w:color="auto" w:fill="F2F2F2"/>
      </w:pPr>
      <w:r>
        <w:rPr>
          <w:rFonts w:ascii="Courier New" w:hAnsi="Courier New"/>
          <w:sz w:val="18"/>
        </w:rPr>
        <w:t>f_layer1 = 0.28 × 0.50 = 0.14 = 14%</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After Layer 2 (Hard cap, max_risk_pct=0.02):</w:t>
      </w:r>
    </w:p>
    <w:p>
      <w:pPr>
        <w:spacing w:before="20" w:after="20"/>
        <w:ind w:left="432"/>
        <w:shd w:val="clear" w:color="auto" w:fill="F2F2F2"/>
      </w:pPr>
      <w:r>
        <w:rPr>
          <w:rFonts w:ascii="Courier New" w:hAnsi="Courier New"/>
          <w:sz w:val="18"/>
        </w:rPr>
        <w:t>f_final = min(0.14, 0.02) = 0.02 = 2%</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Result: System always caps at 2% per trade at 1:2 R:R, 52% WR</w:t>
      </w:r>
    </w:p>
    <w:p>
      <w:pPr>
        <w:spacing w:before="20" w:after="20"/>
        <w:ind w:left="432"/>
        <w:shd w:val="clear" w:color="auto" w:fill="F2F2F2"/>
      </w:pPr>
      <w:r>
        <w:rPr>
          <w:rFonts w:ascii="Courier New" w:hAnsi="Courier New"/>
          <w:sz w:val="18"/>
        </w:rPr>
        <w:t># On $200 account: risk per trade = $200 × 0.02 = $4</w:t>
      </w:r>
    </w:p>
    <w:p>
      <w:pPr>
        <w:spacing w:before="200" w:after="60"/>
      </w:pPr>
      <w:r>
        <w:rPr>
          <w:rFonts w:ascii="Calibri" w:hAnsi="Calibri"/>
          <w:b/>
          <w:color w:val="2E75B6"/>
          <w:sz w:val="22"/>
        </w:rPr>
        <w:t>S3-12.2  Kelly Fraction at 1:3 R:R</w:t>
      </w:r>
    </w:p>
    <w:p>
      <w:pPr>
        <w:spacing w:before="20" w:after="20"/>
        <w:ind w:left="432"/>
        <w:shd w:val="clear" w:color="auto" w:fill="F2F2F2"/>
      </w:pPr>
      <w:r>
        <w:rPr>
          <w:rFonts w:ascii="Courier New" w:hAnsi="Courier New"/>
          <w:sz w:val="18"/>
        </w:rPr>
        <w:t>win_rate = 0.52, payoff_ratio = 3.0</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Base Kelly</w:t>
      </w:r>
    </w:p>
    <w:p>
      <w:pPr>
        <w:spacing w:before="20" w:after="20"/>
        <w:ind w:left="432"/>
        <w:shd w:val="clear" w:color="auto" w:fill="F2F2F2"/>
      </w:pPr>
      <w:r>
        <w:rPr>
          <w:rFonts w:ascii="Courier New" w:hAnsi="Courier New"/>
          <w:sz w:val="18"/>
        </w:rPr>
        <w:t>f* = ((3 + 1) × 0.52 - 1) / 3 = (2.08 - 1) / 3 = 1.08 / 3 = 0.36 = 36%</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After Layer 1 (Half-Kelly):</w:t>
      </w:r>
    </w:p>
    <w:p>
      <w:pPr>
        <w:spacing w:before="20" w:after="20"/>
        <w:ind w:left="432"/>
        <w:shd w:val="clear" w:color="auto" w:fill="F2F2F2"/>
      </w:pPr>
      <w:r>
        <w:rPr>
          <w:rFonts w:ascii="Courier New" w:hAnsi="Courier New"/>
          <w:sz w:val="18"/>
        </w:rPr>
        <w:t>f_layer1 = 0.36 × 0.50 = 0.18 = 18%</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After Layer 2 (Hard cap):</w:t>
      </w:r>
    </w:p>
    <w:p>
      <w:pPr>
        <w:spacing w:before="20" w:after="20"/>
        <w:ind w:left="432"/>
        <w:shd w:val="clear" w:color="auto" w:fill="F2F2F2"/>
      </w:pPr>
      <w:r>
        <w:rPr>
          <w:rFonts w:ascii="Courier New" w:hAnsi="Courier New"/>
          <w:sz w:val="18"/>
        </w:rPr>
        <w:t>f_final = min(0.18, 0.02) = 0.02 = 2%</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 Both R:R targets hit the 2% hard cap. The cap is the binding constraint.</w:t>
      </w:r>
    </w:p>
    <w:p>
      <w:pPr>
        <w:spacing w:before="20" w:after="20"/>
        <w:ind w:left="432"/>
        <w:shd w:val="clear" w:color="auto" w:fill="F2F2F2"/>
      </w:pPr>
      <w:r>
        <w:rPr>
          <w:rFonts w:ascii="Courier New" w:hAnsi="Courier New"/>
          <w:sz w:val="18"/>
        </w:rPr>
        <w:t># This is correct and intentional — 2% is conservative by design at startup.</w:t>
      </w:r>
    </w:p>
    <w:p>
      <w:pPr>
        <w:spacing w:before="20" w:after="20"/>
        <w:ind w:left="432"/>
        <w:shd w:val="clear" w:color="auto" w:fill="F2F2F2"/>
      </w:pPr>
      <w:r>
        <w:rPr>
          <w:rFonts w:ascii="Courier New" w:hAnsi="Courier New"/>
          <w:sz w:val="18"/>
        </w:rPr>
        <w:t># As equity grows and confidence builds, max_risk_pct can be reviewed.</w:t>
      </w:r>
    </w:p>
    <w:p>
      <w:pPr>
        <w:spacing w:before="200" w:after="60"/>
      </w:pPr>
      <w:r>
        <w:rPr>
          <w:rFonts w:ascii="Calibri" w:hAnsi="Calibri"/>
          <w:b/>
          <w:color w:val="2E75B6"/>
          <w:sz w:val="22"/>
        </w:rPr>
        <w:t>S3-12.3  Early Phase Fallback</w:t>
      </w:r>
    </w:p>
    <w:p>
      <w:pPr>
        <w:spacing w:before="40" w:after="80"/>
      </w:pPr>
      <w:r>
        <w:rPr>
          <w:rFonts w:ascii="Calibri" w:hAnsi="Calibri"/>
          <w:sz w:val="21"/>
        </w:rPr>
        <w:t>The EnhancedKellyConfig.fallback_risk_pct = 0.01 (1%) is used when a bot has fewer than min_trade_history = 30 validated trades. In the early phase (first few weeks of live trading), all bots will be in fallback mode: 1% risk = $2 per trade on a $200 account. Once 30 trades are accumulated, the system switches to the Kelly-calculated fraction (which immediately hits the 2% cap at these R:R ratios). There is no manual switch required — this is automatic in EnhancedKellyCalculator.</w:t>
      </w:r>
    </w:p>
    <w:p>
      <w:pPr>
        <w:spacing w:before="200" w:after="60"/>
      </w:pPr>
      <w:r>
        <w:rPr>
          <w:rFonts w:ascii="Calibri" w:hAnsi="Calibri"/>
          <w:b/>
          <w:color w:val="2E75B6"/>
          <w:sz w:val="22"/>
        </w:rPr>
        <w:t>S3-12.4  Kelly Is Already Optimised for 1:2 R:R</w:t>
      </w:r>
    </w:p>
    <w:p>
      <w:pPr>
        <w:spacing w:before="40" w:after="80"/>
      </w:pPr>
      <w:r>
        <w:rPr>
          <w:rFonts w:ascii="Calibri" w:hAnsi="Calibri"/>
          <w:sz w:val="21"/>
        </w:rPr>
        <w:t>The EnhancedKellyCalculator already performs fee-adjusted Kelly calculation. avg_win and avg_loss are adjusted for commission and spread before the Kelly formula runs. This means the 2% output already accounts for trading costs — do NOT deduct fees separately from EV calculations. The Kelly output IS the fee-adjusted risk fraction.</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S3-13. Seven Scalping Logic Families</w:t>
      </w:r>
    </w:p>
    <w:p>
      <w:pPr>
        <w:spacing w:before="40" w:after="80"/>
      </w:pPr>
      <w:r>
        <w:rPr>
          <w:rFonts w:ascii="Calibri" w:hAnsi="Calibri"/>
          <w:sz w:val="21"/>
        </w:rPr>
        <w:t>IMPORTANT CLARIFICATION: 'Scalping' describes a holding period (M1/M5 timeframes, typically under 30 minutes). It does NOT describe a specific entry logic. The following seven families each use different entry logic but all share the scalping holding period constraint. Each family can have hundreds of variants (different instruments, parameter sets, indicator combinations). All variants share the same SL/TP hybrid mechanics (S3-2), the same Kelly sizing (S3-12), and the same circuit breaker (2 consecutive losses).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448"/>
            <w:shd w:val="clear" w:color="auto" w:fill="2E75B6"/>
          </w:tcPr>
          <w:p>
            <w:pPr>
              <w:spacing w:before="40" w:after="40"/>
            </w:pPr>
            <w:r>
              <w:rPr>
                <w:rFonts w:ascii="Calibri" w:hAnsi="Calibri"/>
                <w:b/>
                <w:color w:val="FFFFFF"/>
                <w:sz w:val="20"/>
              </w:rPr>
              <w:t>Family</w:t>
            </w:r>
          </w:p>
        </w:tc>
        <w:tc>
          <w:tcPr>
            <w:tcW w:type="dxa" w:w="3600"/>
            <w:shd w:val="clear" w:color="auto" w:fill="2E75B6"/>
          </w:tcPr>
          <w:p>
            <w:pPr>
              <w:spacing w:before="40" w:after="40"/>
            </w:pPr>
            <w:r>
              <w:rPr>
                <w:rFonts w:ascii="Calibri" w:hAnsi="Calibri"/>
                <w:b/>
                <w:color w:val="FFFFFF"/>
                <w:sz w:val="20"/>
              </w:rPr>
              <w:t>Entry Logic</w:t>
            </w:r>
          </w:p>
        </w:tc>
        <w:tc>
          <w:tcPr>
            <w:tcW w:type="dxa" w:w="1440"/>
            <w:shd w:val="clear" w:color="auto" w:fill="2E75B6"/>
          </w:tcPr>
          <w:p>
            <w:pPr>
              <w:spacing w:before="40" w:after="40"/>
            </w:pPr>
            <w:r>
              <w:rPr>
                <w:rFonts w:ascii="Calibri" w:hAnsi="Calibri"/>
                <w:b/>
                <w:color w:val="FFFFFF"/>
                <w:sz w:val="20"/>
              </w:rPr>
              <w:t>Pool</w:t>
            </w:r>
          </w:p>
        </w:tc>
        <w:tc>
          <w:tcPr>
            <w:tcW w:type="dxa" w:w="2160"/>
            <w:shd w:val="clear" w:color="auto" w:fill="2E75B6"/>
          </w:tcPr>
          <w:p>
            <w:pPr>
              <w:spacing w:before="40" w:after="40"/>
            </w:pPr>
            <w:r>
              <w:rPr>
                <w:rFonts w:ascii="Calibri" w:hAnsi="Calibri"/>
                <w:b/>
                <w:color w:val="FFFFFF"/>
                <w:sz w:val="20"/>
              </w:rPr>
              <w:t>Best Session</w:t>
            </w:r>
          </w:p>
        </w:tc>
        <w:tc>
          <w:tcPr>
            <w:tcW w:type="dxa" w:w="2880"/>
            <w:shd w:val="clear" w:color="auto" w:fill="2E75B6"/>
          </w:tcPr>
          <w:p>
            <w:pPr>
              <w:spacing w:before="40" w:after="40"/>
            </w:pPr>
            <w:r>
              <w:rPr>
                <w:rFonts w:ascii="Calibri" w:hAnsi="Calibri"/>
                <w:b/>
                <w:color w:val="FFFFFF"/>
                <w:sz w:val="20"/>
              </w:rPr>
              <w:t>Notes</w:t>
            </w:r>
          </w:p>
        </w:tc>
      </w:tr>
      <w:tr>
        <w:tc>
          <w:tcPr>
            <w:tcW w:type="dxa" w:w="2448"/>
            <w:shd w:val="clear" w:color="auto" w:fill="F2F2F2"/>
          </w:tcPr>
          <w:p>
            <w:pPr>
              <w:spacing w:before="40" w:after="40"/>
            </w:pPr>
            <w:r>
              <w:rPr>
                <w:rFonts w:ascii="Calibri" w:hAnsi="Calibri"/>
                <w:sz w:val="20"/>
              </w:rPr>
              <w:t>Momentum Scalpers</w:t>
            </w:r>
          </w:p>
        </w:tc>
        <w:tc>
          <w:tcPr>
            <w:tcW w:type="dxa" w:w="3600"/>
            <w:shd w:val="clear" w:color="auto" w:fill="F2F2F2"/>
          </w:tcPr>
          <w:p>
            <w:pPr>
              <w:spacing w:before="40" w:after="40"/>
            </w:pPr>
            <w:r>
              <w:rPr>
                <w:rFonts w:ascii="Calibri" w:hAnsi="Calibri"/>
                <w:sz w:val="20"/>
              </w:rPr>
              <w:t>Enter in direction of short-term momentum (dual EMA crossover, RSI momentum break, VWAP momentum deviation)</w:t>
            </w:r>
          </w:p>
        </w:tc>
        <w:tc>
          <w:tcPr>
            <w:tcW w:type="dxa" w:w="1440"/>
            <w:shd w:val="clear" w:color="auto" w:fill="F2F2F2"/>
          </w:tcPr>
          <w:p>
            <w:pPr>
              <w:spacing w:before="40" w:after="40"/>
            </w:pPr>
            <w:r>
              <w:rPr>
                <w:rFonts w:ascii="Calibri" w:hAnsi="Calibri"/>
                <w:sz w:val="20"/>
              </w:rPr>
              <w:t>Long / Short</w:t>
            </w:r>
          </w:p>
        </w:tc>
        <w:tc>
          <w:tcPr>
            <w:tcW w:type="dxa" w:w="2160"/>
            <w:shd w:val="clear" w:color="auto" w:fill="F2F2F2"/>
          </w:tcPr>
          <w:p>
            <w:pPr>
              <w:spacing w:before="40" w:after="40"/>
            </w:pPr>
            <w:r>
              <w:rPr>
                <w:rFonts w:ascii="Calibri" w:hAnsi="Calibri"/>
                <w:sz w:val="20"/>
              </w:rPr>
              <w:t>London &amp; NY Open Assault</w:t>
            </w:r>
          </w:p>
        </w:tc>
        <w:tc>
          <w:tcPr>
            <w:tcW w:type="dxa" w:w="2880"/>
            <w:shd w:val="clear" w:color="auto" w:fill="F2F2F2"/>
          </w:tcPr>
          <w:p>
            <w:pPr>
              <w:spacing w:before="40" w:after="40"/>
            </w:pPr>
            <w:r>
              <w:rPr>
                <w:rFonts w:ascii="Calibri" w:hAnsi="Calibri"/>
                <w:sz w:val="20"/>
              </w:rPr>
              <w:t>Highest frequency. Most trades per session.</w:t>
            </w:r>
          </w:p>
        </w:tc>
      </w:tr>
      <w:tr>
        <w:tc>
          <w:tcPr>
            <w:tcW w:type="dxa" w:w="2448"/>
            <w:shd w:val="clear" w:color="auto" w:fill="FFFFFF"/>
          </w:tcPr>
          <w:p>
            <w:pPr>
              <w:spacing w:before="40" w:after="40"/>
            </w:pPr>
            <w:r>
              <w:rPr>
                <w:rFonts w:ascii="Calibri" w:hAnsi="Calibri"/>
                <w:sz w:val="20"/>
              </w:rPr>
              <w:t>Mean Reversion Scalpers</w:t>
            </w:r>
          </w:p>
        </w:tc>
        <w:tc>
          <w:tcPr>
            <w:tcW w:type="dxa" w:w="3600"/>
            <w:shd w:val="clear" w:color="auto" w:fill="FFFFFF"/>
          </w:tcPr>
          <w:p>
            <w:pPr>
              <w:spacing w:before="40" w:after="40"/>
            </w:pPr>
            <w:r>
              <w:rPr>
                <w:rFonts w:ascii="Calibri" w:hAnsi="Calibri"/>
                <w:sz w:val="20"/>
              </w:rPr>
              <w:t>Fade moves that overshoot the mean (Bollinger Band bounce, RSI extremes, VWAP deviation fade)</w:t>
            </w:r>
          </w:p>
        </w:tc>
        <w:tc>
          <w:tcPr>
            <w:tcW w:type="dxa" w:w="1440"/>
            <w:shd w:val="clear" w:color="auto" w:fill="FFFFFF"/>
          </w:tcPr>
          <w:p>
            <w:pPr>
              <w:spacing w:before="40" w:after="40"/>
            </w:pPr>
            <w:r>
              <w:rPr>
                <w:rFonts w:ascii="Calibri" w:hAnsi="Calibri"/>
                <w:sz w:val="20"/>
              </w:rPr>
              <w:t>Neutral</w:t>
            </w:r>
          </w:p>
        </w:tc>
        <w:tc>
          <w:tcPr>
            <w:tcW w:type="dxa" w:w="2160"/>
            <w:shd w:val="clear" w:color="auto" w:fill="FFFFFF"/>
          </w:tcPr>
          <w:p>
            <w:pPr>
              <w:spacing w:before="40" w:after="40"/>
            </w:pPr>
            <w:r>
              <w:rPr>
                <w:rFonts w:ascii="Calibri" w:hAnsi="Calibri"/>
                <w:sz w:val="20"/>
              </w:rPr>
              <w:t>All sessions</w:t>
            </w:r>
          </w:p>
        </w:tc>
        <w:tc>
          <w:tcPr>
            <w:tcW w:type="dxa" w:w="2880"/>
            <w:shd w:val="clear" w:color="auto" w:fill="FFFFFF"/>
          </w:tcPr>
          <w:p>
            <w:pPr>
              <w:spacing w:before="40" w:after="40"/>
            </w:pPr>
            <w:r>
              <w:rPr>
                <w:rFonts w:ascii="Calibri" w:hAnsi="Calibri"/>
                <w:sz w:val="20"/>
              </w:rPr>
              <w:t>Neutral Pool — do not care about trend direction.</w:t>
            </w:r>
          </w:p>
        </w:tc>
      </w:tr>
      <w:tr>
        <w:tc>
          <w:tcPr>
            <w:tcW w:type="dxa" w:w="2448"/>
            <w:shd w:val="clear" w:color="auto" w:fill="F2F2F2"/>
          </w:tcPr>
          <w:p>
            <w:pPr>
              <w:spacing w:before="40" w:after="40"/>
            </w:pPr>
            <w:r>
              <w:rPr>
                <w:rFonts w:ascii="Calibri" w:hAnsi="Calibri"/>
                <w:sz w:val="20"/>
              </w:rPr>
              <w:t>Micro Breakout Scalpers</w:t>
            </w:r>
          </w:p>
        </w:tc>
        <w:tc>
          <w:tcPr>
            <w:tcW w:type="dxa" w:w="3600"/>
            <w:shd w:val="clear" w:color="auto" w:fill="F2F2F2"/>
          </w:tcPr>
          <w:p>
            <w:pPr>
              <w:spacing w:before="40" w:after="40"/>
            </w:pPr>
            <w:r>
              <w:rPr>
                <w:rFonts w:ascii="Calibri" w:hAnsi="Calibri"/>
                <w:sz w:val="20"/>
              </w:rPr>
              <w:t>Enter on break of very short-term M1/M5 consolidation range. NOT session ORB — this is a 15-30 min micro range.</w:t>
            </w:r>
          </w:p>
        </w:tc>
        <w:tc>
          <w:tcPr>
            <w:tcW w:type="dxa" w:w="1440"/>
            <w:shd w:val="clear" w:color="auto" w:fill="F2F2F2"/>
          </w:tcPr>
          <w:p>
            <w:pPr>
              <w:spacing w:before="40" w:after="40"/>
            </w:pPr>
            <w:r>
              <w:rPr>
                <w:rFonts w:ascii="Calibri" w:hAnsi="Calibri"/>
                <w:sz w:val="20"/>
              </w:rPr>
              <w:t>Long / Short</w:t>
            </w:r>
          </w:p>
        </w:tc>
        <w:tc>
          <w:tcPr>
            <w:tcW w:type="dxa" w:w="2160"/>
            <w:shd w:val="clear" w:color="auto" w:fill="F2F2F2"/>
          </w:tcPr>
          <w:p>
            <w:pPr>
              <w:spacing w:before="40" w:after="40"/>
            </w:pPr>
            <w:r>
              <w:rPr>
                <w:rFonts w:ascii="Calibri" w:hAnsi="Calibri"/>
                <w:sz w:val="20"/>
              </w:rPr>
              <w:t>London &amp; NY Open</w:t>
            </w:r>
          </w:p>
        </w:tc>
        <w:tc>
          <w:tcPr>
            <w:tcW w:type="dxa" w:w="2880"/>
            <w:shd w:val="clear" w:color="auto" w:fill="F2F2F2"/>
          </w:tcPr>
          <w:p>
            <w:pPr>
              <w:spacing w:before="40" w:after="40"/>
            </w:pPr>
            <w:r>
              <w:rPr>
                <w:rFonts w:ascii="Calibri" w:hAnsi="Calibri"/>
                <w:sz w:val="20"/>
              </w:rPr>
              <w:t>Distinct from ORB. Shorter timeframe, smaller range.</w:t>
            </w:r>
          </w:p>
        </w:tc>
      </w:tr>
      <w:tr>
        <w:tc>
          <w:tcPr>
            <w:tcW w:type="dxa" w:w="2448"/>
            <w:shd w:val="clear" w:color="auto" w:fill="FFFFFF"/>
          </w:tcPr>
          <w:p>
            <w:pPr>
              <w:spacing w:before="40" w:after="40"/>
            </w:pPr>
            <w:r>
              <w:rPr>
                <w:rFonts w:ascii="Calibri" w:hAnsi="Calibri"/>
                <w:sz w:val="20"/>
              </w:rPr>
              <w:t>Liquidity Grab Scalpers</w:t>
            </w:r>
          </w:p>
        </w:tc>
        <w:tc>
          <w:tcPr>
            <w:tcW w:type="dxa" w:w="3600"/>
            <w:shd w:val="clear" w:color="auto" w:fill="FFFFFF"/>
          </w:tcPr>
          <w:p>
            <w:pPr>
              <w:spacing w:before="40" w:after="40"/>
            </w:pPr>
            <w:r>
              <w:rPr>
                <w:rFonts w:ascii="Calibri" w:hAnsi="Calibri"/>
                <w:sz w:val="20"/>
              </w:rPr>
              <w:t>Enter after a stop-hunt spike — price wicks below key M5 low, sweeps stops, then reverses. Enter the reversal.</w:t>
            </w:r>
          </w:p>
        </w:tc>
        <w:tc>
          <w:tcPr>
            <w:tcW w:type="dxa" w:w="1440"/>
            <w:shd w:val="clear" w:color="auto" w:fill="FFFFFF"/>
          </w:tcPr>
          <w:p>
            <w:pPr>
              <w:spacing w:before="40" w:after="40"/>
            </w:pPr>
            <w:r>
              <w:rPr>
                <w:rFonts w:ascii="Calibri" w:hAnsi="Calibri"/>
                <w:sz w:val="20"/>
              </w:rPr>
              <w:t>Neutral / Directional</w:t>
            </w:r>
          </w:p>
        </w:tc>
        <w:tc>
          <w:tcPr>
            <w:tcW w:type="dxa" w:w="2160"/>
            <w:shd w:val="clear" w:color="auto" w:fill="FFFFFF"/>
          </w:tcPr>
          <w:p>
            <w:pPr>
              <w:spacing w:before="40" w:after="40"/>
            </w:pPr>
            <w:r>
              <w:rPr>
                <w:rFonts w:ascii="Calibri" w:hAnsi="Calibri"/>
                <w:sz w:val="20"/>
              </w:rPr>
              <w:t>London &amp; NY Overlap</w:t>
            </w:r>
          </w:p>
        </w:tc>
        <w:tc>
          <w:tcPr>
            <w:tcW w:type="dxa" w:w="2880"/>
            <w:shd w:val="clear" w:color="auto" w:fill="FFFFFF"/>
          </w:tcPr>
          <w:p>
            <w:pPr>
              <w:spacing w:before="40" w:after="40"/>
            </w:pPr>
            <w:r>
              <w:rPr>
                <w:rFonts w:ascii="Calibri" w:hAnsi="Calibri"/>
                <w:sz w:val="20"/>
              </w:rPr>
              <w:t>High-probability if timed well. Requires volume confirmation.</w:t>
            </w:r>
          </w:p>
        </w:tc>
      </w:tr>
      <w:tr>
        <w:tc>
          <w:tcPr>
            <w:tcW w:type="dxa" w:w="2448"/>
            <w:shd w:val="clear" w:color="auto" w:fill="F2F2F2"/>
          </w:tcPr>
          <w:p>
            <w:pPr>
              <w:spacing w:before="40" w:after="40"/>
            </w:pPr>
            <w:r>
              <w:rPr>
                <w:rFonts w:ascii="Calibri" w:hAnsi="Calibri"/>
                <w:sz w:val="20"/>
              </w:rPr>
              <w:t>Session Open Scalpers</w:t>
            </w:r>
          </w:p>
        </w:tc>
        <w:tc>
          <w:tcPr>
            <w:tcW w:type="dxa" w:w="3600"/>
            <w:shd w:val="clear" w:color="auto" w:fill="F2F2F2"/>
          </w:tcPr>
          <w:p>
            <w:pPr>
              <w:spacing w:before="40" w:after="40"/>
            </w:pPr>
            <w:r>
              <w:rPr>
                <w:rFonts w:ascii="Calibri" w:hAnsi="Calibri"/>
                <w:sz w:val="20"/>
              </w:rPr>
              <w:t>Specifically designed for the first 15-90 minutes of London or NY open. Exploit the initial directional push.</w:t>
            </w:r>
          </w:p>
        </w:tc>
        <w:tc>
          <w:tcPr>
            <w:tcW w:type="dxa" w:w="1440"/>
            <w:shd w:val="clear" w:color="auto" w:fill="F2F2F2"/>
          </w:tcPr>
          <w:p>
            <w:pPr>
              <w:spacing w:before="40" w:after="40"/>
            </w:pPr>
            <w:r>
              <w:rPr>
                <w:rFonts w:ascii="Calibri" w:hAnsi="Calibri"/>
                <w:sz w:val="20"/>
              </w:rPr>
              <w:t>Long / Short</w:t>
            </w:r>
          </w:p>
        </w:tc>
        <w:tc>
          <w:tcPr>
            <w:tcW w:type="dxa" w:w="2160"/>
            <w:shd w:val="clear" w:color="auto" w:fill="F2F2F2"/>
          </w:tcPr>
          <w:p>
            <w:pPr>
              <w:spacing w:before="40" w:after="40"/>
            </w:pPr>
            <w:r>
              <w:rPr>
                <w:rFonts w:ascii="Calibri" w:hAnsi="Calibri"/>
                <w:sz w:val="20"/>
              </w:rPr>
              <w:t>London 07:00-09:00 / NY 13:00-14:30</w:t>
            </w:r>
          </w:p>
        </w:tc>
        <w:tc>
          <w:tcPr>
            <w:tcW w:type="dxa" w:w="2880"/>
            <w:shd w:val="clear" w:color="auto" w:fill="F2F2F2"/>
          </w:tcPr>
          <w:p>
            <w:pPr>
              <w:spacing w:before="40" w:after="40"/>
            </w:pPr>
            <w:r>
              <w:rPr>
                <w:rFonts w:ascii="Calibri" w:hAnsi="Calibri"/>
                <w:sz w:val="20"/>
              </w:rPr>
              <w:t>Session-masked — ONLY active in their designated open window.</w:t>
            </w:r>
          </w:p>
        </w:tc>
      </w:tr>
      <w:tr>
        <w:tc>
          <w:tcPr>
            <w:tcW w:type="dxa" w:w="2448"/>
            <w:shd w:val="clear" w:color="auto" w:fill="FFFFFF"/>
          </w:tcPr>
          <w:p>
            <w:pPr>
              <w:spacing w:before="40" w:after="40"/>
            </w:pPr>
            <w:r>
              <w:rPr>
                <w:rFonts w:ascii="Calibri" w:hAnsi="Calibri"/>
                <w:sz w:val="20"/>
              </w:rPr>
              <w:t>Volume Confirmation Scalpers</w:t>
            </w:r>
          </w:p>
        </w:tc>
        <w:tc>
          <w:tcPr>
            <w:tcW w:type="dxa" w:w="3600"/>
            <w:shd w:val="clear" w:color="auto" w:fill="FFFFFF"/>
          </w:tcPr>
          <w:p>
            <w:pPr>
              <w:spacing w:before="40" w:after="40"/>
            </w:pPr>
            <w:r>
              <w:rPr>
                <w:rFonts w:ascii="Calibri" w:hAnsi="Calibri"/>
                <w:sz w:val="20"/>
              </w:rPr>
              <w:t>Enter only when RVOL &gt; 1.2x (confirmed real participation). Wrapper logic around any of the above families.</w:t>
            </w:r>
          </w:p>
        </w:tc>
        <w:tc>
          <w:tcPr>
            <w:tcW w:type="dxa" w:w="1440"/>
            <w:shd w:val="clear" w:color="auto" w:fill="FFFFFF"/>
          </w:tcPr>
          <w:p>
            <w:pPr>
              <w:spacing w:before="40" w:after="40"/>
            </w:pPr>
            <w:r>
              <w:rPr>
                <w:rFonts w:ascii="Calibri" w:hAnsi="Calibri"/>
                <w:sz w:val="20"/>
              </w:rPr>
              <w:t>Long / Short / Neutral</w:t>
            </w:r>
          </w:p>
        </w:tc>
        <w:tc>
          <w:tcPr>
            <w:tcW w:type="dxa" w:w="2160"/>
            <w:shd w:val="clear" w:color="auto" w:fill="FFFFFF"/>
          </w:tcPr>
          <w:p>
            <w:pPr>
              <w:spacing w:before="40" w:after="40"/>
            </w:pPr>
            <w:r>
              <w:rPr>
                <w:rFonts w:ascii="Calibri" w:hAnsi="Calibri"/>
                <w:sz w:val="20"/>
              </w:rPr>
              <w:t>All high-liquidity windows</w:t>
            </w:r>
          </w:p>
        </w:tc>
        <w:tc>
          <w:tcPr>
            <w:tcW w:type="dxa" w:w="2880"/>
            <w:shd w:val="clear" w:color="auto" w:fill="FFFFFF"/>
          </w:tcPr>
          <w:p>
            <w:pPr>
              <w:spacing w:before="40" w:after="40"/>
            </w:pPr>
            <w:r>
              <w:rPr>
                <w:rFonts w:ascii="Calibri" w:hAnsi="Calibri"/>
                <w:sz w:val="20"/>
              </w:rPr>
              <w:t>RVOL gate is the distinguishing feature. Uses SVSS data.</w:t>
            </w:r>
          </w:p>
        </w:tc>
      </w:tr>
      <w:tr>
        <w:tc>
          <w:tcPr>
            <w:tcW w:type="dxa" w:w="2448"/>
            <w:shd w:val="clear" w:color="auto" w:fill="F2F2F2"/>
          </w:tcPr>
          <w:p>
            <w:pPr>
              <w:spacing w:before="40" w:after="40"/>
            </w:pPr>
            <w:r>
              <w:rPr>
                <w:rFonts w:ascii="Calibri" w:hAnsi="Calibri"/>
                <w:sz w:val="20"/>
              </w:rPr>
              <w:t>Spread Compression Scalpers</w:t>
            </w:r>
          </w:p>
        </w:tc>
        <w:tc>
          <w:tcPr>
            <w:tcW w:type="dxa" w:w="3600"/>
            <w:shd w:val="clear" w:color="auto" w:fill="F2F2F2"/>
          </w:tcPr>
          <w:p>
            <w:pPr>
              <w:spacing w:before="40" w:after="40"/>
            </w:pPr>
            <w:r>
              <w:rPr>
                <w:rFonts w:ascii="Calibri" w:hAnsi="Calibri"/>
                <w:sz w:val="20"/>
              </w:rPr>
              <w:t>Enter during the brief window after a spread spike normalises back to baseline. SQS detects this moment.</w:t>
            </w:r>
          </w:p>
        </w:tc>
        <w:tc>
          <w:tcPr>
            <w:tcW w:type="dxa" w:w="1440"/>
            <w:shd w:val="clear" w:color="auto" w:fill="F2F2F2"/>
          </w:tcPr>
          <w:p>
            <w:pPr>
              <w:spacing w:before="40" w:after="40"/>
            </w:pPr>
            <w:r>
              <w:rPr>
                <w:rFonts w:ascii="Calibri" w:hAnsi="Calibri"/>
                <w:sz w:val="20"/>
              </w:rPr>
              <w:t>Long / Short</w:t>
            </w:r>
          </w:p>
        </w:tc>
        <w:tc>
          <w:tcPr>
            <w:tcW w:type="dxa" w:w="2160"/>
            <w:shd w:val="clear" w:color="auto" w:fill="F2F2F2"/>
          </w:tcPr>
          <w:p>
            <w:pPr>
              <w:spacing w:before="40" w:after="40"/>
            </w:pPr>
            <w:r>
              <w:rPr>
                <w:rFonts w:ascii="Calibri" w:hAnsi="Calibri"/>
                <w:sz w:val="20"/>
              </w:rPr>
              <w:t>Session opens (spread spikes at open then compresses)</w:t>
            </w:r>
          </w:p>
        </w:tc>
        <w:tc>
          <w:tcPr>
            <w:tcW w:type="dxa" w:w="2880"/>
            <w:shd w:val="clear" w:color="auto" w:fill="F2F2F2"/>
          </w:tcPr>
          <w:p>
            <w:pPr>
              <w:spacing w:before="40" w:after="40"/>
            </w:pPr>
            <w:r>
              <w:rPr>
                <w:rFonts w:ascii="Calibri" w:hAnsi="Calibri"/>
                <w:sz w:val="20"/>
              </w:rPr>
              <w:t>SQS filter is the entry trigger. Exploits the liquidity surge after spread compression.</w:t>
            </w:r>
          </w:p>
        </w:tc>
      </w:tr>
    </w:tbl>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S3-14. Variant Replacement Cycle — Graceful Deprecation</w:t>
      </w:r>
    </w:p>
    <w:p>
      <w:pPr>
        <w:spacing w:before="40" w:after="80"/>
      </w:pPr>
      <w:r>
        <w:rPr>
          <w:rFonts w:ascii="Calibri" w:hAnsi="Calibri"/>
          <w:sz w:val="21"/>
        </w:rPr>
        <w:t>When a live bot is consistently underperforming and flagged by Workflow 3 for improvement, Workflow 2 creates a new VARIANT. The old bot is NOT abruptly removed. This is graceful deprecation — the system maintains live coverage while the replacement is being validated.</w:t>
      </w:r>
    </w:p>
    <w:p>
      <w:pPr>
        <w:spacing w:before="20" w:after="20"/>
        <w:ind w:left="432"/>
        <w:shd w:val="clear" w:color="auto" w:fill="F2F2F2"/>
      </w:pPr>
      <w:r>
        <w:rPr>
          <w:rFonts w:ascii="Courier New" w:hAnsi="Courier New"/>
          <w:sz w:val="18"/>
        </w:rPr>
        <w:t>Live bot B_v1 is consistently underperforming (SESSION_CONCERN flag for 3 consecutive sessions)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Workflow 4 (weekend) triggers Workflow 2 for B_v1</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Workflow 2 creates B_v2 (improved variant) → B_v2 enters Tier 2 paper trading</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B_v1 continues in live trading but its DPR score is reduced → it gets fewer queue slots</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B_v2 paper trades for minimum 2 weeks (Tier 2 paper population)</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COMPARISON: B_v2 paper performance vs B_v1 live performance</w:t>
      </w:r>
    </w:p>
    <w:p>
      <w:pPr>
        <w:spacing w:before="20" w:after="20"/>
        <w:ind w:left="432"/>
        <w:shd w:val="clear" w:color="auto" w:fill="F2F2F2"/>
      </w:pPr>
      <w:r>
        <w:rPr>
          <w:rFonts w:ascii="Courier New" w:hAnsi="Courier New"/>
          <w:sz w:val="18"/>
        </w:rPr>
        <w:t xml:space="preserve">        ↓</w:t>
      </w:r>
    </w:p>
    <w:p>
      <w:pPr>
        <w:spacing w:before="20" w:after="20"/>
        <w:ind w:left="432"/>
        <w:shd w:val="clear" w:color="auto" w:fill="F2F2F2"/>
      </w:pPr>
      <w:r>
        <w:rPr>
          <w:rFonts w:ascii="Courier New" w:hAnsi="Courier New"/>
          <w:sz w:val="18"/>
        </w:rPr>
        <w:t>IF B_v2 outperforms B_v1:</w:t>
      </w:r>
    </w:p>
    <w:p>
      <w:pPr>
        <w:spacing w:before="20" w:after="20"/>
        <w:ind w:left="432"/>
        <w:shd w:val="clear" w:color="auto" w:fill="F2F2F2"/>
      </w:pPr>
      <w:r>
        <w:rPr>
          <w:rFonts w:ascii="Courier New" w:hAnsi="Courier New"/>
          <w:sz w:val="18"/>
        </w:rPr>
        <w:t xml:space="preserve">    → B_v1 is gracefully retired (DPR score drops to 0, naturally exits queue)</w:t>
      </w:r>
    </w:p>
    <w:p>
      <w:pPr>
        <w:spacing w:before="20" w:after="20"/>
        <w:ind w:left="432"/>
        <w:shd w:val="clear" w:color="auto" w:fill="F2F2F2"/>
      </w:pPr>
      <w:r>
        <w:rPr>
          <w:rFonts w:ascii="Courier New" w:hAnsi="Courier New"/>
          <w:sz w:val="18"/>
        </w:rPr>
        <w:t xml:space="preserve">    → B_v2 enters live at Tier 3 conditional</w:t>
      </w:r>
    </w:p>
    <w:p>
      <w:pPr>
        <w:spacing w:before="20" w:after="20"/>
        <w:ind w:left="432"/>
        <w:shd w:val="clear" w:color="auto" w:fill="F2F2F2"/>
      </w:pPr>
      <w:r>
        <w:rPr>
          <w:rFonts w:ascii="Courier New" w:hAnsi="Courier New"/>
          <w:sz w:val="18"/>
        </w:rPr>
        <w:t xml:space="preserve">    → Bot tagging system records B_v1 → B_v2 genealogy</w:t>
      </w:r>
    </w:p>
    <w:p>
      <w:pPr>
        <w:spacing w:before="20" w:after="20"/>
        <w:ind w:left="432"/>
        <w:shd w:val="clear" w:color="auto" w:fill="F2F2F2"/>
      </w:pPr>
      <w:r>
        <w:rPr>
          <w:rFonts w:ascii="Courier New" w:hAnsi="Courier New"/>
          <w:sz w:val="18"/>
        </w:rPr>
        <w:t>IF B_v2 underperforms B_v1:</w:t>
      </w:r>
    </w:p>
    <w:p>
      <w:pPr>
        <w:spacing w:before="20" w:after="20"/>
        <w:ind w:left="432"/>
        <w:shd w:val="clear" w:color="auto" w:fill="F2F2F2"/>
      </w:pPr>
      <w:r>
        <w:rPr>
          <w:rFonts w:ascii="Courier New" w:hAnsi="Courier New"/>
          <w:sz w:val="18"/>
        </w:rPr>
        <w:t xml:space="preserve">    → B_v2 is discarded or looped back to Workflow 2 for further refinement</w:t>
      </w:r>
    </w:p>
    <w:p>
      <w:pPr>
        <w:spacing w:before="20" w:after="20"/>
        <w:ind w:left="432"/>
        <w:shd w:val="clear" w:color="auto" w:fill="F2F2F2"/>
      </w:pPr>
      <w:r>
        <w:rPr>
          <w:rFonts w:ascii="Courier New" w:hAnsi="Courier New"/>
          <w:sz w:val="18"/>
        </w:rPr>
        <w:t xml:space="preserve">    → B_v1 continues (it is still the best available version)</w:t>
      </w:r>
    </w:p>
    <w:p>
      <w:pPr>
        <w:spacing w:before="120" w:after="120"/>
        <w:ind w:left="360"/>
        <w:shd w:val="clear" w:color="auto" w:fill="FFF2CC"/>
      </w:pPr>
      <w:r>
        <w:rPr>
          <w:rFonts w:ascii="Calibri" w:hAnsi="Calibri"/>
          <w:b/>
          <w:color w:val="C55A11"/>
          <w:sz w:val="21"/>
        </w:rPr>
        <w:t xml:space="preserve">NOTE: </w:t>
      </w:r>
      <w:r>
        <w:rPr>
          <w:rFonts w:ascii="Calibri" w:hAnsi="Calibri"/>
          <w:sz w:val="21"/>
        </w:rPr>
        <w:t>The bot tagging system records the genealogy of every variant. B_v1 → B_v2 → B_v3 etc. This allows the agentic system to track improvement trajectories and identify strategy families that consistently improve vs those that plateau. Plateau strategies are candidates for retirement and replacement with entirely new AlphaForge Workflow 1 strategies.</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S3-15. Weekend Cycle and Bot Update Rules</w:t>
      </w:r>
    </w:p>
    <w:p>
      <w:pPr>
        <w:spacing w:before="200" w:after="60"/>
      </w:pPr>
      <w:r>
        <w:rPr>
          <w:rFonts w:ascii="Calibri" w:hAnsi="Calibri"/>
          <w:b/>
          <w:color w:val="2E75B6"/>
          <w:sz w:val="22"/>
        </w:rPr>
        <w:t>S3-15.1  The No-Update-During-Week Rule</w:t>
      </w:r>
    </w:p>
    <w:p>
      <w:pPr>
        <w:spacing w:before="40" w:after="80"/>
      </w:pPr>
      <w:r>
        <w:rPr>
          <w:rFonts w:ascii="Calibri" w:hAnsi="Calibri"/>
          <w:sz w:val="21"/>
        </w:rPr>
        <w:t>HARD RULE: Bot parameters are NOT updated during weekdays or during any active session. The Dead Zone (16:00-22:00 GMT) collects intelligence and ranks — it does not modify strategy parameters or code. This rule exists to prevent unstable mid-week changes to a live system. A single bad parameter change on a Tuesday could corrupt the rest of the week's data.</w:t>
      </w:r>
    </w:p>
    <w:p>
      <w:pPr>
        <w:spacing w:before="40" w:after="80"/>
      </w:pPr>
      <w:r>
        <w:rPr>
          <w:rFonts w:ascii="Calibri" w:hAnsi="Calibri"/>
          <w:sz w:val="21"/>
        </w:rPr>
        <w:t>During weekdays:</w:t>
      </w:r>
    </w:p>
    <w:p>
      <w:pPr>
        <w:pStyle w:val="ListBullet"/>
        <w:spacing w:before="20" w:after="40"/>
        <w:ind w:left="360"/>
      </w:pPr>
      <w:r>
        <w:rPr>
          <w:rFonts w:ascii="Calibri" w:hAnsi="Calibri"/>
          <w:sz w:val="21"/>
        </w:rPr>
        <w:t>AlphaForge can PRODUCE new variants and send them to paper trading at any time (this does not affect the live pool).</w:t>
      </w:r>
    </w:p>
    <w:p>
      <w:pPr>
        <w:pStyle w:val="ListBullet"/>
        <w:spacing w:before="20" w:after="40"/>
        <w:ind w:left="360"/>
      </w:pPr>
      <w:r>
        <w:rPr>
          <w:rFonts w:ascii="Calibri" w:hAnsi="Calibri"/>
          <w:sz w:val="21"/>
        </w:rPr>
        <w:t>Workflow 3 reads and ranks (no writes to strategy parameters).</w:t>
      </w:r>
    </w:p>
    <w:p>
      <w:pPr>
        <w:pStyle w:val="ListBullet"/>
        <w:spacing w:before="20" w:after="40"/>
        <w:ind w:left="360"/>
      </w:pPr>
      <w:r>
        <w:rPr>
          <w:rFonts w:ascii="Calibri" w:hAnsi="Calibri"/>
          <w:sz w:val="21"/>
        </w:rPr>
        <w:t>The monitoring sub-agent reviews quarantined bots (review only, no updates).</w:t>
      </w:r>
    </w:p>
    <w:p>
      <w:pPr>
        <w:spacing w:before="40" w:after="80"/>
      </w:pPr>
      <w:r>
        <w:rPr>
          <w:rFonts w:ascii="Calibri" w:hAnsi="Calibri"/>
          <w:sz w:val="21"/>
        </w:rPr>
        <w:t>During weekends:</w:t>
      </w:r>
    </w:p>
    <w:p>
      <w:pPr>
        <w:pStyle w:val="ListBullet"/>
        <w:spacing w:before="20" w:after="40"/>
        <w:ind w:left="360"/>
      </w:pPr>
      <w:r>
        <w:rPr>
          <w:rFonts w:ascii="Calibri" w:hAnsi="Calibri"/>
          <w:sz w:val="21"/>
        </w:rPr>
        <w:t>Workflow 4 executes. Workflow 2 runs for flagged bots.</w:t>
      </w:r>
    </w:p>
    <w:p>
      <w:pPr>
        <w:pStyle w:val="ListBullet"/>
        <w:spacing w:before="20" w:after="40"/>
        <w:ind w:left="360"/>
      </w:pPr>
      <w:r>
        <w:rPr>
          <w:rFonts w:ascii="Calibri" w:hAnsi="Calibri"/>
          <w:sz w:val="21"/>
        </w:rPr>
        <w:t>New variants are tested, refined, and prepared for Monday paper trading entry.</w:t>
      </w:r>
    </w:p>
    <w:p>
      <w:pPr>
        <w:pStyle w:val="ListBullet"/>
        <w:spacing w:before="20" w:after="40"/>
        <w:ind w:left="360"/>
      </w:pPr>
      <w:r>
        <w:rPr>
          <w:rFonts w:ascii="Calibri" w:hAnsi="Calibri"/>
          <w:sz w:val="21"/>
        </w:rPr>
        <w:t>The live queue for Monday is ranked and pre-loaded.</w:t>
      </w:r>
    </w:p>
    <w:p>
      <w:pPr>
        <w:spacing w:before="200" w:after="60"/>
      </w:pPr>
      <w:r>
        <w:rPr>
          <w:rFonts w:ascii="Calibri" w:hAnsi="Calibri"/>
          <w:b/>
          <w:color w:val="2E75B6"/>
          <w:sz w:val="22"/>
        </w:rPr>
        <w:t>S3-15.2  Fortnightly Data as Update Basis</w:t>
      </w:r>
    </w:p>
    <w:p>
      <w:pPr>
        <w:spacing w:before="40" w:after="80"/>
      </w:pPr>
      <w:r>
        <w:rPr>
          <w:rFonts w:ascii="Calibri" w:hAnsi="Calibri"/>
          <w:sz w:val="21"/>
        </w:rPr>
        <w:t>Daily data is insufficient for meaningful parameter updates. The minimum data window for bot parameter changes is 14 days (fortnightly). Workflow 4 uses the 14-day rolling intelligence file from Workflow 3 as its primary input. Updates based on fewer than 14 days of data risk over-fitting to short-term noise.</w:t>
      </w:r>
    </w:p>
    <w:p>
      <w:pPr>
        <w:spacing w:before="200" w:after="60"/>
      </w:pPr>
      <w:r>
        <w:rPr>
          <w:rFonts w:ascii="Calibri" w:hAnsi="Calibri"/>
          <w:b/>
          <w:color w:val="2E75B6"/>
          <w:sz w:val="22"/>
        </w:rPr>
        <w:t>S3-15.3  New Variants Released on Monday Only</w:t>
      </w:r>
    </w:p>
    <w:p>
      <w:pPr>
        <w:spacing w:before="40" w:after="80"/>
      </w:pPr>
      <w:r>
        <w:rPr>
          <w:rFonts w:ascii="Calibri" w:hAnsi="Calibri"/>
          <w:sz w:val="21"/>
        </w:rPr>
        <w:t>New AlphaForge-produced variants that have completed the 2-week paper trading gate are released into the live queue on Monday morning only — not mid-week. This creates a clean weekly cadence: evaluate on Friday, update over the weekend, fresh roster deploys Monday.</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S3-16. System Complexity Assessment</w:t>
      </w:r>
    </w:p>
    <w:p>
      <w:pPr>
        <w:spacing w:before="200" w:after="60"/>
      </w:pPr>
      <w:r>
        <w:rPr>
          <w:rFonts w:ascii="Calibri" w:hAnsi="Calibri"/>
          <w:b/>
          <w:color w:val="2E75B6"/>
          <w:sz w:val="22"/>
        </w:rPr>
        <w:t>S3-16.1  Complexity Score: 9.1 / 10</w:t>
      </w:r>
    </w:p>
    <w:p>
      <w:pPr>
        <w:spacing w:before="40" w:after="80"/>
      </w:pPr>
      <w:r>
        <w:rPr>
          <w:rFonts w:ascii="Calibri" w:hAnsi="Calibri"/>
          <w:sz w:val="21"/>
        </w:rPr>
        <w:t>For context: a retail trader implementing a single bot on MT5 is complexity 3. A quant fund running a multi-strategy portfolio with regime detection is complexity 8. QUANTMINDX sits above institutional mid-tier because of three specific components that do not exist in combination elsewhere: the agentic self-improvement loop (AlphaForge + Workflow 2 running agents 24/7), the Survivorship Selection Loop with DPR-based daily rotation, and the Correlation Sensor using Marchenko-Pastur Random Matrix Theory (PhD-level quantitative finance).</w:t>
      </w:r>
    </w:p>
    <w:p>
      <w:pPr>
        <w:spacing w:before="200" w:after="60"/>
      </w:pPr>
      <w:r>
        <w:rPr>
          <w:rFonts w:ascii="Calibri" w:hAnsi="Calibri"/>
          <w:b/>
          <w:color w:val="2E75B6"/>
          <w:sz w:val="22"/>
        </w:rPr>
        <w:t>S3-16.2  Realistic Timeline to June 2026 Live Launch</w:t>
      </w:r>
    </w:p>
    <w:p>
      <w:pPr>
        <w:spacing w:before="40" w:after="80"/>
      </w:pPr>
      <w:r>
        <w:rPr>
          <w:rFonts w:ascii="Calibri" w:hAnsi="Calibri"/>
          <w:sz w:val="21"/>
        </w:rPr>
        <w:t>June 2026 is the confirmed target for live trading. The timeline is achievable because:</w:t>
      </w:r>
    </w:p>
    <w:p>
      <w:pPr>
        <w:pStyle w:val="ListBullet"/>
        <w:spacing w:before="20" w:after="40"/>
        <w:ind w:left="360"/>
      </w:pPr>
      <w:r>
        <w:rPr>
          <w:rFonts w:ascii="Calibri" w:hAnsi="Calibri"/>
          <w:sz w:val="21"/>
        </w:rPr>
        <w:t>AlphaForge agents work 24/7. Strategy generation is not the bottleneck.</w:t>
      </w:r>
    </w:p>
    <w:p>
      <w:pPr>
        <w:pStyle w:val="ListBullet"/>
        <w:spacing w:before="20" w:after="40"/>
        <w:ind w:left="360"/>
      </w:pPr>
      <w:r>
        <w:rPr>
          <w:rFonts w:ascii="Calibri" w:hAnsi="Calibri"/>
          <w:sz w:val="21"/>
        </w:rPr>
        <w:t>The bottleneck is the 2-week paper trading gate. With 10-15 strategies in parallel paper trading, you validate 5-8 per week.</w:t>
      </w:r>
    </w:p>
    <w:p>
      <w:pPr>
        <w:pStyle w:val="ListBullet"/>
        <w:spacing w:before="20" w:after="40"/>
        <w:ind w:left="360"/>
      </w:pPr>
      <w:r>
        <w:rPr>
          <w:rFonts w:ascii="Calibri" w:hAnsi="Calibri"/>
          <w:sz w:val="21"/>
        </w:rPr>
        <w:t>Target: 45 validated bots in the live queue before first live trade.</w:t>
      </w:r>
    </w:p>
    <w:p>
      <w:pPr>
        <w:pStyle w:val="ListBullet"/>
        <w:spacing w:before="20" w:after="40"/>
        <w:ind w:left="360"/>
      </w:pPr>
      <w:r>
        <w:rPr>
          <w:rFonts w:ascii="Calibri" w:hAnsi="Calibri"/>
          <w:sz w:val="21"/>
        </w:rPr>
        <w:t>At 6 validations per week from early April: 45 ÷ 6 = 7.5 weeks = mid-May paper complete.</w:t>
      </w:r>
    </w:p>
    <w:p>
      <w:pPr>
        <w:pStyle w:val="ListBullet"/>
        <w:spacing w:before="20" w:after="40"/>
        <w:ind w:left="360"/>
      </w:pPr>
      <w:r>
        <w:rPr>
          <w:rFonts w:ascii="Calibri" w:hAnsi="Calibri"/>
          <w:sz w:val="21"/>
        </w:rPr>
        <w:t>Add 3 weeks for system hardening, bug discovery from paper trading, pre-live checklist: early to mid June.</w:t>
      </w:r>
    </w:p>
    <w:p>
      <w:pPr>
        <w:pStyle w:val="ListBullet"/>
        <w:spacing w:before="20" w:after="40"/>
        <w:ind w:left="360"/>
      </w:pPr>
      <w:r>
        <w:rPr>
          <w:rFonts w:ascii="Calibri" w:hAnsi="Calibri"/>
          <w:sz w:val="21"/>
        </w:rPr>
        <w:t>The video ingest + MT5 Firecrawl pipeline accelerates ideation to near-zero time.</w:t>
      </w:r>
    </w:p>
    <w:p>
      <w:pPr>
        <w:spacing w:before="200" w:after="60"/>
      </w:pPr>
      <w:r>
        <w:rPr>
          <w:rFonts w:ascii="Calibri" w:hAnsi="Calibri"/>
          <w:b/>
          <w:color w:val="2E75B6"/>
          <w:sz w:val="22"/>
        </w:rPr>
        <w:t>S3-16.3  Can the System Perform as Designed?</w:t>
      </w:r>
    </w:p>
    <w:p>
      <w:pPr>
        <w:spacing w:before="40" w:after="80"/>
      </w:pPr>
      <w:r>
        <w:rPr>
          <w:rFonts w:ascii="Calibri" w:hAnsi="Calibri"/>
          <w:sz w:val="21"/>
        </w:rPr>
        <w:t>The math is sound. The edge sources are real. The architecture is coherent. The compound growth numbers are theoretical ceilings that the system approaches asymptotically as the bot library grows and strategies validate. The complexity is not a risk to the plan — the complexity IS the plan. Every layer (regime detection, Kelly, house money, correlation sensor, circuit breakers, SSL, DPR, session templates) is a protection layer that makes the compound growth curve steeper and more durable. A simpler system would start faster and blow up sooner.</w:t>
      </w:r>
    </w:p>
    <w:p>
      <w:pPr>
        <w:spacing w:before="120" w:after="120"/>
        <w:ind w:left="360"/>
        <w:shd w:val="clear" w:color="auto" w:fill="FFF2CC"/>
      </w:pPr>
      <w:r>
        <w:rPr>
          <w:rFonts w:ascii="Calibri" w:hAnsi="Calibri"/>
          <w:b/>
          <w:color w:val="C55A11"/>
          <w:sz w:val="21"/>
        </w:rPr>
        <w:t xml:space="preserve">NOTE: </w:t>
      </w:r>
      <w:r>
        <w:rPr>
          <w:rFonts w:ascii="Calibri" w:hAnsi="Calibri"/>
          <w:sz w:val="21"/>
        </w:rPr>
        <w:t>FOR CODING AGENT: The system is large but each component has a defined boundary. Build each component to its interface specification. Do not let components bleed into each other's responsibilities. The FloorManager orchestrates. Departments own their domains. Workflows involve agents. System processes involve code. Kanban tracks state. Trading Journal is the source of truth for performance data. Everything else reads from it.</w:t>
      </w:r>
    </w:p>
    <w:p>
      <w:pPr>
        <w:spacing w:before="200" w:after="200"/>
        <w:shd w:val="clear" w:color="auto" w:fill="2E75B6"/>
      </w:pPr>
      <w:r>
        <w:rPr>
          <w:sz w:val="6"/>
        </w:rPr>
        <w:t xml:space="preserve"> </w:t>
      </w:r>
    </w:p>
    <w:p>
      <w:pPr>
        <w:spacing w:before="360" w:after="80"/>
        <w:shd w:val="clear" w:color="auto" w:fill="1F497D"/>
      </w:pPr>
      <w:r>
        <w:rPr>
          <w:rFonts w:ascii="Calibri" w:hAnsi="Calibri"/>
          <w:b/>
          <w:color w:val="FFFFFF"/>
          <w:sz w:val="26"/>
        </w:rPr>
        <w:t xml:space="preserve">  S3-17. Open Items and Next Planning Session Agenda</w:t>
      </w:r>
    </w:p>
    <w:p>
      <w:pPr>
        <w:spacing w:before="200" w:after="60"/>
      </w:pPr>
      <w:r>
        <w:rPr>
          <w:rFonts w:ascii="Calibri" w:hAnsi="Calibri"/>
          <w:b/>
          <w:color w:val="2E75B6"/>
          <w:sz w:val="22"/>
        </w:rPr>
        <w:t>Items to Confirm / Design in Next Session</w:t>
      </w:r>
    </w:p>
    <w:p>
      <w:pPr>
        <w:pStyle w:val="ListBullet"/>
        <w:spacing w:before="20" w:after="40"/>
        <w:ind w:left="360"/>
      </w:pPr>
      <w:r>
        <w:rPr>
          <w:rFonts w:ascii="Calibri" w:hAnsi="Calibri"/>
          <w:sz w:val="21"/>
        </w:rPr>
        <w:t>Circuit breaker daily trade limit per bot family (currently global constant = 20, needs per-family configuration wired into check_allowed() method in BotCircuitBreakerManager).</w:t>
      </w:r>
    </w:p>
    <w:p>
      <w:pPr>
        <w:pStyle w:val="ListBullet"/>
        <w:spacing w:before="20" w:after="40"/>
        <w:ind w:left="360"/>
      </w:pPr>
      <w:r>
        <w:rPr>
          <w:rFonts w:ascii="Calibri" w:hAnsi="Calibri"/>
          <w:sz w:val="21"/>
        </w:rPr>
        <w:t>Session template class design — confirm the parameter schema and implement the shared session template object.</w:t>
      </w:r>
    </w:p>
    <w:p>
      <w:pPr>
        <w:pStyle w:val="ListBullet"/>
        <w:spacing w:before="20" w:after="40"/>
        <w:ind w:left="360"/>
      </w:pPr>
      <w:r>
        <w:rPr>
          <w:rFonts w:ascii="Calibri" w:hAnsi="Calibri"/>
          <w:sz w:val="21"/>
        </w:rPr>
        <w:t>Economic calendar service — design as shared service queried by all session templates (similar to SVSS architecture).</w:t>
      </w:r>
    </w:p>
    <w:p>
      <w:pPr>
        <w:pStyle w:val="ListBullet"/>
        <w:spacing w:before="20" w:after="40"/>
        <w:ind w:left="360"/>
      </w:pPr>
      <w:r>
        <w:rPr>
          <w:rFonts w:ascii="Calibri" w:hAnsi="Calibri"/>
          <w:sz w:val="21"/>
        </w:rPr>
        <w:t>Cloudzy VPS sizing — confirm RAM and CPU are sufficient for peak concurrent load at Tokyo-London overlap (highest concurrent session overlap).</w:t>
      </w:r>
    </w:p>
    <w:p>
      <w:pPr>
        <w:pStyle w:val="ListBullet"/>
        <w:spacing w:before="20" w:after="40"/>
        <w:ind w:left="360"/>
      </w:pPr>
      <w:r>
        <w:rPr>
          <w:rFonts w:ascii="Calibri" w:hAnsi="Calibri"/>
          <w:sz w:val="21"/>
        </w:rPr>
        <w:t>ORB bot session masking — implement explicit session tags on ORB variants so London ORBs cannot fire after 11:00 GMT and NY ORBs activate at 13:00 GMT only.</w:t>
      </w:r>
    </w:p>
    <w:p>
      <w:pPr>
        <w:pStyle w:val="ListBullet"/>
        <w:spacing w:before="20" w:after="40"/>
        <w:ind w:left="360"/>
      </w:pPr>
      <w:r>
        <w:rPr>
          <w:rFonts w:ascii="Calibri" w:hAnsi="Calibri"/>
          <w:sz w:val="21"/>
        </w:rPr>
        <w:t>SESSION_SPECIALIST tag persistence and storage — define in data model.</w:t>
      </w:r>
    </w:p>
    <w:p>
      <w:pPr>
        <w:pStyle w:val="ListBullet"/>
        <w:spacing w:before="20" w:after="40"/>
        <w:ind w:left="360"/>
      </w:pPr>
      <w:r>
        <w:rPr>
          <w:rFonts w:ascii="Calibri" w:hAnsi="Calibri"/>
          <w:sz w:val="21"/>
        </w:rPr>
        <w:t>Workflow 3 and 4 agent team definitions — which Department sub-agents own each step.</w:t>
      </w:r>
    </w:p>
    <w:p>
      <w:pPr>
        <w:pStyle w:val="ListBullet"/>
        <w:spacing w:before="20" w:after="40"/>
        <w:ind w:left="360"/>
      </w:pPr>
      <w:r>
        <w:rPr>
          <w:rFonts w:ascii="Calibri" w:hAnsi="Calibri"/>
          <w:sz w:val="21"/>
        </w:rPr>
        <w:t>Bot tagging system integration with variant replacement cycle — define genealogy data structure.</w:t>
      </w:r>
    </w:p>
    <w:p/>
    <w:p>
      <w:pPr>
        <w:shd w:val="clear" w:color="auto" w:fill="375A32"/>
      </w:pPr>
      <w:r>
        <w:rPr>
          <w:rFonts w:ascii="Calibri" w:hAnsi="Calibri"/>
          <w:b/>
          <w:color w:val="FFFFFF"/>
          <w:sz w:val="22"/>
        </w:rPr>
        <w:t xml:space="preserve">  SESSION 3 ADDENDUM COMPLETE — March 21,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