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lang="ar">
      <w:pPr w:bidi="true">
        <w:spacing w:before="240" w:after="80"/>
        <w:jc w:val="center"/>
      </w:pPr>
      <w:r>
        <w:rPr>
          <w:rFonts w:ascii="Noto Naskh Arabic" w:hAnsi="Noto Naskh Arabic"/>
          <w:b/>
          <w:color w:val="0A2540"/>
          <w:sz w:val="36"/>
        </w:rPr>
        <w:t>تقييم حدود الثقة في MCP Apps: دراسة تجريبية للقدرات التي يديرها المضيف</w:t>
      </w:r>
    </w:p>
    <w:p>
      <w:pPr>
        <w:spacing w:after="160"/>
        <w:jc w:val="center"/>
      </w:pPr>
      <w:r>
        <w:rPr>
          <w:rFonts w:ascii="Times New Roman" w:hAnsi="Times New Roman"/>
          <w:i/>
          <w:color w:val="475569"/>
          <w:sz w:val="24"/>
        </w:rPr>
        <w:t>Evaluating Trust Boundaries in MCP Apps: An Experimental Study of Host-Mediated Capabilities</w:t>
      </w:r>
    </w:p>
    <w:p xml:lang="ar">
      <w:pPr w:bidi="true">
        <w:spacing w:after="60"/>
        <w:jc w:val="center"/>
      </w:pPr>
      <w:r>
        <w:rPr>
          <w:rFonts w:ascii="Noto Naskh Arabic" w:hAnsi="Noto Naskh Arabic"/>
          <w:b/>
          <w:i w:val="0"/>
          <w:color w:val="212529"/>
          <w:sz w:val="21"/>
        </w:rPr>
        <w:t>الباحثون:</w:t>
      </w:r>
      <w:r>
        <w:rPr>
          <w:rFonts w:ascii="Noto Naskh Arabic" w:hAnsi="Noto Naskh Arabic"/>
          <w:b w:val="0"/>
          <w:i w:val="0"/>
          <w:color w:val="212529"/>
          <w:sz w:val="21"/>
        </w:rPr>
        <w:t xml:space="preserve"> أ.د. مالك ناصر علي الجبري (مشرفًا أكاديميًا)، مبارك وليد الحمادي، ياسين عبد العزيز الخالقي، محمد سيف علي الحيمي (باحثون)</w:t>
      </w:r>
    </w:p>
    <w:p xml:lang="ar">
      <w:pPr w:bidi="true">
        <w:spacing w:after="60"/>
        <w:jc w:val="center"/>
      </w:pPr>
      <w:r>
        <w:rPr>
          <w:rFonts w:ascii="Noto Naskh Arabic" w:hAnsi="Noto Naskh Arabic"/>
          <w:b/>
          <w:i w:val="0"/>
          <w:color w:val="212529"/>
          <w:sz w:val="21"/>
        </w:rPr>
        <w:t>الجهة:</w:t>
      </w:r>
      <w:r>
        <w:rPr>
          <w:rFonts w:ascii="Noto Naskh Arabic" w:hAnsi="Noto Naskh Arabic"/>
          <w:b w:val="0"/>
          <w:i w:val="0"/>
          <w:color w:val="212529"/>
          <w:sz w:val="21"/>
        </w:rPr>
        <w:t xml:space="preserve"> كلية الهندسة وتكنولوجيا المعلومات، الجامعة الإماراتية الدولية (EIU)، صنعاء، الجمهورية اليمنية</w:t>
      </w:r>
    </w:p>
    <w:p xml:lang="ar">
      <w:pPr w:bidi="true">
        <w:spacing w:after="60"/>
        <w:jc w:val="center"/>
      </w:pPr>
      <w:r>
        <w:rPr>
          <w:rFonts w:ascii="Noto Naskh Arabic" w:hAnsi="Noto Naskh Arabic"/>
          <w:b/>
          <w:i w:val="0"/>
          <w:color w:val="212529"/>
          <w:sz w:val="21"/>
        </w:rPr>
        <w:t>التاريخ:</w:t>
      </w:r>
      <w:r>
        <w:rPr>
          <w:rFonts w:ascii="Noto Naskh Arabic" w:hAnsi="Noto Naskh Arabic"/>
          <w:b w:val="0"/>
          <w:i w:val="0"/>
          <w:color w:val="212529"/>
          <w:sz w:val="21"/>
        </w:rPr>
        <w:t xml:space="preserve"> سبتمبر 2026م</w:t>
      </w:r>
    </w:p>
    <w:p xml:lang="ar">
      <w:pPr w:bidi="true">
        <w:keepNext/>
        <w:spacing w:before="280" w:after="80"/>
        <w:jc w:val="right"/>
      </w:pPr>
      <w:r>
        <w:rPr>
          <w:rFonts w:ascii="Noto Naskh Arabic" w:hAnsi="Noto Naskh Arabic"/>
          <w:b/>
          <w:i w:val="0"/>
          <w:color w:val="0F2C59"/>
          <w:sz w:val="24"/>
        </w:rPr>
        <w:t>الملخص الأكاديمي (Abstract)</w:t>
      </w:r>
    </w:p>
    <w:p xml:lang="ar">
      <w:pPr w:bidi="true">
        <w:spacing w:before="0" w:after="80" w:line="276" w:lineRule="auto"/>
        <w:jc w:val="both"/>
      </w:pPr>
      <w:r>
        <w:rPr>
          <w:rFonts w:ascii="Noto Naskh Arabic" w:hAnsi="Noto Naskh Arabic"/>
          <w:b/>
          <w:sz w:val="21"/>
        </w:rPr>
        <w:t xml:space="preserve">الملخص الأكاديمي — </w:t>
      </w:r>
      <w:r>
        <w:rPr>
          <w:rFonts w:ascii="Noto Naskh Arabic" w:hAnsi="Noto Naskh Arabic"/>
          <w:b w:val="0"/>
          <w:i w:val="0"/>
          <w:color w:val="212529"/>
          <w:sz w:val="20"/>
        </w:rPr>
        <w:t xml:space="preserve">يُعد بروتوكول سياق النموذج (Model Context Protocol - MCP) معيارًا صناعيًا متقدمًا لربط وكلاء النماذج اللغوية الكبيرة (LLM) بمصادر البيانات والأدوات الخارجية. ويُقدم امتداد </w:t>
      </w:r>
      <w:r>
        <w:rPr>
          <w:rFonts w:ascii="Noto Naskh Arabic" w:hAnsi="Noto Naskh Arabic"/>
          <w:b/>
          <w:i w:val="0"/>
          <w:color w:val="212529"/>
          <w:sz w:val="20"/>
        </w:rPr>
        <w:t>MCP Apps</w:t>
      </w:r>
      <w:r>
        <w:rPr>
          <w:rFonts w:ascii="Noto Naskh Arabic" w:hAnsi="Noto Naskh Arabic"/>
          <w:b w:val="0"/>
          <w:i w:val="0"/>
          <w:color w:val="212529"/>
          <w:sz w:val="20"/>
        </w:rPr>
        <w:t xml:space="preserve"> الحديث (وفق معيار SEP-1865) نقلة نوعية عبر تمكين خوادم MCP غير الموثوقة من تقديم واجهات مستخدم رسومية وتفاعلية تُعرض مباشرة داخل تطبيق المضيف (Conversational Host Client). وعلى الرغم من أن المواصفة القياسية تفرض عزلًا تقنيًا إلزاميًا للواجهة باستخدام إطارات العمل المعزولة (Sandboxed Iframes) وسياسات أمان المحتوى (CSP)، إلا أنها تُحيل إدارة </w:t>
      </w:r>
      <w:r>
        <w:rPr>
          <w:rFonts w:ascii="Noto Naskh Arabic" w:hAnsi="Noto Naskh Arabic"/>
          <w:b/>
          <w:i w:val="0"/>
          <w:color w:val="212529"/>
          <w:sz w:val="20"/>
        </w:rPr>
        <w:t>القدرات التي يديرها المضيف (Host-Mediated Capabilities)</w:t>
      </w:r>
      <w:r>
        <w:rPr>
          <w:rFonts w:ascii="Noto Naskh Arabic" w:hAnsi="Noto Naskh Arabic"/>
          <w:b w:val="0"/>
          <w:i w:val="0"/>
          <w:color w:val="212529"/>
          <w:sz w:val="20"/>
        </w:rPr>
        <w:t>—وعلى وجه التحديد: فتح الروابط الخارجية (</w:t>
      </w:r>
      <w:r>
        <w:rPr>
          <w:rFonts w:ascii="Consolas" w:hAnsi="Consolas"/>
          <w:b w:val="0"/>
          <w:i w:val="0"/>
          <w:color w:val="B42828"/>
          <w:sz w:val="19"/>
        </w:rPr>
        <w:t>ui/open-link</w:t>
      </w:r>
      <w:r>
        <w:rPr>
          <w:rFonts w:ascii="Noto Naskh Arabic" w:hAnsi="Noto Naskh Arabic"/>
          <w:b w:val="0"/>
          <w:i w:val="0"/>
          <w:color w:val="212529"/>
          <w:sz w:val="20"/>
        </w:rPr>
        <w:t>)، وحقن رسائل المحادثة (</w:t>
      </w:r>
      <w:r>
        <w:rPr>
          <w:rFonts w:ascii="Consolas" w:hAnsi="Consolas"/>
          <w:b w:val="0"/>
          <w:i w:val="0"/>
          <w:color w:val="B42828"/>
          <w:sz w:val="19"/>
        </w:rPr>
        <w:t>ui/message</w:t>
      </w:r>
      <w:r>
        <w:rPr>
          <w:rFonts w:ascii="Noto Naskh Arabic" w:hAnsi="Noto Naskh Arabic"/>
          <w:b w:val="0"/>
          <w:i w:val="0"/>
          <w:color w:val="212529"/>
          <w:sz w:val="20"/>
        </w:rPr>
        <w:t>)، وتعديل سياق النموذج (</w:t>
      </w:r>
      <w:r>
        <w:rPr>
          <w:rFonts w:ascii="Consolas" w:hAnsi="Consolas"/>
          <w:b w:val="0"/>
          <w:i w:val="0"/>
          <w:color w:val="B42828"/>
          <w:sz w:val="19"/>
        </w:rPr>
        <w:t>ui/update-model-context</w:t>
      </w:r>
      <w:r>
        <w:rPr>
          <w:rFonts w:ascii="Noto Naskh Arabic" w:hAnsi="Noto Naskh Arabic"/>
          <w:b w:val="0"/>
          <w:i w:val="0"/>
          <w:color w:val="212529"/>
          <w:sz w:val="20"/>
        </w:rPr>
        <w:t>)—إلى القرارات والسياسات التقديرية للمضيف.</w:t>
      </w:r>
    </w:p>
    <w:p xml:lang="ar">
      <w:pPr w:bidi="true">
        <w:spacing w:before="0" w:after="80" w:line="276" w:lineRule="auto"/>
        <w:jc w:val="both"/>
      </w:pPr>
      <w:r>
        <w:rPr>
          <w:rFonts w:ascii="Noto Naskh Arabic" w:hAnsi="Noto Naskh Arabic"/>
          <w:b w:val="0"/>
          <w:i w:val="0"/>
          <w:color w:val="212529"/>
          <w:sz w:val="20"/>
        </w:rPr>
        <w:t>تُقدم هذه الورقة، في حدود ما وصل إليه علمنا، أول دراسة تجريبية لقياس حد الثقة الفاصل بين ما يمنعه العزل التقني للمتصفح وما يجب أن يضبطه المضيف بسياساته. ونُثبت عمليًا أن المضيف الملتزم بالمواصفة القياسية (Baseline)، ورغم نجاحه في منع الوصول المباشر إلى الصفحة والشبكة غير المصرح بها، يسمح للواجهات غير الموثوقة بتسريب البيانات الحساسة (</w:t>
      </w:r>
      <w:r>
        <w:rPr>
          <w:rFonts w:ascii="Consolas" w:hAnsi="Consolas"/>
          <w:b w:val="0"/>
          <w:i w:val="0"/>
          <w:color w:val="B42828"/>
          <w:sz w:val="19"/>
        </w:rPr>
        <w:t>SYNTHETIC_SECRET_001</w:t>
      </w:r>
      <w:r>
        <w:rPr>
          <w:rFonts w:ascii="Noto Naskh Arabic" w:hAnsi="Noto Naskh Arabic"/>
          <w:b w:val="0"/>
          <w:i w:val="0"/>
          <w:color w:val="212529"/>
          <w:sz w:val="20"/>
        </w:rPr>
        <w:t>) والتحكم في سياق النموذج دون طلب أي موافقة صريحة من المستخدم.</w:t>
      </w:r>
    </w:p>
    <w:p xml:lang="ar">
      <w:pPr w:bidi="true">
        <w:spacing w:before="0" w:after="80" w:line="276" w:lineRule="auto"/>
        <w:jc w:val="both"/>
      </w:pPr>
      <w:r>
        <w:rPr>
          <w:rFonts w:ascii="Noto Naskh Arabic" w:hAnsi="Noto Naskh Arabic"/>
          <w:b w:val="0"/>
          <w:i w:val="0"/>
          <w:color w:val="212529"/>
          <w:sz w:val="20"/>
        </w:rPr>
        <w:t xml:space="preserve">لمعالجة هذه الفجوة الأمنية، قمنا بتصميم وبناء وتقييم طبقة سياسة على جانب المضيف تعمل وفق أربع قواعد حتمية: التحقق من مخطط بروتوكول الروابط (Scheme Validation)، وتحديد حجم الرسائل (بحد أقصى 4 كيلوبايت)، وبوابة موافقة صريحة من المستخدم (User Consent Gate)، وشارة مرئية دائمة لتوضيح مصدر الواجهة. ومن خلال بيئة اختبار آلية تضمنت 41 تشغيلًا تجريبيًا (وفرت 180 نقطة قياس لزمن الاستجابة عبر متصفح Chromium)، أثبتت طبقة السياسة فاعليتها في خفض العمليات الحساسة المنفذة دون موافقة من </w:t>
      </w:r>
      <w:r>
        <w:rPr>
          <w:rFonts w:ascii="Noto Naskh Arabic" w:hAnsi="Noto Naskh Arabic"/>
          <w:b/>
          <w:i w:val="0"/>
          <w:color w:val="212529"/>
          <w:sz w:val="20"/>
        </w:rPr>
        <w:t>15/15 إلى 0/15</w:t>
      </w:r>
      <w:r>
        <w:rPr>
          <w:rFonts w:ascii="Noto Naskh Arabic" w:hAnsi="Noto Naskh Arabic"/>
          <w:b w:val="0"/>
          <w:i w:val="0"/>
          <w:color w:val="212529"/>
          <w:sz w:val="20"/>
        </w:rPr>
        <w:t xml:space="preserve">، ومنع تسريب القيمة السرية بنسبة 100%، مع إثبات الحفاظ على المنفعة الوظيفية لجميع القنوات الثلاث التي يديرها المضيف في تجربة تأكيدية مخصصة (n=1). كما أظهرت سجلات التدقيق الداخلي عبر كافة القنوات المعترضة (410 أحداث تدقيق) أن فحص السياسة يضيف عبئًا زمنيًا وسيطًا قدره </w:t>
      </w:r>
      <w:r>
        <w:rPr>
          <w:rFonts w:ascii="Noto Naskh Arabic" w:hAnsi="Noto Naskh Arabic"/>
          <w:b/>
          <w:i w:val="0"/>
          <w:color w:val="212529"/>
          <w:sz w:val="20"/>
        </w:rPr>
        <w:t>≤ 0.1 مللي ثانية</w:t>
      </w:r>
      <w:r>
        <w:rPr>
          <w:rFonts w:ascii="Noto Naskh Arabic" w:hAnsi="Noto Naskh Arabic"/>
          <w:b w:val="0"/>
          <w:i w:val="0"/>
          <w:color w:val="212529"/>
          <w:sz w:val="20"/>
        </w:rPr>
        <w:t xml:space="preserve"> (0.0 مللي ثانية للأدوات والروابط، و0.1 مللي ثانية للرسائل وتحديث السياق؛ بمتوسط 0.06 مللي ثانية، وحد أقصى 1.6 مللي ثانية أثناء معالجة حمولات السياق المتداخلة)، وهو ما يقل كثيرًا عن العتبة التشغيلية المحددة بـ 20 مللي ثانية. تؤكد هذه النتائج صحة الفرضيات البحثية الثلاث (قبول H1 وH2 وH3) وتضع معايير واضحة لهندسة مضيفات MCP الآمنة.</w:t>
      </w:r>
    </w:p>
    <w:p xml:lang="ar">
      <w:pPr w:bidi="true">
        <w:spacing w:before="0" w:after="80" w:line="276" w:lineRule="auto"/>
        <w:jc w:val="both"/>
      </w:pPr>
      <w:r>
        <w:rPr>
          <w:rFonts w:ascii="Noto Naskh Arabic" w:hAnsi="Noto Naskh Arabic"/>
          <w:b/>
          <w:sz w:val="20"/>
        </w:rPr>
        <w:t xml:space="preserve">الكلمات المفتاحية — </w:t>
      </w:r>
      <w:r>
        <w:rPr>
          <w:rFonts w:ascii="Noto Naskh Arabic" w:hAnsi="Noto Naskh Arabic"/>
          <w:b w:val="0"/>
          <w:i w:val="0"/>
          <w:color w:val="212529"/>
          <w:sz w:val="20"/>
        </w:rPr>
        <w:t>بروتوكول سياق النموذج (MCP)، تطبيقات MCP Apps، أمن وكلاء الذكاء الاصطناعي، القدرات التي يديرها المضيف، العزل البرمجي، حدود الثقة، حقن الأوامر غير المباشر.</w:t>
      </w:r>
    </w:p>
    <w:p xml:lang="ar">
      <w:pPr w:bidi="true">
        <w:keepNext/>
        <w:spacing w:before="280" w:after="80"/>
        <w:jc w:val="right"/>
      </w:pPr>
      <w:r>
        <w:rPr>
          <w:rFonts w:ascii="Noto Naskh Arabic" w:hAnsi="Noto Naskh Arabic"/>
          <w:b/>
          <w:i w:val="0"/>
          <w:color w:val="0F2C59"/>
          <w:sz w:val="24"/>
        </w:rPr>
        <w:t>1. المقدمة (Introduction)</w:t>
      </w:r>
    </w:p>
    <w:p xml:lang="ar">
      <w:pPr w:bidi="true">
        <w:spacing w:before="0" w:after="80" w:line="276" w:lineRule="auto"/>
        <w:jc w:val="both"/>
      </w:pPr>
      <w:r>
        <w:rPr>
          <w:rFonts w:ascii="Noto Naskh Arabic" w:hAnsi="Noto Naskh Arabic"/>
          <w:b w:val="0"/>
          <w:i w:val="0"/>
          <w:color w:val="212529"/>
          <w:sz w:val="20"/>
        </w:rPr>
        <w:t>مع تحول وكلاء النماذج اللغوية الكبيرة (LLMs) من توليد النصوص المجردة إلى تنفيذ سلاسل الإجراءات المستقلة (Autonomous Workflows)، برزت الحاجة إلى بروتوكولات معيارية للربط بين النماذج والبيئات البرمجية الخارجية. ويُعد بروتوكول سياق النموذج (MCP) المعيار الأبرز الذي نظم قنوات استدعاء الأدوات وتصفح الموارد بين العميل والخوادم المتعددة (Hou et al., 2025; Model Context Protocol, 2026b).</w:t>
      </w:r>
    </w:p>
    <w:p xml:lang="ar">
      <w:pPr w:bidi="true">
        <w:spacing w:before="0" w:after="80" w:line="276" w:lineRule="auto"/>
        <w:jc w:val="both"/>
      </w:pPr>
      <w:r>
        <w:rPr>
          <w:rFonts w:ascii="Noto Naskh Arabic" w:hAnsi="Noto Naskh Arabic"/>
          <w:b w:val="0"/>
          <w:i w:val="0"/>
          <w:color w:val="212529"/>
          <w:sz w:val="20"/>
        </w:rPr>
        <w:t xml:space="preserve">وعلى الرغم من كفاءة بروتوكول MCP، إلا أن تفاعل الأدوات ظل محصورًا في تبادل النصوص وهياكل JSON؛ فعند استدعاء أداة خارجية، يُعاد الناتج كنص يُحقن في سياق النموذج. واجهت هذه الآلية قصورًا كبيرًا في المهام التي تتطلب تفاعلًا بصريًا مثل الرسوم البيانية، والخرائط التفاعلية، ونماذج المحاكاة المالية. ولمعالجة ذلك، أُطلق امتداد </w:t>
      </w:r>
      <w:r>
        <w:rPr>
          <w:rFonts w:ascii="Noto Naskh Arabic" w:hAnsi="Noto Naskh Arabic"/>
          <w:b/>
          <w:i w:val="0"/>
          <w:color w:val="212529"/>
          <w:sz w:val="20"/>
        </w:rPr>
        <w:t>SEP-1865 (MCP Apps)</w:t>
      </w:r>
      <w:r>
        <w:rPr>
          <w:rFonts w:ascii="Noto Naskh Arabic" w:hAnsi="Noto Naskh Arabic"/>
          <w:b w:val="0"/>
          <w:i w:val="0"/>
          <w:color w:val="212529"/>
          <w:sz w:val="20"/>
        </w:rPr>
        <w:t xml:space="preserve"> الذي يُمكّن خادم MCP من إرجاع واجهة ويب تفاعلية كاملة (HTML/JS/CSS) يعرضها المضيف داخل إطار معزول بالتوازي مع مجرى المحادثة (Salomon et al., 2026).</w:t>
      </w:r>
    </w:p>
    <w:p xml:lang="ar">
      <w:pPr w:bidi="true">
        <w:keepNext/>
        <w:spacing w:before="200" w:after="60"/>
        <w:jc w:val="right"/>
      </w:pPr>
      <w:r>
        <w:rPr>
          <w:rFonts w:ascii="Noto Naskh Arabic" w:hAnsi="Noto Naskh Arabic"/>
          <w:b/>
          <w:i w:val="0"/>
          <w:color w:val="1E3A8A"/>
          <w:sz w:val="22"/>
        </w:rPr>
        <w:t>1.1 مشكلة حد الثقة (The Trust Boundary Problem)</w:t>
      </w:r>
    </w:p>
    <w:p xml:lang="ar">
      <w:pPr w:bidi="true">
        <w:spacing w:before="0" w:after="80" w:line="276" w:lineRule="auto"/>
        <w:jc w:val="both"/>
      </w:pPr>
      <w:r>
        <w:rPr>
          <w:rFonts w:ascii="Noto Naskh Arabic" w:hAnsi="Noto Naskh Arabic"/>
          <w:b w:val="0"/>
          <w:i w:val="0"/>
          <w:color w:val="212529"/>
          <w:sz w:val="20"/>
        </w:rPr>
        <w:t xml:space="preserve">يؤدي إدخال واجهات ويب ديناميكية إلى تغيير جوهري في النموذج الأمني للوكيل؛ فالواجهة التفاعلية ليست صفحة ثابتة، بل تطبيق نشط يتواصل مع المضيف ذهابًا وإيابًا عبر بروتوكول JSON-RPC المنقول بواسطة رسائل </w:t>
      </w:r>
      <w:r>
        <w:rPr>
          <w:rFonts w:ascii="Consolas" w:hAnsi="Consolas"/>
          <w:b w:val="0"/>
          <w:i w:val="0"/>
          <w:color w:val="B42828"/>
          <w:sz w:val="19"/>
        </w:rPr>
        <w:t>postMessage</w:t>
      </w:r>
      <w:r>
        <w:rPr>
          <w:rFonts w:ascii="Noto Naskh Arabic" w:hAnsi="Noto Naskh Arabic"/>
          <w:b w:val="0"/>
          <w:i w:val="0"/>
          <w:color w:val="212529"/>
          <w:sz w:val="20"/>
        </w:rPr>
        <w:t>.</w:t>
      </w:r>
    </w:p>
    <w:p xml:lang="ar">
      <w:pPr w:bidi="true">
        <w:spacing w:before="0" w:after="80" w:line="276" w:lineRule="auto"/>
        <w:jc w:val="both"/>
      </w:pPr>
      <w:r>
        <w:rPr>
          <w:rFonts w:ascii="Noto Naskh Arabic" w:hAnsi="Noto Naskh Arabic"/>
          <w:b w:val="0"/>
          <w:i w:val="0"/>
          <w:color w:val="212529"/>
          <w:sz w:val="20"/>
        </w:rPr>
        <w:t>تحدد مواصفة MCP Apps مستويين من الحماية:</w:t>
      </w:r>
    </w:p>
    <w:p xml:lang="ar">
      <w:pPr w:bidi="true">
        <w:spacing w:before="20" w:after="60" w:line="276" w:lineRule="auto"/>
        <w:jc w:val="right"/>
      </w:pPr>
      <w:r>
        <w:rPr>
          <w:rFonts w:ascii="Noto Naskh Arabic" w:hAnsi="Noto Naskh Arabic"/>
          <w:b/>
          <w:sz w:val="20"/>
        </w:rPr>
        <w:t xml:space="preserve">1.  </w:t>
      </w:r>
      <w:r>
        <w:rPr>
          <w:rFonts w:ascii="Noto Naskh Arabic" w:hAnsi="Noto Naskh Arabic"/>
          <w:b/>
          <w:i w:val="0"/>
          <w:color w:val="212529"/>
          <w:sz w:val="20"/>
        </w:rPr>
        <w:t>العزل التقني الإلزامي (MUST):</w:t>
      </w:r>
      <w:r>
        <w:rPr>
          <w:rFonts w:ascii="Noto Naskh Arabic" w:hAnsi="Noto Naskh Arabic"/>
          <w:b w:val="0"/>
          <w:i w:val="0"/>
          <w:color w:val="212529"/>
          <w:sz w:val="20"/>
        </w:rPr>
        <w:t xml:space="preserve"> يُلزم المضيف بعرض الواجهة داخل عنصر </w:t>
      </w:r>
      <w:r>
        <w:rPr>
          <w:rFonts w:ascii="Consolas" w:hAnsi="Consolas"/>
          <w:b w:val="0"/>
          <w:i w:val="0"/>
          <w:color w:val="B42828"/>
          <w:sz w:val="19"/>
        </w:rPr>
        <w:t>iframe</w:t>
      </w:r>
      <w:r>
        <w:rPr>
          <w:rFonts w:ascii="Noto Naskh Arabic" w:hAnsi="Noto Naskh Arabic"/>
          <w:b w:val="0"/>
          <w:i w:val="0"/>
          <w:color w:val="212529"/>
          <w:sz w:val="20"/>
        </w:rPr>
        <w:t xml:space="preserve"> مقيد الصلاحيات (</w:t>
      </w:r>
      <w:r>
        <w:rPr>
          <w:rFonts w:ascii="Consolas" w:hAnsi="Consolas"/>
          <w:b w:val="0"/>
          <w:i w:val="0"/>
          <w:color w:val="B42828"/>
          <w:sz w:val="19"/>
        </w:rPr>
        <w:t>sandbox="allow-scripts allow-same-origin allow-forms"</w:t>
      </w:r>
      <w:r>
        <w:rPr>
          <w:rFonts w:ascii="Noto Naskh Arabic" w:hAnsi="Noto Naskh Arabic"/>
          <w:b w:val="0"/>
          <w:i w:val="0"/>
          <w:color w:val="212529"/>
          <w:sz w:val="20"/>
        </w:rPr>
        <w:t>) وتطبيق سياسة أمان محتوى (CSP) تمنع الاتصال بأي نطاق لم يُعلن عنه مسبقًا في بيانات الخادم (</w:t>
      </w:r>
      <w:r>
        <w:rPr>
          <w:rFonts w:ascii="Consolas" w:hAnsi="Consolas"/>
          <w:b w:val="0"/>
          <w:i w:val="0"/>
          <w:color w:val="B42828"/>
          <w:sz w:val="19"/>
        </w:rPr>
        <w:t>connectDomains</w:t>
      </w:r>
      <w:r>
        <w:rPr>
          <w:rFonts w:ascii="Noto Naskh Arabic" w:hAnsi="Noto Naskh Arabic"/>
          <w:b w:val="0"/>
          <w:i w:val="0"/>
          <w:color w:val="212529"/>
          <w:sz w:val="20"/>
        </w:rPr>
        <w:t>). كما تُلزم برفض أي استدعاء أداة (</w:t>
      </w:r>
      <w:r>
        <w:rPr>
          <w:rFonts w:ascii="Consolas" w:hAnsi="Consolas"/>
          <w:b w:val="0"/>
          <w:i w:val="0"/>
          <w:color w:val="B42828"/>
          <w:sz w:val="19"/>
        </w:rPr>
        <w:t>tools/call</w:t>
      </w:r>
      <w:r>
        <w:rPr>
          <w:rFonts w:ascii="Noto Naskh Arabic" w:hAnsi="Noto Naskh Arabic"/>
          <w:b w:val="0"/>
          <w:i w:val="0"/>
          <w:color w:val="212529"/>
          <w:sz w:val="20"/>
        </w:rPr>
        <w:t>) لا تتضمن وسام الرؤية الخاص بالتطبيقات (</w:t>
      </w:r>
      <w:r>
        <w:rPr>
          <w:rFonts w:ascii="Consolas" w:hAnsi="Consolas"/>
          <w:b w:val="0"/>
          <w:i w:val="0"/>
          <w:color w:val="B42828"/>
          <w:sz w:val="19"/>
        </w:rPr>
        <w:t>"app"</w:t>
      </w:r>
      <w:r>
        <w:rPr>
          <w:rFonts w:ascii="Noto Naskh Arabic" w:hAnsi="Noto Naskh Arabic"/>
          <w:b w:val="0"/>
          <w:i w:val="0"/>
          <w:color w:val="212529"/>
          <w:sz w:val="20"/>
        </w:rPr>
        <w:t>).</w:t>
      </w:r>
    </w:p>
    <w:p xml:lang="ar">
      <w:pPr w:bidi="true">
        <w:spacing w:before="20" w:after="60" w:line="276" w:lineRule="auto"/>
        <w:jc w:val="right"/>
      </w:pPr>
      <w:r>
        <w:rPr>
          <w:rFonts w:ascii="Noto Naskh Arabic" w:hAnsi="Noto Naskh Arabic"/>
          <w:b/>
          <w:sz w:val="20"/>
        </w:rPr>
        <w:t xml:space="preserve">2.  </w:t>
      </w:r>
      <w:r>
        <w:rPr>
          <w:rFonts w:ascii="Noto Naskh Arabic" w:hAnsi="Noto Naskh Arabic"/>
          <w:b/>
          <w:i w:val="0"/>
          <w:color w:val="212529"/>
          <w:sz w:val="20"/>
        </w:rPr>
        <w:t>القدرات التي يديرها المضيف (Host-Mediated Capabilities):</w:t>
      </w:r>
      <w:r>
        <w:rPr>
          <w:rFonts w:ascii="Noto Naskh Arabic" w:hAnsi="Noto Naskh Arabic"/>
          <w:b w:val="0"/>
          <w:i w:val="0"/>
          <w:color w:val="212529"/>
          <w:sz w:val="20"/>
        </w:rPr>
        <w:t xml:space="preserve"> تُزود المواصفة الواجهة بقنوات رسمية لطلب إجراءات ينفذها المضيف نيابة عنها:</w:t>
      </w:r>
    </w:p>
    <w:p xml:lang="ar">
      <w:pPr w:bidi="true">
        <w:spacing w:before="0" w:after="80" w:line="276" w:lineRule="auto"/>
        <w:jc w:val="both"/>
      </w:pPr>
      <w:r>
        <w:rPr>
          <w:rFonts w:ascii="Noto Naskh Arabic" w:hAnsi="Noto Naskh Arabic"/>
          <w:b w:val="0"/>
          <w:i w:val="0"/>
          <w:color w:val="212529"/>
          <w:sz w:val="20"/>
        </w:rPr>
        <w:t xml:space="preserve">   - </w:t>
      </w:r>
      <w:r>
        <w:rPr>
          <w:rFonts w:ascii="Consolas" w:hAnsi="Consolas"/>
          <w:b w:val="0"/>
          <w:i w:val="0"/>
          <w:color w:val="B42828"/>
          <w:sz w:val="19"/>
        </w:rPr>
        <w:t>ui/open-link</w:t>
      </w:r>
      <w:r>
        <w:rPr>
          <w:rFonts w:ascii="Noto Naskh Arabic" w:hAnsi="Noto Naskh Arabic"/>
          <w:b w:val="0"/>
          <w:i w:val="0"/>
          <w:color w:val="212529"/>
          <w:sz w:val="20"/>
        </w:rPr>
        <w:t>: مطالبة المضيف بفتح رابط خارجي في متصفح النظام.</w:t>
      </w:r>
    </w:p>
    <w:p xml:lang="ar">
      <w:pPr w:bidi="true">
        <w:spacing w:before="0" w:after="80" w:line="276" w:lineRule="auto"/>
        <w:jc w:val="both"/>
      </w:pPr>
      <w:r>
        <w:rPr>
          <w:rFonts w:ascii="Noto Naskh Arabic" w:hAnsi="Noto Naskh Arabic"/>
          <w:b w:val="0"/>
          <w:i w:val="0"/>
          <w:color w:val="212529"/>
          <w:sz w:val="20"/>
        </w:rPr>
        <w:t xml:space="preserve">   - </w:t>
      </w:r>
      <w:r>
        <w:rPr>
          <w:rFonts w:ascii="Consolas" w:hAnsi="Consolas"/>
          <w:b w:val="0"/>
          <w:i w:val="0"/>
          <w:color w:val="B42828"/>
          <w:sz w:val="19"/>
        </w:rPr>
        <w:t>ui/message</w:t>
      </w:r>
      <w:r>
        <w:rPr>
          <w:rFonts w:ascii="Noto Naskh Arabic" w:hAnsi="Noto Naskh Arabic"/>
          <w:b w:val="0"/>
          <w:i w:val="0"/>
          <w:color w:val="212529"/>
          <w:sz w:val="20"/>
        </w:rPr>
        <w:t>: إرسال رسالة مباشرة إلى مجرى محادثة المستخدم مع الوكيل.</w:t>
      </w:r>
    </w:p>
    <w:p xml:lang="ar">
      <w:pPr w:bidi="true">
        <w:spacing w:before="0" w:after="80" w:line="276" w:lineRule="auto"/>
        <w:jc w:val="both"/>
      </w:pPr>
      <w:r>
        <w:rPr>
          <w:rFonts w:ascii="Noto Naskh Arabic" w:hAnsi="Noto Naskh Arabic"/>
          <w:b w:val="0"/>
          <w:i w:val="0"/>
          <w:color w:val="212529"/>
          <w:sz w:val="20"/>
        </w:rPr>
        <w:t xml:space="preserve">   - </w:t>
      </w:r>
      <w:r>
        <w:rPr>
          <w:rFonts w:ascii="Consolas" w:hAnsi="Consolas"/>
          <w:b w:val="0"/>
          <w:i w:val="0"/>
          <w:color w:val="B42828"/>
          <w:sz w:val="19"/>
        </w:rPr>
        <w:t>ui/update-model-context</w:t>
      </w:r>
      <w:r>
        <w:rPr>
          <w:rFonts w:ascii="Noto Naskh Arabic" w:hAnsi="Noto Naskh Arabic"/>
          <w:b w:val="0"/>
          <w:i w:val="0"/>
          <w:color w:val="212529"/>
          <w:sz w:val="20"/>
        </w:rPr>
        <w:t>: تحديث أو تزويد سياق النموذج بمعلومات جديدة تؤثر على استجابات الذكاء الاصطناعي اللاحقة.</w:t>
      </w:r>
    </w:p>
    <w:p xml:lang="ar">
      <w:pPr w:bidi="true">
        <w:spacing w:before="0" w:after="80" w:line="276" w:lineRule="auto"/>
        <w:jc w:val="both"/>
      </w:pPr>
      <w:r>
        <w:rPr>
          <w:rFonts w:ascii="Noto Naskh Arabic" w:hAnsi="Noto Naskh Arabic"/>
          <w:b w:val="0"/>
          <w:i w:val="0"/>
          <w:color w:val="212529"/>
          <w:sz w:val="20"/>
        </w:rPr>
        <w:t xml:space="preserve">تكمن الفجوة الأمنية في أن المواصفة تنص على أن المضيف </w:t>
      </w:r>
      <w:r>
        <w:rPr>
          <w:rFonts w:ascii="Noto Naskh Arabic" w:hAnsi="Noto Naskh Arabic"/>
          <w:b w:val="0"/>
          <w:i/>
          <w:color w:val="212529"/>
          <w:sz w:val="20"/>
        </w:rPr>
        <w:t>قد</w:t>
      </w:r>
      <w:r>
        <w:rPr>
          <w:rFonts w:ascii="Noto Naskh Arabic" w:hAnsi="Noto Naskh Arabic"/>
          <w:b w:val="0"/>
          <w:i w:val="0"/>
          <w:color w:val="212529"/>
          <w:sz w:val="20"/>
        </w:rPr>
        <w:t xml:space="preserve"> يطلب موافقة المستخدم أو يطبق سياسات محلية، ولكنها لا تفرض سلوكًا افتراضيًا صارمًا. وبالتالي، فإن المضيف الملتزم بالمواصفة القياسية الأساسية (Baseline)—الذي يطبق العزل التقني دون إضافة طبقة حوكمة—يقوم بتنفيذ هذه الطلبات تلقائيًا فور وصولها، مما يُشكل ثغرة هيكلية لاستغلال الصلاحيات.</w:t>
      </w:r>
    </w:p>
    <w:p>
      <w:pPr>
        <w:keepNext/>
        <w:spacing w:before="160" w:after="40"/>
        <w:jc w:val="center"/>
      </w:pPr>
      <w:r>
        <w:drawing>
          <wp:inline xmlns:a="http://schemas.openxmlformats.org/drawingml/2006/main" xmlns:pic="http://schemas.openxmlformats.org/drawingml/2006/picture">
            <wp:extent cx="6217920" cy="3799840"/>
            <wp:docPr id="1" name="Picture 1"/>
            <wp:cNvGraphicFramePr>
              <a:graphicFrameLocks noChangeAspect="1"/>
            </wp:cNvGraphicFramePr>
            <a:graphic>
              <a:graphicData uri="http://schemas.openxmlformats.org/drawingml/2006/picture">
                <pic:pic>
                  <pic:nvPicPr>
                    <pic:cNvPr id="0" name="fig1_trust_boundary.png"/>
                    <pic:cNvPicPr/>
                  </pic:nvPicPr>
                  <pic:blipFill>
                    <a:blip r:embed="rId11"/>
                    <a:stretch>
                      <a:fillRect/>
                    </a:stretch>
                  </pic:blipFill>
                  <pic:spPr>
                    <a:xfrm>
                      <a:off x="0" y="0"/>
                      <a:ext cx="6217920" cy="3799840"/>
                    </a:xfrm>
                    <a:prstGeom prst="rect"/>
                  </pic:spPr>
                </pic:pic>
              </a:graphicData>
            </a:graphic>
          </wp:inline>
        </w:drawing>
      </w:r>
    </w:p>
    <w:p xml:lang="ar">
      <w:pPr w:bidi="true">
        <w:spacing w:before="60" w:after="160"/>
        <w:jc w:val="center"/>
      </w:pPr>
      <w:r>
        <w:rPr>
          <w:rFonts w:ascii="Noto Naskh Arabic" w:hAnsi="Noto Naskh Arabic"/>
          <w:b w:val="0"/>
          <w:i/>
          <w:color w:val="475569"/>
          <w:sz w:val="19"/>
        </w:rPr>
        <w:t>الشكل 1: نظرة مفاهيمية لحد الثقة الفاصل بين مضيف المحادثة وتطبيقات MCP Apps، يوضح ضوابط العزل الإلزامية وفجوات الحوكمة التقديرية.</w:t>
      </w:r>
    </w:p>
    <w:p xml:lang="ar">
      <w:pPr w:bidi="true">
        <w:keepNext/>
        <w:spacing w:before="200" w:after="60"/>
        <w:jc w:val="right"/>
      </w:pPr>
      <w:r>
        <w:rPr>
          <w:rFonts w:ascii="Noto Naskh Arabic" w:hAnsi="Noto Naskh Arabic"/>
          <w:b/>
          <w:i w:val="0"/>
          <w:color w:val="1E3A8A"/>
          <w:sz w:val="22"/>
        </w:rPr>
        <w:t>1.2 الأسئلة البحثية</w:t>
      </w:r>
    </w:p>
    <w:p xml:lang="ar">
      <w:pPr w:bidi="true">
        <w:spacing w:before="0" w:after="80" w:line="276" w:lineRule="auto"/>
        <w:jc w:val="both"/>
      </w:pPr>
      <w:r>
        <w:rPr>
          <w:rFonts w:ascii="Noto Naskh Arabic" w:hAnsi="Noto Naskh Arabic"/>
          <w:b w:val="0"/>
          <w:i w:val="0"/>
          <w:color w:val="212529"/>
          <w:sz w:val="20"/>
        </w:rPr>
        <w:t>تسعى هذه الدراسة للإجابة عن التساؤلات التالية:</w:t>
      </w:r>
    </w:p>
    <w:p xml:lang="ar">
      <w:pPr w:bidi="true">
        <w:pStyle w:val="ListBullet"/>
        <w:spacing w:before="20" w:after="60" w:line="276" w:lineRule="auto"/>
        <w:jc w:val="right"/>
      </w:pPr>
      <w:r>
        <w:rPr>
          <w:rFonts w:ascii="Noto Naskh Arabic" w:hAnsi="Noto Naskh Arabic"/>
          <w:b/>
          <w:i w:val="0"/>
          <w:color w:val="212529"/>
          <w:sz w:val="20"/>
        </w:rPr>
        <w:t>SP1:</w:t>
      </w:r>
      <w:r>
        <w:rPr>
          <w:rFonts w:ascii="Noto Naskh Arabic" w:hAnsi="Noto Naskh Arabic"/>
          <w:b w:val="0"/>
          <w:i w:val="0"/>
          <w:color w:val="212529"/>
          <w:sz w:val="20"/>
        </w:rPr>
        <w:t xml:space="preserve"> كيف يمكن التحقق عمليًا من التزام المضيف بحدود العزل الإلزامية (CSP ورؤية الأدوات)؟</w:t>
      </w:r>
    </w:p>
    <w:p xml:lang="ar">
      <w:pPr w:bidi="true">
        <w:pStyle w:val="ListBullet"/>
        <w:spacing w:before="20" w:after="60" w:line="276" w:lineRule="auto"/>
        <w:jc w:val="right"/>
      </w:pPr>
      <w:r>
        <w:rPr>
          <w:rFonts w:ascii="Noto Naskh Arabic" w:hAnsi="Noto Naskh Arabic"/>
          <w:b/>
          <w:i w:val="0"/>
          <w:color w:val="212529"/>
          <w:sz w:val="20"/>
        </w:rPr>
        <w:t>SP2:</w:t>
      </w:r>
      <w:r>
        <w:rPr>
          <w:rFonts w:ascii="Noto Naskh Arabic" w:hAnsi="Noto Naskh Arabic"/>
          <w:b w:val="0"/>
          <w:i w:val="0"/>
          <w:color w:val="212529"/>
          <w:sz w:val="20"/>
        </w:rPr>
        <w:t xml:space="preserve"> ما مدى قدرة تطبيق MCP غير موثوق على استغلال القنوات المسموحة (</w:t>
      </w:r>
      <w:r>
        <w:rPr>
          <w:rFonts w:ascii="Consolas" w:hAnsi="Consolas"/>
          <w:b w:val="0"/>
          <w:i w:val="0"/>
          <w:color w:val="B42828"/>
          <w:sz w:val="19"/>
        </w:rPr>
        <w:t>ui/open-link</w:t>
      </w:r>
      <w:r>
        <w:rPr>
          <w:rFonts w:ascii="Noto Naskh Arabic" w:hAnsi="Noto Naskh Arabic"/>
          <w:b w:val="0"/>
          <w:i w:val="0"/>
          <w:color w:val="212529"/>
          <w:sz w:val="20"/>
        </w:rPr>
        <w:t xml:space="preserve">, </w:t>
      </w:r>
      <w:r>
        <w:rPr>
          <w:rFonts w:ascii="Consolas" w:hAnsi="Consolas"/>
          <w:b w:val="0"/>
          <w:i w:val="0"/>
          <w:color w:val="B42828"/>
          <w:sz w:val="19"/>
        </w:rPr>
        <w:t>ui/message</w:t>
      </w:r>
      <w:r>
        <w:rPr>
          <w:rFonts w:ascii="Noto Naskh Arabic" w:hAnsi="Noto Naskh Arabic"/>
          <w:b w:val="0"/>
          <w:i w:val="0"/>
          <w:color w:val="212529"/>
          <w:sz w:val="20"/>
        </w:rPr>
        <w:t xml:space="preserve">, </w:t>
      </w:r>
      <w:r>
        <w:rPr>
          <w:rFonts w:ascii="Consolas" w:hAnsi="Consolas"/>
          <w:b w:val="0"/>
          <w:i w:val="0"/>
          <w:color w:val="B42828"/>
          <w:sz w:val="19"/>
        </w:rPr>
        <w:t>ui/update-model-context</w:t>
      </w:r>
      <w:r>
        <w:rPr>
          <w:rFonts w:ascii="Noto Naskh Arabic" w:hAnsi="Noto Naskh Arabic"/>
          <w:b w:val="0"/>
          <w:i w:val="0"/>
          <w:color w:val="212529"/>
          <w:sz w:val="20"/>
        </w:rPr>
        <w:t>) لتسريب قيمة حساسة (</w:t>
      </w:r>
      <w:r>
        <w:rPr>
          <w:rFonts w:ascii="Consolas" w:hAnsi="Consolas"/>
          <w:b w:val="0"/>
          <w:i w:val="0"/>
          <w:color w:val="B42828"/>
          <w:sz w:val="19"/>
        </w:rPr>
        <w:t>SYNTHETIC_SECRET_001</w:t>
      </w:r>
      <w:r>
        <w:rPr>
          <w:rFonts w:ascii="Noto Naskh Arabic" w:hAnsi="Noto Naskh Arabic"/>
          <w:b w:val="0"/>
          <w:i w:val="0"/>
          <w:color w:val="212529"/>
          <w:sz w:val="20"/>
        </w:rPr>
        <w:t>) أو تسميم السياق دون كسر العزل؟</w:t>
      </w:r>
    </w:p>
    <w:p xml:lang="ar">
      <w:pPr w:bidi="true">
        <w:pStyle w:val="ListBullet"/>
        <w:spacing w:before="20" w:after="60" w:line="276" w:lineRule="auto"/>
        <w:jc w:val="right"/>
      </w:pPr>
      <w:r>
        <w:rPr>
          <w:rFonts w:ascii="Noto Naskh Arabic" w:hAnsi="Noto Naskh Arabic"/>
          <w:b/>
          <w:i w:val="0"/>
          <w:color w:val="212529"/>
          <w:sz w:val="20"/>
        </w:rPr>
        <w:t>SP3:</w:t>
      </w:r>
      <w:r>
        <w:rPr>
          <w:rFonts w:ascii="Noto Naskh Arabic" w:hAnsi="Noto Naskh Arabic"/>
          <w:b w:val="0"/>
          <w:i w:val="0"/>
          <w:color w:val="212529"/>
          <w:sz w:val="20"/>
        </w:rPr>
        <w:t xml:space="preserve"> هل تنجح طبقة سياسة صغيرة على جانب المضيف في سد هذه الفجوة دون تعطيل الاستخدام المشروع ودون إضافة عبء زمني محسوس؟</w:t>
      </w:r>
    </w:p>
    <w:p xml:lang="ar">
      <w:pPr w:bidi="true">
        <w:keepNext/>
        <w:spacing w:before="280" w:after="80"/>
        <w:jc w:val="right"/>
      </w:pPr>
      <w:r>
        <w:rPr>
          <w:rFonts w:ascii="Noto Naskh Arabic" w:hAnsi="Noto Naskh Arabic"/>
          <w:b/>
          <w:i w:val="0"/>
          <w:color w:val="0F2C59"/>
          <w:sz w:val="24"/>
        </w:rPr>
        <w:t>2. الدراسات السابقة (Related Work)</w:t>
      </w:r>
    </w:p>
    <w:p xml:lang="ar">
      <w:pPr w:bidi="true">
        <w:spacing w:before="0" w:after="80" w:line="276" w:lineRule="auto"/>
        <w:jc w:val="both"/>
      </w:pPr>
      <w:r>
        <w:rPr>
          <w:rFonts w:ascii="Noto Naskh Arabic" w:hAnsi="Noto Naskh Arabic"/>
          <w:b w:val="0"/>
          <w:i w:val="0"/>
          <w:color w:val="212529"/>
          <w:sz w:val="20"/>
        </w:rPr>
        <w:t>حظي أمن الوكلاء المعتمدين على النماذج اللغوية باهتمام بحثي واسع، وتركزت الأعمال السابقة على المخاطر الناتجة عن اتصال النماذج بالأدوات وحقن الأوامر غير المباشر:</w:t>
      </w:r>
    </w:p>
    <w:p xml:lang="ar">
      <w:pPr w:bidi="true">
        <w:spacing w:before="20" w:after="60" w:line="276" w:lineRule="auto"/>
        <w:jc w:val="right"/>
      </w:pPr>
      <w:r>
        <w:rPr>
          <w:rFonts w:ascii="Noto Naskh Arabic" w:hAnsi="Noto Naskh Arabic"/>
          <w:b/>
          <w:sz w:val="20"/>
        </w:rPr>
        <w:t xml:space="preserve">1.  </w:t>
      </w:r>
      <w:r>
        <w:rPr>
          <w:rFonts w:ascii="Noto Naskh Arabic" w:hAnsi="Noto Naskh Arabic"/>
          <w:b/>
          <w:i w:val="0"/>
          <w:color w:val="212529"/>
          <w:sz w:val="20"/>
        </w:rPr>
        <w:t>مخاطر بروتوكول MCP:</w:t>
      </w:r>
      <w:r>
        <w:rPr>
          <w:rFonts w:ascii="Noto Naskh Arabic" w:hAnsi="Noto Naskh Arabic"/>
          <w:b w:val="0"/>
          <w:i w:val="0"/>
          <w:color w:val="212529"/>
          <w:sz w:val="20"/>
        </w:rPr>
        <w:t xml:space="preserve"> قدم Hou وزملاؤه (2025) مسحًا شاملًا لبروتوكول سياق النموذج، وصنفوا المخاطر عبر دورة حياة الخادم، مبرزين افتقار النماذج لآليات التحقق من توصيفات الأدوات. كما حلل Maloyan وNamiot (2026) في دراستهما </w:t>
      </w:r>
      <w:r>
        <w:rPr>
          <w:rFonts w:ascii="Noto Naskh Arabic" w:hAnsi="Noto Naskh Arabic"/>
          <w:b w:val="0"/>
          <w:i/>
          <w:color w:val="212529"/>
          <w:sz w:val="20"/>
        </w:rPr>
        <w:t>Breaking the Protocol</w:t>
      </w:r>
      <w:r>
        <w:rPr>
          <w:rFonts w:ascii="Noto Naskh Arabic" w:hAnsi="Noto Naskh Arabic"/>
          <w:b w:val="0"/>
          <w:i w:val="0"/>
          <w:color w:val="212529"/>
          <w:sz w:val="20"/>
        </w:rPr>
        <w:t xml:space="preserve"> تعرض الوكلاء لحقن الأوامر غير المباشر عبر مخرجات الأدوات. وأكد Radosevich وHalloran (2025) وجود تسريبات للبيانات الحساسة في خوادم مفتوحة المصدر.</w:t>
      </w:r>
    </w:p>
    <w:p xml:lang="ar">
      <w:pPr w:bidi="true">
        <w:spacing w:before="20" w:after="60" w:line="276" w:lineRule="auto"/>
        <w:jc w:val="right"/>
      </w:pPr>
      <w:r>
        <w:rPr>
          <w:rFonts w:ascii="Noto Naskh Arabic" w:hAnsi="Noto Naskh Arabic"/>
          <w:b/>
          <w:sz w:val="20"/>
        </w:rPr>
        <w:t xml:space="preserve">2.  </w:t>
      </w:r>
      <w:r>
        <w:rPr>
          <w:rFonts w:ascii="Noto Naskh Arabic" w:hAnsi="Noto Naskh Arabic"/>
          <w:b/>
          <w:i w:val="0"/>
          <w:color w:val="212529"/>
          <w:sz w:val="20"/>
        </w:rPr>
        <w:t>فرض حدود التنفيذ والعزل:</w:t>
      </w:r>
    </w:p>
    <w:p xml:lang="ar">
      <w:pPr w:bidi="true">
        <w:spacing w:before="0" w:after="80" w:line="276" w:lineRule="auto"/>
        <w:jc w:val="both"/>
      </w:pPr>
      <w:r>
        <w:rPr>
          <w:rFonts w:ascii="Noto Naskh Arabic" w:hAnsi="Noto Naskh Arabic"/>
          <w:b w:val="0"/>
          <w:i w:val="0"/>
          <w:color w:val="212529"/>
          <w:sz w:val="20"/>
        </w:rPr>
        <w:t xml:space="preserve">   - قدم مشروع </w:t>
      </w:r>
      <w:r>
        <w:rPr>
          <w:rFonts w:ascii="Noto Naskh Arabic" w:hAnsi="Noto Naskh Arabic"/>
          <w:b/>
          <w:i w:val="0"/>
          <w:color w:val="212529"/>
          <w:sz w:val="20"/>
        </w:rPr>
        <w:t>AgentBound</w:t>
      </w:r>
      <w:r>
        <w:rPr>
          <w:rFonts w:ascii="Noto Naskh Arabic" w:hAnsi="Noto Naskh Arabic"/>
          <w:b w:val="0"/>
          <w:i w:val="0"/>
          <w:color w:val="212529"/>
          <w:sz w:val="20"/>
        </w:rPr>
        <w:t xml:space="preserve"> (Bühler et al., 2026) إطارًا لتقييد نداءات النظام وعزل عمليات الوكلاء، لكنه ركز على مستوى نظام التشغيل ولم يتعامل مع قنوات رسائل واجهات الويب (</w:t>
      </w:r>
      <w:r>
        <w:rPr>
          <w:rFonts w:ascii="Consolas" w:hAnsi="Consolas"/>
          <w:b w:val="0"/>
          <w:i w:val="0"/>
          <w:color w:val="B42828"/>
          <w:sz w:val="19"/>
        </w:rPr>
        <w:t>postMessage</w:t>
      </w:r>
      <w:r>
        <w:rPr>
          <w:rFonts w:ascii="Noto Naskh Arabic" w:hAnsi="Noto Naskh Arabic"/>
          <w:b w:val="0"/>
          <w:i w:val="0"/>
          <w:color w:val="212529"/>
          <w:sz w:val="20"/>
        </w:rPr>
        <w:t>).</w:t>
      </w:r>
    </w:p>
    <w:p xml:lang="ar">
      <w:pPr w:bidi="true">
        <w:spacing w:before="0" w:after="80" w:line="276" w:lineRule="auto"/>
        <w:jc w:val="both"/>
      </w:pPr>
      <w:r>
        <w:rPr>
          <w:rFonts w:ascii="Noto Naskh Arabic" w:hAnsi="Noto Naskh Arabic"/>
          <w:b w:val="0"/>
          <w:i w:val="0"/>
          <w:color w:val="212529"/>
          <w:sz w:val="20"/>
        </w:rPr>
        <w:t xml:space="preserve">   - قدم مشروع </w:t>
      </w:r>
      <w:r>
        <w:rPr>
          <w:rFonts w:ascii="Noto Naskh Arabic" w:hAnsi="Noto Naskh Arabic"/>
          <w:b/>
          <w:i w:val="0"/>
          <w:color w:val="212529"/>
          <w:sz w:val="20"/>
        </w:rPr>
        <w:t>AgentDojo</w:t>
      </w:r>
      <w:r>
        <w:rPr>
          <w:rFonts w:ascii="Noto Naskh Arabic" w:hAnsi="Noto Naskh Arabic"/>
          <w:b w:val="0"/>
          <w:i w:val="0"/>
          <w:color w:val="212529"/>
          <w:sz w:val="20"/>
        </w:rPr>
        <w:t xml:space="preserve"> (Debenedetti et al., 2024) بيئة معيارية لقياس الدفاعات ضد حقن الأوامر بالتوازي مع قياس استمرار الوظائف المشروعة، وهو المبدأ الذي تتبناه دراستنا لضمان عدم التضحية بالمنفعة.</w:t>
      </w:r>
    </w:p>
    <w:p xml:lang="ar">
      <w:pPr w:bidi="true">
        <w:spacing w:before="0" w:after="80" w:line="276" w:lineRule="auto"/>
        <w:jc w:val="both"/>
      </w:pPr>
      <w:r>
        <w:rPr>
          <w:rFonts w:ascii="Noto Naskh Arabic" w:hAnsi="Noto Naskh Arabic"/>
          <w:b w:val="0"/>
          <w:i w:val="0"/>
          <w:color w:val="212529"/>
          <w:sz w:val="20"/>
        </w:rPr>
        <w:t xml:space="preserve">   - أوضحت أدبيات حقن الأوامر غير المباشر (Greshake et al., 2023) مخاطر التلاعب بسياق النماذج، وهو الخطر الذي يتضاعف في MCP Apps عبر قناة </w:t>
      </w:r>
      <w:r>
        <w:rPr>
          <w:rFonts w:ascii="Consolas" w:hAnsi="Consolas"/>
          <w:b w:val="0"/>
          <w:i w:val="0"/>
          <w:color w:val="B42828"/>
          <w:sz w:val="19"/>
        </w:rPr>
        <w:t>ui/update-model-context</w:t>
      </w:r>
      <w:r>
        <w:rPr>
          <w:rFonts w:ascii="Noto Naskh Arabic" w:hAnsi="Noto Naskh Arabic"/>
          <w:b w:val="0"/>
          <w:i w:val="0"/>
          <w:color w:val="212529"/>
          <w:sz w:val="20"/>
        </w:rPr>
        <w:t>.</w:t>
      </w:r>
    </w:p>
    <w:p xml:lang="ar">
      <w:pPr w:bidi="true">
        <w:spacing w:before="0" w:after="80" w:line="276" w:lineRule="auto"/>
        <w:jc w:val="both"/>
      </w:pPr>
      <w:r>
        <w:rPr>
          <w:rFonts w:ascii="Noto Naskh Arabic" w:hAnsi="Noto Naskh Arabic"/>
          <w:b/>
          <w:i w:val="0"/>
          <w:color w:val="212529"/>
          <w:sz w:val="20"/>
        </w:rPr>
        <w:t>الفجوة البحثية:</w:t>
      </w:r>
      <w:r>
        <w:rPr>
          <w:rFonts w:ascii="Noto Naskh Arabic" w:hAnsi="Noto Naskh Arabic"/>
          <w:b w:val="0"/>
          <w:i w:val="0"/>
          <w:color w:val="212529"/>
          <w:sz w:val="20"/>
        </w:rPr>
        <w:t xml:space="preserve"> لم تتناول أي دراسة سابقة القياس التجريبي لحدود الثقة في </w:t>
      </w:r>
      <w:r>
        <w:rPr>
          <w:rFonts w:ascii="Noto Naskh Arabic" w:hAnsi="Noto Naskh Arabic"/>
          <w:b/>
          <w:i w:val="0"/>
          <w:color w:val="212529"/>
          <w:sz w:val="20"/>
        </w:rPr>
        <w:t>MCP Apps</w:t>
      </w:r>
      <w:r>
        <w:rPr>
          <w:rFonts w:ascii="Noto Naskh Arabic" w:hAnsi="Noto Naskh Arabic"/>
          <w:b w:val="0"/>
          <w:i w:val="0"/>
          <w:color w:val="212529"/>
          <w:sz w:val="20"/>
        </w:rPr>
        <w:t xml:space="preserve"> والتمييز بين الحماية التي يوفرها العزل البرمجي للمتصفح وتلك التي تتطلب حوكمة صريحة من المضيف.</w:t>
      </w:r>
    </w:p>
    <w:p xml:lang="ar">
      <w:pPr w:bidi="true">
        <w:keepNext/>
        <w:spacing w:before="280" w:after="80"/>
        <w:jc w:val="right"/>
      </w:pPr>
      <w:r>
        <w:rPr>
          <w:rFonts w:ascii="Noto Naskh Arabic" w:hAnsi="Noto Naskh Arabic"/>
          <w:b/>
          <w:i w:val="0"/>
          <w:color w:val="0F2C59"/>
          <w:sz w:val="24"/>
        </w:rPr>
        <w:t>3. نموذج التهديد والافتراضات الأمنية (Threat Model)</w:t>
      </w:r>
    </w:p>
    <w:p xml:lang="ar">
      <w:pPr w:bidi="true">
        <w:keepNext/>
        <w:spacing w:before="200" w:after="60"/>
        <w:jc w:val="right"/>
      </w:pPr>
      <w:r>
        <w:rPr>
          <w:rFonts w:ascii="Noto Naskh Arabic" w:hAnsi="Noto Naskh Arabic"/>
          <w:b/>
          <w:i w:val="0"/>
          <w:color w:val="1E3A8A"/>
          <w:sz w:val="22"/>
        </w:rPr>
        <w:t>3.1 أطراف المنظومة ومستويات الثقة</w:t>
      </w:r>
    </w:p>
    <w:p xml:lang="ar">
      <w:pPr w:bidi="true">
        <w:pStyle w:val="ListBullet"/>
        <w:spacing w:before="20" w:after="60" w:line="276" w:lineRule="auto"/>
        <w:jc w:val="right"/>
      </w:pPr>
      <w:r>
        <w:rPr>
          <w:rFonts w:ascii="Noto Naskh Arabic" w:hAnsi="Noto Naskh Arabic"/>
          <w:b/>
          <w:i w:val="0"/>
          <w:color w:val="212529"/>
          <w:sz w:val="20"/>
        </w:rPr>
        <w:t>المستخدم ونظام التشغيل:</w:t>
      </w:r>
      <w:r>
        <w:rPr>
          <w:rFonts w:ascii="Noto Naskh Arabic" w:hAnsi="Noto Naskh Arabic"/>
          <w:b w:val="0"/>
          <w:i w:val="0"/>
          <w:color w:val="212529"/>
          <w:sz w:val="20"/>
        </w:rPr>
        <w:t xml:space="preserve"> موثوقان بالكامل؛ البيئة تعمل على نظام تشغيل محلي غير مخترق ومتصفح حديث (Chromium).</w:t>
      </w:r>
    </w:p>
    <w:p xml:lang="ar">
      <w:pPr w:bidi="true">
        <w:pStyle w:val="ListBullet"/>
        <w:spacing w:before="20" w:after="60" w:line="276" w:lineRule="auto"/>
        <w:jc w:val="right"/>
      </w:pPr>
      <w:r>
        <w:rPr>
          <w:rFonts w:ascii="Noto Naskh Arabic" w:hAnsi="Noto Naskh Arabic"/>
          <w:b/>
          <w:i w:val="0"/>
          <w:color w:val="212529"/>
          <w:sz w:val="20"/>
        </w:rPr>
        <w:t>تطبيق المضيف (Host Client):</w:t>
      </w:r>
      <w:r>
        <w:rPr>
          <w:rFonts w:ascii="Noto Naskh Arabic" w:hAnsi="Noto Naskh Arabic"/>
          <w:b w:val="0"/>
          <w:i w:val="0"/>
          <w:color w:val="212529"/>
          <w:sz w:val="20"/>
        </w:rPr>
        <w:t xml:space="preserve"> موثوق؛ يدير واجهة المحادثة وينفذ طبقة السياسة الأمنية.</w:t>
      </w:r>
    </w:p>
    <w:p xml:lang="ar">
      <w:pPr w:bidi="true">
        <w:pStyle w:val="ListBullet"/>
        <w:spacing w:before="20" w:after="60" w:line="276" w:lineRule="auto"/>
        <w:jc w:val="right"/>
      </w:pPr>
      <w:r>
        <w:rPr>
          <w:rFonts w:ascii="Noto Naskh Arabic" w:hAnsi="Noto Naskh Arabic"/>
          <w:b/>
          <w:i w:val="0"/>
          <w:color w:val="212529"/>
          <w:sz w:val="20"/>
        </w:rPr>
        <w:t>النموذج اللغوي (LLM Backend):</w:t>
      </w:r>
      <w:r>
        <w:rPr>
          <w:rFonts w:ascii="Noto Naskh Arabic" w:hAnsi="Noto Naskh Arabic"/>
          <w:b w:val="0"/>
          <w:i w:val="0"/>
          <w:color w:val="212529"/>
          <w:sz w:val="20"/>
        </w:rPr>
        <w:t xml:space="preserve"> شبه موثوق؛ ينفذ الأوامر بصدق لكنه يقع فريسة للأوامر المحقونة إذا تلوث سياقه.</w:t>
      </w:r>
    </w:p>
    <w:p xml:lang="ar">
      <w:pPr w:bidi="true">
        <w:pStyle w:val="ListBullet"/>
        <w:spacing w:before="20" w:after="60" w:line="276" w:lineRule="auto"/>
        <w:jc w:val="right"/>
      </w:pPr>
      <w:r>
        <w:rPr>
          <w:rFonts w:ascii="Noto Naskh Arabic" w:hAnsi="Noto Naskh Arabic"/>
          <w:b/>
          <w:i w:val="0"/>
          <w:color w:val="212529"/>
          <w:sz w:val="20"/>
        </w:rPr>
        <w:t>خادم MCP وواجهة التطبيق (MCP App UI):</w:t>
      </w:r>
      <w:r>
        <w:rPr>
          <w:rFonts w:ascii="Noto Naskh Arabic" w:hAnsi="Noto Naskh Arabic"/>
          <w:b w:val="0"/>
          <w:i w:val="0"/>
          <w:color w:val="212529"/>
          <w:sz w:val="20"/>
        </w:rPr>
        <w:t xml:space="preserve"> </w:t>
      </w:r>
      <w:r>
        <w:rPr>
          <w:rFonts w:ascii="Noto Naskh Arabic" w:hAnsi="Noto Naskh Arabic"/>
          <w:b/>
          <w:i w:val="0"/>
          <w:color w:val="212529"/>
          <w:sz w:val="20"/>
        </w:rPr>
        <w:t>غير موثوقين بالكامل.</w:t>
      </w:r>
      <w:r>
        <w:rPr>
          <w:rFonts w:ascii="Noto Naskh Arabic" w:hAnsi="Noto Naskh Arabic"/>
          <w:b w:val="0"/>
          <w:i w:val="0"/>
          <w:color w:val="212529"/>
          <w:sz w:val="20"/>
        </w:rPr>
        <w:t xml:space="preserve"> يُفترض أن المهاجم يتحكم في الخادم وتوصيف الأدوات وكود الواجهة البرمجية (HTML/JS).</w:t>
      </w:r>
    </w:p>
    <w:p xml:lang="ar">
      <w:pPr w:bidi="true">
        <w:keepNext/>
        <w:spacing w:before="200" w:after="60"/>
        <w:jc w:val="right"/>
      </w:pPr>
      <w:r>
        <w:rPr>
          <w:rFonts w:ascii="Noto Naskh Arabic" w:hAnsi="Noto Naskh Arabic"/>
          <w:b/>
          <w:i w:val="0"/>
          <w:color w:val="1E3A8A"/>
          <w:sz w:val="22"/>
        </w:rPr>
        <w:t>3.2 أهداف المهاجم ونطاق الدراسة</w:t>
      </w:r>
    </w:p>
    <w:p xml:lang="ar">
      <w:pPr w:bidi="true">
        <w:spacing w:before="0" w:after="80" w:line="276" w:lineRule="auto"/>
        <w:jc w:val="both"/>
      </w:pPr>
      <w:r>
        <w:rPr>
          <w:rFonts w:ascii="Noto Naskh Arabic" w:hAnsi="Noto Naskh Arabic"/>
          <w:b w:val="0"/>
          <w:i w:val="0"/>
          <w:color w:val="212529"/>
          <w:sz w:val="20"/>
        </w:rPr>
        <w:t>يسعى المهاجم إلى:</w:t>
      </w:r>
    </w:p>
    <w:p xml:lang="ar">
      <w:pPr w:bidi="true">
        <w:spacing w:before="20" w:after="60" w:line="276" w:lineRule="auto"/>
        <w:jc w:val="right"/>
      </w:pPr>
      <w:r>
        <w:rPr>
          <w:rFonts w:ascii="Noto Naskh Arabic" w:hAnsi="Noto Naskh Arabic"/>
          <w:b/>
          <w:sz w:val="20"/>
        </w:rPr>
        <w:t xml:space="preserve">1.  </w:t>
      </w:r>
      <w:r>
        <w:rPr>
          <w:rFonts w:ascii="Noto Naskh Arabic" w:hAnsi="Noto Naskh Arabic"/>
          <w:b/>
          <w:i w:val="0"/>
          <w:color w:val="212529"/>
          <w:sz w:val="20"/>
        </w:rPr>
        <w:t>تسريب البيانات الحساسة (Exfiltration):</w:t>
      </w:r>
      <w:r>
        <w:rPr>
          <w:rFonts w:ascii="Noto Naskh Arabic" w:hAnsi="Noto Naskh Arabic"/>
          <w:b w:val="0"/>
          <w:i w:val="0"/>
          <w:color w:val="212529"/>
          <w:sz w:val="20"/>
        </w:rPr>
        <w:t xml:space="preserve"> الوصول إلى قيمة حساسة (</w:t>
      </w:r>
      <w:r>
        <w:rPr>
          <w:rFonts w:ascii="Consolas" w:hAnsi="Consolas"/>
          <w:b w:val="0"/>
          <w:i w:val="0"/>
          <w:color w:val="B42828"/>
          <w:sz w:val="19"/>
        </w:rPr>
        <w:t>SYNTHETIC_SECRET_001</w:t>
      </w:r>
      <w:r>
        <w:rPr>
          <w:rFonts w:ascii="Noto Naskh Arabic" w:hAnsi="Noto Naskh Arabic"/>
          <w:b w:val="0"/>
          <w:i w:val="0"/>
          <w:color w:val="212529"/>
          <w:sz w:val="20"/>
        </w:rPr>
        <w:t>) ونقلها إلى خارج النظام.</w:t>
      </w:r>
    </w:p>
    <w:p xml:lang="ar">
      <w:pPr w:bidi="true">
        <w:spacing w:before="20" w:after="60" w:line="276" w:lineRule="auto"/>
        <w:jc w:val="right"/>
      </w:pPr>
      <w:r>
        <w:rPr>
          <w:rFonts w:ascii="Noto Naskh Arabic" w:hAnsi="Noto Naskh Arabic"/>
          <w:b/>
          <w:sz w:val="20"/>
        </w:rPr>
        <w:t xml:space="preserve">2.  </w:t>
      </w:r>
      <w:r>
        <w:rPr>
          <w:rFonts w:ascii="Noto Naskh Arabic" w:hAnsi="Noto Naskh Arabic"/>
          <w:b/>
          <w:i w:val="0"/>
          <w:color w:val="212529"/>
          <w:sz w:val="20"/>
        </w:rPr>
        <w:t>تسميم سياق النموذج (Context Poisoning):</w:t>
      </w:r>
      <w:r>
        <w:rPr>
          <w:rFonts w:ascii="Noto Naskh Arabic" w:hAnsi="Noto Naskh Arabic"/>
          <w:b w:val="0"/>
          <w:i w:val="0"/>
          <w:color w:val="212529"/>
          <w:sz w:val="20"/>
        </w:rPr>
        <w:t xml:space="preserve"> حقن تعليمات خبيثة داخل سياق المحادثة أو موجه النموذج عبر القنوات المتاحة.</w:t>
      </w:r>
    </w:p>
    <w:p xml:lang="ar">
      <w:pPr w:bidi="true">
        <w:spacing w:before="20" w:after="60" w:line="276" w:lineRule="auto"/>
        <w:jc w:val="right"/>
      </w:pPr>
      <w:r>
        <w:rPr>
          <w:rFonts w:ascii="Noto Naskh Arabic" w:hAnsi="Noto Naskh Arabic"/>
          <w:b/>
          <w:sz w:val="20"/>
        </w:rPr>
        <w:t xml:space="preserve">3.  </w:t>
      </w:r>
      <w:r>
        <w:rPr>
          <w:rFonts w:ascii="Noto Naskh Arabic" w:hAnsi="Noto Naskh Arabic"/>
          <w:b/>
          <w:i w:val="0"/>
          <w:color w:val="212529"/>
          <w:sz w:val="20"/>
        </w:rPr>
        <w:t>انتحال هوية المضيف (Spoofing):</w:t>
      </w:r>
      <w:r>
        <w:rPr>
          <w:rFonts w:ascii="Noto Naskh Arabic" w:hAnsi="Noto Naskh Arabic"/>
          <w:b w:val="0"/>
          <w:i w:val="0"/>
          <w:color w:val="212529"/>
          <w:sz w:val="20"/>
        </w:rPr>
        <w:t xml:space="preserve"> عرض واجهات تخدع المستخدم وتوهمه بأنها تابعة للمضيف.</w:t>
      </w:r>
    </w:p>
    <w:p xml:lang="ar">
      <w:pPr w:bidi="true">
        <w:spacing w:before="0" w:after="80" w:line="276" w:lineRule="auto"/>
        <w:jc w:val="both"/>
      </w:pPr>
      <w:r>
        <w:rPr>
          <w:rFonts w:ascii="Noto Naskh Arabic" w:hAnsi="Noto Naskh Arabic"/>
          <w:b/>
          <w:i w:val="0"/>
          <w:color w:val="212529"/>
          <w:sz w:val="20"/>
        </w:rPr>
        <w:t>حدود النطاق:</w:t>
      </w:r>
      <w:r>
        <w:rPr>
          <w:rFonts w:ascii="Noto Naskh Arabic" w:hAnsi="Noto Naskh Arabic"/>
          <w:b w:val="0"/>
          <w:i w:val="0"/>
          <w:color w:val="212529"/>
          <w:sz w:val="20"/>
        </w:rPr>
        <w:t xml:space="preserve"> تركز الدراسة على استغلال قدرات البروتوكول فقط، ولا تشمل استغلال ثغرات المتصفحات (Zero-Day)، أو كسر عزل النواة (Sandbox Escape)، أو الهندسة الاجتماعية المباشرة.</w:t>
      </w:r>
    </w:p>
    <w:p xml:lang="ar">
      <w:pPr w:bidi="true">
        <w:keepNext/>
        <w:spacing w:before="280" w:after="80"/>
        <w:jc w:val="right"/>
      </w:pPr>
      <w:r>
        <w:rPr>
          <w:rFonts w:ascii="Noto Naskh Arabic" w:hAnsi="Noto Naskh Arabic"/>
          <w:b/>
          <w:i w:val="0"/>
          <w:color w:val="0F2C59"/>
          <w:sz w:val="24"/>
        </w:rPr>
        <w:t>4. البنية الهندسية وطبقة السياسة المقترحة (System Architecture)</w:t>
      </w:r>
    </w:p>
    <w:p xml:lang="ar">
      <w:pPr w:bidi="true">
        <w:spacing w:before="0" w:after="80" w:line="276" w:lineRule="auto"/>
        <w:jc w:val="both"/>
      </w:pPr>
      <w:r>
        <w:rPr>
          <w:rFonts w:ascii="Noto Naskh Arabic" w:hAnsi="Noto Naskh Arabic"/>
          <w:b w:val="0"/>
          <w:i w:val="0"/>
          <w:color w:val="212529"/>
          <w:sz w:val="20"/>
        </w:rPr>
        <w:t>تم بناء طبقة السياسة كوحدة اعتراض برمجية متصلة بدورة حياة جسر التطبيق (</w:t>
      </w:r>
      <w:r>
        <w:rPr>
          <w:rFonts w:ascii="Consolas" w:hAnsi="Consolas"/>
          <w:b w:val="0"/>
          <w:i w:val="0"/>
          <w:color w:val="B42828"/>
          <w:sz w:val="19"/>
        </w:rPr>
        <w:t>AppBridge</w:t>
      </w:r>
      <w:r>
        <w:rPr>
          <w:rFonts w:ascii="Noto Naskh Arabic" w:hAnsi="Noto Naskh Arabic"/>
          <w:b w:val="0"/>
          <w:i w:val="0"/>
          <w:color w:val="212529"/>
          <w:sz w:val="20"/>
        </w:rPr>
        <w:t>) داخل المضيف، وتطبق القواعد الأربع التالية:</w:t>
      </w:r>
    </w:p>
    <w:p>
      <w:pPr>
        <w:keepNext/>
        <w:spacing w:before="160" w:after="40"/>
        <w:jc w:val="center"/>
      </w:pPr>
      <w:r>
        <w:drawing>
          <wp:inline xmlns:a="http://schemas.openxmlformats.org/drawingml/2006/main" xmlns:pic="http://schemas.openxmlformats.org/drawingml/2006/picture">
            <wp:extent cx="6217920" cy="3821430"/>
            <wp:docPr id="2" name="Picture 2"/>
            <wp:cNvGraphicFramePr>
              <a:graphicFrameLocks noChangeAspect="1"/>
            </wp:cNvGraphicFramePr>
            <a:graphic>
              <a:graphicData uri="http://schemas.openxmlformats.org/drawingml/2006/picture">
                <pic:pic>
                  <pic:nvPicPr>
                    <pic:cNvPr id="0" name="fig2_policy_engine.png"/>
                    <pic:cNvPicPr/>
                  </pic:nvPicPr>
                  <pic:blipFill>
                    <a:blip r:embed="rId12"/>
                    <a:stretch>
                      <a:fillRect/>
                    </a:stretch>
                  </pic:blipFill>
                  <pic:spPr>
                    <a:xfrm>
                      <a:off x="0" y="0"/>
                      <a:ext cx="6217920" cy="3821430"/>
                    </a:xfrm>
                    <a:prstGeom prst="rect"/>
                  </pic:spPr>
                </pic:pic>
              </a:graphicData>
            </a:graphic>
          </wp:inline>
        </w:drawing>
      </w:r>
    </w:p>
    <w:p xml:lang="ar">
      <w:pPr w:bidi="true">
        <w:spacing w:before="60" w:after="160"/>
        <w:jc w:val="center"/>
      </w:pPr>
      <w:r>
        <w:rPr>
          <w:rFonts w:ascii="Noto Naskh Arabic" w:hAnsi="Noto Naskh Arabic"/>
          <w:b w:val="0"/>
          <w:i/>
          <w:color w:val="475569"/>
          <w:sz w:val="19"/>
        </w:rPr>
        <w:t>الشكل 2: البنية الهيكلية لمحرك سياسة المضيف المقترح والقواعد الأربع الحتمية.</w:t>
      </w:r>
    </w:p>
    <w:p xml:lang="ar">
      <w:pPr w:bidi="true">
        <w:keepNext/>
        <w:spacing w:before="200" w:after="60"/>
        <w:jc w:val="right"/>
      </w:pPr>
      <w:r>
        <w:rPr>
          <w:rFonts w:ascii="Noto Naskh Arabic" w:hAnsi="Noto Naskh Arabic"/>
          <w:b/>
          <w:i w:val="0"/>
          <w:color w:val="1E3A8A"/>
          <w:sz w:val="22"/>
        </w:rPr>
        <w:t>4.1 القواعد الأربع الحتمية</w:t>
      </w:r>
    </w:p>
    <w:p xml:lang="ar">
      <w:pPr w:bidi="true">
        <w:spacing w:before="20" w:after="60" w:line="276" w:lineRule="auto"/>
        <w:jc w:val="right"/>
      </w:pPr>
      <w:r>
        <w:rPr>
          <w:rFonts w:ascii="Noto Naskh Arabic" w:hAnsi="Noto Naskh Arabic"/>
          <w:b/>
          <w:sz w:val="20"/>
        </w:rPr>
        <w:t xml:space="preserve">1.  </w:t>
      </w:r>
      <w:r>
        <w:rPr>
          <w:rFonts w:ascii="Noto Naskh Arabic" w:hAnsi="Noto Naskh Arabic"/>
          <w:b/>
          <w:i w:val="0"/>
          <w:color w:val="212529"/>
          <w:sz w:val="20"/>
        </w:rPr>
        <w:t>التحقق من الروابط (Link Scheme Validation):</w:t>
      </w:r>
      <w:r>
        <w:rPr>
          <w:rFonts w:ascii="Noto Naskh Arabic" w:hAnsi="Noto Naskh Arabic"/>
          <w:b w:val="0"/>
          <w:i w:val="0"/>
          <w:color w:val="212529"/>
          <w:sz w:val="20"/>
        </w:rPr>
        <w:t xml:space="preserve"> فحص عنوان URL والتأكد من انتمائه للمخططات المسموحة (</w:t>
      </w:r>
      <w:r>
        <w:rPr>
          <w:rFonts w:ascii="Consolas" w:hAnsi="Consolas"/>
          <w:b w:val="0"/>
          <w:i w:val="0"/>
          <w:color w:val="B42828"/>
          <w:sz w:val="19"/>
        </w:rPr>
        <w:t>http:</w:t>
      </w:r>
      <w:r>
        <w:rPr>
          <w:rFonts w:ascii="Noto Naskh Arabic" w:hAnsi="Noto Naskh Arabic"/>
          <w:b w:val="0"/>
          <w:i w:val="0"/>
          <w:color w:val="212529"/>
          <w:sz w:val="20"/>
        </w:rPr>
        <w:t xml:space="preserve">, </w:t>
      </w:r>
      <w:r>
        <w:rPr>
          <w:rFonts w:ascii="Consolas" w:hAnsi="Consolas"/>
          <w:b w:val="0"/>
          <w:i w:val="0"/>
          <w:color w:val="B42828"/>
          <w:sz w:val="19"/>
        </w:rPr>
        <w:t>https:</w:t>
      </w:r>
      <w:r>
        <w:rPr>
          <w:rFonts w:ascii="Noto Naskh Arabic" w:hAnsi="Noto Naskh Arabic"/>
          <w:b w:val="0"/>
          <w:i w:val="0"/>
          <w:color w:val="212529"/>
          <w:sz w:val="20"/>
        </w:rPr>
        <w:t>) ومنع الروابط الخبيثة (</w:t>
      </w:r>
      <w:r>
        <w:rPr>
          <w:rFonts w:ascii="Consolas" w:hAnsi="Consolas"/>
          <w:b w:val="0"/>
          <w:i w:val="0"/>
          <w:color w:val="B42828"/>
          <w:sz w:val="19"/>
        </w:rPr>
        <w:t>javascript:</w:t>
      </w:r>
      <w:r>
        <w:rPr>
          <w:rFonts w:ascii="Noto Naskh Arabic" w:hAnsi="Noto Naskh Arabic"/>
          <w:b w:val="0"/>
          <w:i w:val="0"/>
          <w:color w:val="212529"/>
          <w:sz w:val="20"/>
        </w:rPr>
        <w:t xml:space="preserve">, </w:t>
      </w:r>
      <w:r>
        <w:rPr>
          <w:rFonts w:ascii="Consolas" w:hAnsi="Consolas"/>
          <w:b w:val="0"/>
          <w:i w:val="0"/>
          <w:color w:val="B42828"/>
          <w:sz w:val="19"/>
        </w:rPr>
        <w:t>file:</w:t>
      </w:r>
      <w:r>
        <w:rPr>
          <w:rFonts w:ascii="Noto Naskh Arabic" w:hAnsi="Noto Naskh Arabic"/>
          <w:b w:val="0"/>
          <w:i w:val="0"/>
          <w:color w:val="212529"/>
          <w:sz w:val="20"/>
        </w:rPr>
        <w:t xml:space="preserve">)، ثم طلب موافقة صريحة قبل استدعاء </w:t>
      </w:r>
      <w:r>
        <w:rPr>
          <w:rFonts w:ascii="Consolas" w:hAnsi="Consolas"/>
          <w:b w:val="0"/>
          <w:i w:val="0"/>
          <w:color w:val="B42828"/>
          <w:sz w:val="19"/>
        </w:rPr>
        <w:t>window.open()</w:t>
      </w:r>
      <w:r>
        <w:rPr>
          <w:rFonts w:ascii="Noto Naskh Arabic" w:hAnsi="Noto Naskh Arabic"/>
          <w:b w:val="0"/>
          <w:i w:val="0"/>
          <w:color w:val="212529"/>
          <w:sz w:val="20"/>
        </w:rPr>
        <w:t>.</w:t>
      </w:r>
    </w:p>
    <w:p xml:lang="ar">
      <w:pPr w:bidi="true">
        <w:spacing w:before="20" w:after="60" w:line="276" w:lineRule="auto"/>
        <w:jc w:val="right"/>
      </w:pPr>
      <w:r>
        <w:rPr>
          <w:rFonts w:ascii="Noto Naskh Arabic" w:hAnsi="Noto Naskh Arabic"/>
          <w:b/>
          <w:sz w:val="20"/>
        </w:rPr>
        <w:t xml:space="preserve">2.  </w:t>
      </w:r>
      <w:r>
        <w:rPr>
          <w:rFonts w:ascii="Noto Naskh Arabic" w:hAnsi="Noto Naskh Arabic"/>
          <w:b/>
          <w:i w:val="0"/>
          <w:color w:val="212529"/>
          <w:sz w:val="20"/>
        </w:rPr>
        <w:t>حوكمة الرسائل والسياق (Message &amp; Context Gating):</w:t>
      </w:r>
      <w:r>
        <w:rPr>
          <w:rFonts w:ascii="Noto Naskh Arabic" w:hAnsi="Noto Naskh Arabic"/>
          <w:b w:val="0"/>
          <w:i w:val="0"/>
          <w:color w:val="212529"/>
          <w:sz w:val="20"/>
        </w:rPr>
        <w:t xml:space="preserve"> التحقق من أن حجم حمولة البيانات لا يتجاوز 4096 بايت (4 كيلوبايت) لمنع هجمات حجب الخدمة، ثم إخضاعها للموافقة الصريحة.</w:t>
      </w:r>
    </w:p>
    <w:p xml:lang="ar">
      <w:pPr w:bidi="true">
        <w:spacing w:before="20" w:after="60" w:line="276" w:lineRule="auto"/>
        <w:jc w:val="right"/>
      </w:pPr>
      <w:r>
        <w:rPr>
          <w:rFonts w:ascii="Noto Naskh Arabic" w:hAnsi="Noto Naskh Arabic"/>
          <w:b/>
          <w:sz w:val="20"/>
        </w:rPr>
        <w:t xml:space="preserve">3.  </w:t>
      </w:r>
      <w:r>
        <w:rPr>
          <w:rFonts w:ascii="Noto Naskh Arabic" w:hAnsi="Noto Naskh Arabic"/>
          <w:b/>
          <w:i w:val="0"/>
          <w:color w:val="212529"/>
          <w:sz w:val="20"/>
        </w:rPr>
        <w:t>حد الثقة المرئي (Visible Trust Boundary):</w:t>
      </w:r>
      <w:r>
        <w:rPr>
          <w:rFonts w:ascii="Noto Naskh Arabic" w:hAnsi="Noto Naskh Arabic"/>
          <w:b w:val="0"/>
          <w:i w:val="0"/>
          <w:color w:val="212529"/>
          <w:sz w:val="20"/>
        </w:rPr>
        <w:t xml:space="preserve"> إضافة شارة مصدر ثابتة (</w:t>
      </w:r>
      <w:r>
        <w:rPr>
          <w:rFonts w:ascii="Consolas" w:hAnsi="Consolas"/>
          <w:b w:val="0"/>
          <w:i w:val="0"/>
          <w:color w:val="B42828"/>
          <w:sz w:val="19"/>
        </w:rPr>
        <w:t>SourceBadge</w:t>
      </w:r>
      <w:r>
        <w:rPr>
          <w:rFonts w:ascii="Noto Naskh Arabic" w:hAnsi="Noto Naskh Arabic"/>
          <w:b w:val="0"/>
          <w:i w:val="0"/>
          <w:color w:val="212529"/>
          <w:sz w:val="20"/>
        </w:rPr>
        <w:t>) أعلى إطار العرض وخارج نطاق DOM الخاص بالتطبيق غير الموثوق لتنبيه المستخدم دائمًا بمصدر الواجهة.</w:t>
      </w:r>
    </w:p>
    <w:p xml:lang="ar">
      <w:pPr w:bidi="true">
        <w:spacing w:before="20" w:after="60" w:line="276" w:lineRule="auto"/>
        <w:jc w:val="right"/>
      </w:pPr>
      <w:r>
        <w:rPr>
          <w:rFonts w:ascii="Noto Naskh Arabic" w:hAnsi="Noto Naskh Arabic"/>
          <w:b/>
          <w:sz w:val="20"/>
        </w:rPr>
        <w:t xml:space="preserve">4.  </w:t>
      </w:r>
      <w:r>
        <w:rPr>
          <w:rFonts w:ascii="Noto Naskh Arabic" w:hAnsi="Noto Naskh Arabic"/>
          <w:b/>
          <w:i w:val="0"/>
          <w:color w:val="212529"/>
          <w:sz w:val="20"/>
        </w:rPr>
        <w:t>سجل تدقيق منظم وغير معطل (Audit Telemetry):</w:t>
      </w:r>
      <w:r>
        <w:rPr>
          <w:rFonts w:ascii="Noto Naskh Arabic" w:hAnsi="Noto Naskh Arabic"/>
          <w:b w:val="0"/>
          <w:i w:val="0"/>
          <w:color w:val="212529"/>
          <w:sz w:val="20"/>
        </w:rPr>
        <w:t xml:space="preserve"> تسجيل كل قرار (النوع، القناة، القرار، السبب، التوقيت) وإرساله للخادم بشكل غير متزامن (Fire-and-forget) دون تعطيل خيط معالجة الواجهة.</w:t>
      </w:r>
    </w:p>
    <w:p xml:lang="ar">
      <w:pPr w:bidi="true">
        <w:spacing w:before="20" w:after="60" w:line="276" w:lineRule="auto"/>
        <w:jc w:val="right"/>
      </w:pPr>
      <w:r>
        <w:rPr>
          <w:rFonts w:ascii="Noto Naskh Arabic" w:hAnsi="Noto Naskh Arabic"/>
          <w:b/>
          <w:sz w:val="20"/>
        </w:rPr>
        <w:t xml:space="preserve">5.  </w:t>
      </w:r>
      <w:r>
        <w:rPr>
          <w:rFonts w:ascii="Noto Naskh Arabic" w:hAnsi="Noto Naskh Arabic"/>
          <w:b/>
          <w:i w:val="0"/>
          <w:color w:val="212529"/>
          <w:sz w:val="20"/>
        </w:rPr>
        <w:t>بوابة رؤية الأدوات الحازمة (Fail-Closed Visibility Gate):</w:t>
      </w:r>
      <w:r>
        <w:rPr>
          <w:rFonts w:ascii="Noto Naskh Arabic" w:hAnsi="Noto Naskh Arabic"/>
          <w:b w:val="0"/>
          <w:i w:val="0"/>
          <w:color w:val="212529"/>
          <w:sz w:val="20"/>
        </w:rPr>
        <w:t xml:space="preserve"> تنفيذ التحقق الإلزامي من وسام رؤية التطبيقات (</w:t>
      </w:r>
      <w:r>
        <w:rPr>
          <w:rFonts w:ascii="Consolas" w:hAnsi="Consolas"/>
          <w:b w:val="0"/>
          <w:i w:val="0"/>
          <w:color w:val="B42828"/>
          <w:sz w:val="19"/>
        </w:rPr>
        <w:t>visibility.includes("app")</w:t>
      </w:r>
      <w:r>
        <w:rPr>
          <w:rFonts w:ascii="Noto Naskh Arabic" w:hAnsi="Noto Naskh Arabic"/>
          <w:b w:val="0"/>
          <w:i w:val="0"/>
          <w:color w:val="212529"/>
          <w:sz w:val="20"/>
        </w:rPr>
        <w:t>) ورفض أي استدعاء لأداة نموذج فقط بنمط الإغلاق الحازم (Fail-closed).</w:t>
      </w:r>
    </w:p>
    <w:p xml:lang="ar">
      <w:pPr w:bidi="true">
        <w:keepNext/>
        <w:spacing w:before="280" w:after="80"/>
        <w:jc w:val="right"/>
      </w:pPr>
      <w:r>
        <w:rPr>
          <w:rFonts w:ascii="Noto Naskh Arabic" w:hAnsi="Noto Naskh Arabic"/>
          <w:b/>
          <w:i w:val="0"/>
          <w:color w:val="0F2C59"/>
          <w:sz w:val="24"/>
        </w:rPr>
        <w:t>5. بيئة الاختبار والمنهجية التجريبية (Methodology)</w:t>
      </w:r>
    </w:p>
    <w:p xml:lang="ar">
      <w:pPr w:bidi="true">
        <w:keepNext/>
        <w:spacing w:before="200" w:after="60"/>
        <w:jc w:val="right"/>
      </w:pPr>
      <w:r>
        <w:rPr>
          <w:rFonts w:ascii="Noto Naskh Arabic" w:hAnsi="Noto Naskh Arabic"/>
          <w:b/>
          <w:i w:val="0"/>
          <w:color w:val="1E3A8A"/>
          <w:sz w:val="22"/>
        </w:rPr>
        <w:t>5.1 هيكلية المختبر المحلي</w:t>
      </w:r>
    </w:p>
    <w:p xml:lang="ar">
      <w:pPr w:bidi="true">
        <w:spacing w:before="0" w:after="80" w:line="276" w:lineRule="auto"/>
        <w:jc w:val="both"/>
      </w:pPr>
      <w:r>
        <w:rPr>
          <w:rFonts w:ascii="Noto Naskh Arabic" w:hAnsi="Noto Naskh Arabic"/>
          <w:b w:val="0"/>
          <w:i w:val="0"/>
          <w:color w:val="212529"/>
          <w:sz w:val="20"/>
        </w:rPr>
        <w:t>تم نشر بيئة متكاملة عبر أربعة منافذ شبكية على جهاز محلي:</w:t>
      </w:r>
    </w:p>
    <w:p xml:lang="ar">
      <w:pPr w:bidi="true">
        <w:pStyle w:val="ListBullet"/>
        <w:spacing w:before="20" w:after="60" w:line="276" w:lineRule="auto"/>
        <w:jc w:val="right"/>
      </w:pPr>
      <w:r>
        <w:rPr>
          <w:rFonts w:ascii="Noto Naskh Arabic" w:hAnsi="Noto Naskh Arabic"/>
          <w:b/>
          <w:i w:val="0"/>
          <w:color w:val="212529"/>
          <w:sz w:val="20"/>
        </w:rPr>
        <w:t>خادم MCP (المنفذ 3001):</w:t>
      </w:r>
      <w:r>
        <w:rPr>
          <w:rFonts w:ascii="Noto Naskh Arabic" w:hAnsi="Noto Naskh Arabic"/>
          <w:b w:val="0"/>
          <w:i w:val="0"/>
          <w:color w:val="212529"/>
          <w:sz w:val="20"/>
        </w:rPr>
        <w:t xml:space="preserve"> يقدم الأدوات الأربع: </w:t>
      </w:r>
      <w:r>
        <w:rPr>
          <w:rFonts w:ascii="Consolas" w:hAnsi="Consolas"/>
          <w:b w:val="0"/>
          <w:i w:val="0"/>
          <w:color w:val="B42828"/>
          <w:sz w:val="19"/>
        </w:rPr>
        <w:t>get-weather</w:t>
      </w:r>
      <w:r>
        <w:rPr>
          <w:rFonts w:ascii="Noto Naskh Arabic" w:hAnsi="Noto Naskh Arabic"/>
          <w:b w:val="0"/>
          <w:i w:val="0"/>
          <w:color w:val="212529"/>
          <w:sz w:val="20"/>
        </w:rPr>
        <w:t xml:space="preserve"> (أداة مشروعة للطقس)، و</w:t>
      </w:r>
      <w:r>
        <w:rPr>
          <w:rFonts w:ascii="Consolas" w:hAnsi="Consolas"/>
          <w:b w:val="0"/>
          <w:i w:val="0"/>
          <w:color w:val="B42828"/>
          <w:sz w:val="19"/>
        </w:rPr>
        <w:t>get-time</w:t>
      </w:r>
      <w:r>
        <w:rPr>
          <w:rFonts w:ascii="Noto Naskh Arabic" w:hAnsi="Noto Naskh Arabic"/>
          <w:b w:val="0"/>
          <w:i w:val="0"/>
          <w:color w:val="212529"/>
          <w:sz w:val="20"/>
        </w:rPr>
        <w:t xml:space="preserve"> (أداة سليمة لاختبار الأداء)، و</w:t>
      </w:r>
      <w:r>
        <w:rPr>
          <w:rFonts w:ascii="Consolas" w:hAnsi="Consolas"/>
          <w:b w:val="0"/>
          <w:i w:val="0"/>
          <w:color w:val="B42828"/>
          <w:sz w:val="19"/>
        </w:rPr>
        <w:t>read-secret</w:t>
      </w:r>
      <w:r>
        <w:rPr>
          <w:rFonts w:ascii="Noto Naskh Arabic" w:hAnsi="Noto Naskh Arabic"/>
          <w:b w:val="0"/>
          <w:i w:val="0"/>
          <w:color w:val="212529"/>
          <w:sz w:val="20"/>
        </w:rPr>
        <w:t xml:space="preserve"> (أداة سرية محجوبة برؤية النموذج فقط)، و</w:t>
      </w:r>
      <w:r>
        <w:rPr>
          <w:rFonts w:ascii="Consolas" w:hAnsi="Consolas"/>
          <w:b w:val="0"/>
          <w:i w:val="0"/>
          <w:color w:val="B42828"/>
          <w:sz w:val="19"/>
        </w:rPr>
        <w:t>show-offer</w:t>
      </w:r>
      <w:r>
        <w:rPr>
          <w:rFonts w:ascii="Noto Naskh Arabic" w:hAnsi="Noto Naskh Arabic"/>
          <w:b w:val="0"/>
          <w:i w:val="0"/>
          <w:color w:val="212529"/>
          <w:sz w:val="20"/>
        </w:rPr>
        <w:t xml:space="preserve"> (أداة واجهة الهجوم).</w:t>
      </w:r>
    </w:p>
    <w:p xml:lang="ar">
      <w:pPr w:bidi="true">
        <w:pStyle w:val="ListBullet"/>
        <w:spacing w:before="20" w:after="60" w:line="276" w:lineRule="auto"/>
        <w:jc w:val="right"/>
      </w:pPr>
      <w:r>
        <w:rPr>
          <w:rFonts w:ascii="Noto Naskh Arabic" w:hAnsi="Noto Naskh Arabic"/>
          <w:b/>
          <w:i w:val="0"/>
          <w:color w:val="212529"/>
          <w:sz w:val="20"/>
        </w:rPr>
        <w:t>خادم الاستقبال (المنفذ 9999):</w:t>
      </w:r>
      <w:r>
        <w:rPr>
          <w:rFonts w:ascii="Noto Naskh Arabic" w:hAnsi="Noto Naskh Arabic"/>
          <w:b w:val="0"/>
          <w:i w:val="0"/>
          <w:color w:val="212529"/>
          <w:sz w:val="20"/>
        </w:rPr>
        <w:t xml:space="preserve"> يرصد محاولات التسريب ويسجلها في ملف </w:t>
      </w:r>
      <w:r>
        <w:rPr>
          <w:rFonts w:ascii="Consolas" w:hAnsi="Consolas"/>
          <w:b w:val="0"/>
          <w:i w:val="0"/>
          <w:color w:val="B42828"/>
          <w:sz w:val="19"/>
        </w:rPr>
        <w:t>receiver-hits.jsonl</w:t>
      </w:r>
      <w:r>
        <w:rPr>
          <w:rFonts w:ascii="Noto Naskh Arabic" w:hAnsi="Noto Naskh Arabic"/>
          <w:b w:val="0"/>
          <w:i w:val="0"/>
          <w:color w:val="212529"/>
          <w:sz w:val="20"/>
        </w:rPr>
        <w:t xml:space="preserve"> مع توفير نقطة </w:t>
      </w:r>
      <w:r>
        <w:rPr>
          <w:rFonts w:ascii="Consolas" w:hAnsi="Consolas"/>
          <w:b w:val="0"/>
          <w:i w:val="0"/>
          <w:color w:val="B42828"/>
          <w:sz w:val="19"/>
        </w:rPr>
        <w:t>/reset</w:t>
      </w:r>
      <w:r>
        <w:rPr>
          <w:rFonts w:ascii="Noto Naskh Arabic" w:hAnsi="Noto Naskh Arabic"/>
          <w:b w:val="0"/>
          <w:i w:val="0"/>
          <w:color w:val="212529"/>
          <w:sz w:val="20"/>
        </w:rPr>
        <w:t xml:space="preserve"> لتصفير السجل قبل كل تشغيل. </w:t>
      </w:r>
      <w:r>
        <w:rPr>
          <w:rFonts w:ascii="Noto Naskh Arabic" w:hAnsi="Noto Naskh Arabic"/>
          <w:b w:val="0"/>
          <w:i/>
          <w:color w:val="212529"/>
          <w:sz w:val="20"/>
        </w:rPr>
        <w:t>(ملاحظة منهجية: نظرًا لقيام مشغل الاختبارات بتصفير السجل آليًا عند بدء كل فحص عبر طلب `POST /reset`، فإن الملف `receiver-hits.jsonl` على القرص يعكس الحالة الصفرية النظيفة بعد انتهاء الاختبار الأخير، بينما تحفظ ملفات الأحداث الفردية `events-</w:t>
      </w:r>
      <w:r>
        <w:rPr>
          <w:rFonts w:ascii="Noto Naskh Arabic" w:hAnsi="Noto Naskh Arabic"/>
          <w:b w:val="0"/>
          <w:i w:val="0"/>
          <w:color w:val="212529"/>
          <w:sz w:val="20"/>
        </w:rPr>
        <w:t>.jsonl` حالة التسجيل المؤكدة قبل التصفير).*</w:t>
      </w:r>
    </w:p>
    <w:p xml:lang="ar">
      <w:pPr w:bidi="true">
        <w:pStyle w:val="ListBullet"/>
        <w:spacing w:before="20" w:after="60" w:line="276" w:lineRule="auto"/>
        <w:jc w:val="right"/>
      </w:pPr>
      <w:r>
        <w:rPr>
          <w:rFonts w:ascii="Noto Naskh Arabic" w:hAnsi="Noto Naskh Arabic"/>
          <w:b/>
          <w:i w:val="0"/>
          <w:color w:val="212529"/>
          <w:sz w:val="20"/>
        </w:rPr>
        <w:t>تطبيق المضيف (المنفذ 8090):</w:t>
      </w:r>
      <w:r>
        <w:rPr>
          <w:rFonts w:ascii="Noto Naskh Arabic" w:hAnsi="Noto Naskh Arabic"/>
          <w:b w:val="0"/>
          <w:i w:val="0"/>
          <w:color w:val="212529"/>
          <w:sz w:val="20"/>
        </w:rPr>
        <w:t xml:space="preserve"> تطبيق React + Vite يعرض المحادثة وينفذ طبقة السياسة.</w:t>
      </w:r>
    </w:p>
    <w:p xml:lang="ar">
      <w:pPr w:bidi="true">
        <w:pStyle w:val="ListBullet"/>
        <w:spacing w:before="20" w:after="60" w:line="276" w:lineRule="auto"/>
        <w:jc w:val="right"/>
      </w:pPr>
      <w:r>
        <w:rPr>
          <w:rFonts w:ascii="Noto Naskh Arabic" w:hAnsi="Noto Naskh Arabic"/>
          <w:b/>
          <w:i w:val="0"/>
          <w:color w:val="212529"/>
          <w:sz w:val="20"/>
        </w:rPr>
        <w:t>وسيط العزل (المنفذ 8091):</w:t>
      </w:r>
      <w:r>
        <w:rPr>
          <w:rFonts w:ascii="Noto Naskh Arabic" w:hAnsi="Noto Naskh Arabic"/>
          <w:b w:val="0"/>
          <w:i w:val="0"/>
          <w:color w:val="212529"/>
          <w:sz w:val="20"/>
        </w:rPr>
        <w:t xml:space="preserve"> يقدم إطار العزل الداخلي </w:t>
      </w:r>
      <w:r>
        <w:rPr>
          <w:rFonts w:ascii="Consolas" w:hAnsi="Consolas"/>
          <w:b w:val="0"/>
          <w:i w:val="0"/>
          <w:color w:val="B42828"/>
          <w:sz w:val="19"/>
        </w:rPr>
        <w:t>sandbox.html</w:t>
      </w:r>
      <w:r>
        <w:rPr>
          <w:rFonts w:ascii="Noto Naskh Arabic" w:hAnsi="Noto Naskh Arabic"/>
          <w:b w:val="0"/>
          <w:i w:val="0"/>
          <w:color w:val="212529"/>
          <w:sz w:val="20"/>
        </w:rPr>
        <w:t xml:space="preserve">. ويفرض الإطار الصلاحيات </w:t>
      </w:r>
      <w:r>
        <w:rPr>
          <w:rFonts w:ascii="Consolas" w:hAnsi="Consolas"/>
          <w:b w:val="0"/>
          <w:i w:val="0"/>
          <w:color w:val="B42828"/>
          <w:sz w:val="19"/>
        </w:rPr>
        <w:t>sandbox="allow-scripts allow-same-origin allow-forms"</w:t>
      </w:r>
      <w:r>
        <w:rPr>
          <w:rFonts w:ascii="Noto Naskh Arabic" w:hAnsi="Noto Naskh Arabic"/>
          <w:b w:val="0"/>
          <w:i w:val="0"/>
          <w:color w:val="212529"/>
          <w:sz w:val="20"/>
        </w:rPr>
        <w:t xml:space="preserve"> وفق معيار SEP-1865؛ حيث تُعد خاصية </w:t>
      </w:r>
      <w:r>
        <w:rPr>
          <w:rFonts w:ascii="Consolas" w:hAnsi="Consolas"/>
          <w:b w:val="0"/>
          <w:i w:val="0"/>
          <w:color w:val="B42828"/>
          <w:sz w:val="19"/>
        </w:rPr>
        <w:t>allow-forms</w:t>
      </w:r>
      <w:r>
        <w:rPr>
          <w:rFonts w:ascii="Noto Naskh Arabic" w:hAnsi="Noto Naskh Arabic"/>
          <w:b w:val="0"/>
          <w:i w:val="0"/>
          <w:color w:val="212529"/>
          <w:sz w:val="20"/>
        </w:rPr>
        <w:t xml:space="preserve"> ضرورية للسماح بعناصر النماذج التفاعلية المشروعة داخل التطبيقات (كحقول البحث وأزرار الإرسال) دون كسر تفاعل الواجهة.</w:t>
      </w:r>
    </w:p>
    <w:p>
      <w:pPr>
        <w:keepNext/>
        <w:spacing w:before="160" w:after="40"/>
        <w:jc w:val="center"/>
      </w:pPr>
      <w:r>
        <w:drawing>
          <wp:inline xmlns:a="http://schemas.openxmlformats.org/drawingml/2006/main" xmlns:pic="http://schemas.openxmlformats.org/drawingml/2006/picture">
            <wp:extent cx="6217920" cy="3799840"/>
            <wp:docPr id="3" name="Picture 3"/>
            <wp:cNvGraphicFramePr>
              <a:graphicFrameLocks noChangeAspect="1"/>
            </wp:cNvGraphicFramePr>
            <a:graphic>
              <a:graphicData uri="http://schemas.openxmlformats.org/drawingml/2006/picture">
                <pic:pic>
                  <pic:nvPicPr>
                    <pic:cNvPr id="0" name="fig3_topology.png"/>
                    <pic:cNvPicPr/>
                  </pic:nvPicPr>
                  <pic:blipFill>
                    <a:blip r:embed="rId13"/>
                    <a:stretch>
                      <a:fillRect/>
                    </a:stretch>
                  </pic:blipFill>
                  <pic:spPr>
                    <a:xfrm>
                      <a:off x="0" y="0"/>
                      <a:ext cx="6217920" cy="3799840"/>
                    </a:xfrm>
                    <a:prstGeom prst="rect"/>
                  </pic:spPr>
                </pic:pic>
              </a:graphicData>
            </a:graphic>
          </wp:inline>
        </w:drawing>
      </w:r>
    </w:p>
    <w:p xml:lang="ar">
      <w:pPr w:bidi="true">
        <w:spacing w:before="60" w:after="160"/>
        <w:jc w:val="center"/>
      </w:pPr>
      <w:r>
        <w:rPr>
          <w:rFonts w:ascii="Noto Naskh Arabic" w:hAnsi="Noto Naskh Arabic"/>
          <w:b w:val="0"/>
          <w:i/>
          <w:color w:val="475569"/>
          <w:sz w:val="19"/>
        </w:rPr>
        <w:t>الشكل 3: طوبولوجيا بيئة الاختبار المعملية عبر أربعة منافذ محلية معزولة (:8090، :8091، :3001، :9999).</w:t>
      </w:r>
    </w:p>
    <w:p xml:lang="ar">
      <w:pPr w:bidi="true">
        <w:keepNext/>
        <w:spacing w:before="200" w:after="60"/>
        <w:jc w:val="right"/>
      </w:pPr>
      <w:r>
        <w:rPr>
          <w:rFonts w:ascii="Noto Naskh Arabic" w:hAnsi="Noto Naskh Arabic"/>
          <w:b/>
          <w:i w:val="0"/>
          <w:color w:val="1E3A8A"/>
          <w:sz w:val="22"/>
        </w:rPr>
        <w:t>5.2 مصفوفة الحالات والمنهجية التجريبية (T1 إلى T7)</w:t>
      </w:r>
    </w:p>
    <w:p xml:lang="ar">
      <w:pPr w:bidi="true">
        <w:spacing w:before="0" w:after="80" w:line="276" w:lineRule="auto"/>
        <w:jc w:val="both"/>
      </w:pPr>
      <w:r>
        <w:rPr>
          <w:rFonts w:ascii="Noto Naskh Arabic" w:hAnsi="Noto Naskh Arabic"/>
          <w:b w:val="0"/>
          <w:i w:val="0"/>
          <w:color w:val="212529"/>
          <w:sz w:val="20"/>
        </w:rPr>
        <w:t>تنفذ كل عملية مؤتمتة فحصًا مستقلاً داخل بيئة متصفح Chromium نظيفة عبر الحالات الثماني الموضحة أدناه. وتجدر الإشارة المنهجية إلى أنه للحد من المتغيرات المشوشة الناتجة عن تفاوت الأداء عبر الزمن—مثل الإجهاد الحراري للمعالج (CPU Thermal Throttling) أثناء الفحوصات الطويلة، أو تذبذب مجدول نظام التشغيل، أو عمليات جمع القمامة في محرك V8—تم تشغيل تجارب قياس الأداء الثلاثين بنمط متناوب ومتداخل (</w:t>
      </w:r>
      <w:r>
        <w:rPr>
          <w:rFonts w:ascii="Consolas" w:hAnsi="Consolas"/>
          <w:b w:val="0"/>
          <w:i w:val="0"/>
          <w:color w:val="B42828"/>
          <w:sz w:val="19"/>
        </w:rPr>
        <w:t>baseline-1</w:t>
      </w:r>
      <w:r>
        <w:rPr>
          <w:rFonts w:ascii="Noto Naskh Arabic" w:hAnsi="Noto Naskh Arabic"/>
          <w:b w:val="0"/>
          <w:i w:val="0"/>
          <w:color w:val="212529"/>
          <w:sz w:val="20"/>
        </w:rPr>
        <w:t xml:space="preserve">, </w:t>
      </w:r>
      <w:r>
        <w:rPr>
          <w:rFonts w:ascii="Consolas" w:hAnsi="Consolas"/>
          <w:b w:val="0"/>
          <w:i w:val="0"/>
          <w:color w:val="B42828"/>
          <w:sz w:val="19"/>
        </w:rPr>
        <w:t>treatment-1</w:t>
      </w:r>
      <w:r>
        <w:rPr>
          <w:rFonts w:ascii="Noto Naskh Arabic" w:hAnsi="Noto Naskh Arabic"/>
          <w:b w:val="0"/>
          <w:i w:val="0"/>
          <w:color w:val="212529"/>
          <w:sz w:val="20"/>
        </w:rPr>
        <w:t xml:space="preserve">, </w:t>
      </w:r>
      <w:r>
        <w:rPr>
          <w:rFonts w:ascii="Consolas" w:hAnsi="Consolas"/>
          <w:b w:val="0"/>
          <w:i w:val="0"/>
          <w:color w:val="B42828"/>
          <w:sz w:val="19"/>
        </w:rPr>
        <w:t>baseline-2</w:t>
      </w:r>
      <w:r>
        <w:rPr>
          <w:rFonts w:ascii="Noto Naskh Arabic" w:hAnsi="Noto Naskh Arabic"/>
          <w:b w:val="0"/>
          <w:i w:val="0"/>
          <w:color w:val="212529"/>
          <w:sz w:val="20"/>
        </w:rPr>
        <w:t xml:space="preserve">, </w:t>
      </w:r>
      <w:r>
        <w:rPr>
          <w:rFonts w:ascii="Consolas" w:hAnsi="Consolas"/>
          <w:b w:val="0"/>
          <w:i w:val="0"/>
          <w:color w:val="B42828"/>
          <w:sz w:val="19"/>
        </w:rPr>
        <w:t>treatment-2</w:t>
      </w:r>
      <w:r>
        <w:rPr>
          <w:rFonts w:ascii="Noto Naskh Arabic" w:hAnsi="Noto Naskh Arabic"/>
          <w:b w:val="0"/>
          <w:i w:val="0"/>
          <w:color w:val="212529"/>
          <w:sz w:val="20"/>
        </w:rPr>
        <w:t>, ...) بدلاً من تنفيذ جميع تشغيلات خط الأساس دفعة واحدة تليها المعالجة.</w:t>
      </w:r>
    </w:p>
    <w:p xml:lang="ar">
      <w:pPr w:bidi="true">
        <w:spacing w:before="160" w:after="60"/>
        <w:jc w:val="center"/>
      </w:pPr>
      <w:r>
        <w:rPr>
          <w:rFonts w:ascii="Noto Naskh Arabic" w:hAnsi="Noto Naskh Arabic"/>
          <w:b/>
          <w:i w:val="0"/>
          <w:color w:val="0F2C59"/>
          <w:sz w:val="20"/>
        </w:rPr>
        <w:t>الجدول 1:</w:t>
      </w:r>
      <w:r>
        <w:rPr>
          <w:rFonts w:ascii="Noto Naskh Arabic" w:hAnsi="Noto Naskh Arabic"/>
          <w:b/>
          <w:i w:val="0"/>
          <w:color w:val="0F2C59"/>
          <w:sz w:val="20"/>
        </w:rPr>
        <w:t xml:space="preserve"> مصفوفة الحالات والسيناريوهات التجريبية المختبرة (T1 إلى T7).</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625"/>
        <w:gridCol w:w="1625"/>
        <w:gridCol w:w="1625"/>
        <w:gridCol w:w="1625"/>
        <w:gridCol w:w="1625"/>
        <w:gridCol w:w="1625"/>
      </w:tblGrid>
      <w:tr>
        <w:tc>
          <w:tcPr>
            <w:tcW w:type="dxa" w:w="1625"/>
            <w:shd w:fill="1F497D"/>
            <w:tcMar>
              <w:top w:w="90" w:type="dxa"/>
              <w:bottom w:w="90" w:type="dxa"/>
              <w:left w:w="110" w:type="dxa"/>
              <w:right w:w="110" w:type="dxa"/>
            </w:tcMar>
          </w:tcPr>
          <w:p xml:lang="ar">
            <w:pPr w:bidi="true">
              <w:spacing w:after="0"/>
              <w:jc w:val="center"/>
            </w:pPr>
            <w:r>
              <w:rPr>
                <w:rFonts w:ascii="Noto Naskh Arabic" w:hAnsi="Noto Naskh Arabic"/>
                <w:b/>
                <w:i w:val="0"/>
                <w:color w:val="FFFFFF"/>
                <w:sz w:val="19"/>
              </w:rPr>
              <w:t>الحالة</w:t>
            </w:r>
          </w:p>
        </w:tc>
        <w:tc>
          <w:tcPr>
            <w:tcW w:type="dxa" w:w="1625"/>
            <w:shd w:fill="1F497D"/>
            <w:tcMar>
              <w:top w:w="90" w:type="dxa"/>
              <w:bottom w:w="90" w:type="dxa"/>
              <w:left w:w="110" w:type="dxa"/>
              <w:right w:w="110" w:type="dxa"/>
            </w:tcMar>
          </w:tcPr>
          <w:p xml:lang="ar">
            <w:pPr w:bidi="true">
              <w:spacing w:after="0"/>
              <w:jc w:val="center"/>
            </w:pPr>
            <w:r>
              <w:rPr>
                <w:rFonts w:ascii="Noto Naskh Arabic" w:hAnsi="Noto Naskh Arabic"/>
                <w:b/>
                <w:i w:val="0"/>
                <w:color w:val="FFFFFF"/>
                <w:sz w:val="19"/>
              </w:rPr>
              <w:t>القناة المختبرة</w:t>
            </w:r>
          </w:p>
        </w:tc>
        <w:tc>
          <w:tcPr>
            <w:tcW w:type="dxa" w:w="1625"/>
            <w:shd w:fill="1F497D"/>
            <w:tcMar>
              <w:top w:w="90" w:type="dxa"/>
              <w:bottom w:w="90" w:type="dxa"/>
              <w:left w:w="110" w:type="dxa"/>
              <w:right w:w="110" w:type="dxa"/>
            </w:tcMar>
          </w:tcPr>
          <w:p xml:lang="ar">
            <w:pPr w:bidi="true">
              <w:spacing w:after="0"/>
              <w:jc w:val="center"/>
            </w:pPr>
            <w:r>
              <w:rPr>
                <w:rFonts w:ascii="Noto Naskh Arabic" w:hAnsi="Noto Naskh Arabic"/>
                <w:b/>
                <w:i w:val="0"/>
                <w:color w:val="FFFFFF"/>
                <w:sz w:val="19"/>
              </w:rPr>
              <w:t>الإجراء المنفذ</w:t>
            </w:r>
          </w:p>
        </w:tc>
        <w:tc>
          <w:tcPr>
            <w:tcW w:type="dxa" w:w="1625"/>
            <w:shd w:fill="1F497D"/>
            <w:tcMar>
              <w:top w:w="90" w:type="dxa"/>
              <w:bottom w:w="90" w:type="dxa"/>
              <w:left w:w="110" w:type="dxa"/>
              <w:right w:w="110" w:type="dxa"/>
            </w:tcMar>
          </w:tcPr>
          <w:p xml:lang="ar">
            <w:pPr w:bidi="true">
              <w:spacing w:after="0"/>
              <w:jc w:val="center"/>
            </w:pPr>
            <w:r>
              <w:rPr>
                <w:rFonts w:ascii="Noto Naskh Arabic" w:hAnsi="Noto Naskh Arabic"/>
                <w:b/>
                <w:i w:val="0"/>
                <w:color w:val="FFFFFF"/>
                <w:sz w:val="19"/>
              </w:rPr>
              <w:t>المتوقع في خط الأساس (Baseline)</w:t>
            </w:r>
          </w:p>
        </w:tc>
        <w:tc>
          <w:tcPr>
            <w:tcW w:type="dxa" w:w="1625"/>
            <w:shd w:fill="1F497D"/>
            <w:tcMar>
              <w:top w:w="90" w:type="dxa"/>
              <w:bottom w:w="90" w:type="dxa"/>
              <w:left w:w="110" w:type="dxa"/>
              <w:right w:w="110" w:type="dxa"/>
            </w:tcMar>
          </w:tcPr>
          <w:p xml:lang="ar">
            <w:pPr w:bidi="true">
              <w:spacing w:after="0"/>
              <w:jc w:val="center"/>
            </w:pPr>
            <w:r>
              <w:rPr>
                <w:rFonts w:ascii="Noto Naskh Arabic" w:hAnsi="Noto Naskh Arabic"/>
                <w:b/>
                <w:i w:val="0"/>
                <w:color w:val="FFFFFF"/>
                <w:sz w:val="19"/>
              </w:rPr>
              <w:t>المتوقع في المعالجة (Treatment - Deny)</w:t>
            </w:r>
          </w:p>
        </w:tc>
        <w:tc>
          <w:tcPr>
            <w:tcW w:type="dxa" w:w="1625"/>
            <w:shd w:fill="1F497D"/>
            <w:tcMar>
              <w:top w:w="90" w:type="dxa"/>
              <w:bottom w:w="90" w:type="dxa"/>
              <w:left w:w="110" w:type="dxa"/>
              <w:right w:w="110" w:type="dxa"/>
            </w:tcMar>
          </w:tcPr>
          <w:p xml:lang="ar">
            <w:pPr w:bidi="true">
              <w:spacing w:after="0"/>
              <w:jc w:val="center"/>
            </w:pPr>
            <w:r>
              <w:rPr>
                <w:rFonts w:ascii="Noto Naskh Arabic" w:hAnsi="Noto Naskh Arabic"/>
                <w:b/>
                <w:i w:val="0"/>
                <w:color w:val="FFFFFF"/>
                <w:sz w:val="19"/>
              </w:rPr>
              <w:t>المتوقع في المعالجة (Treatment - Allow)</w:t>
            </w:r>
          </w:p>
        </w:tc>
      </w:tr>
      <w:tr>
        <w:tc>
          <w:tcPr>
            <w:tcW w:type="dxa" w:w="1625"/>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T1</w:t>
            </w:r>
          </w:p>
        </w:tc>
        <w:tc>
          <w:tcPr>
            <w:tcW w:type="dxa" w:w="1625"/>
            <w:tcMar>
              <w:top w:w="70" w:type="dxa"/>
              <w:bottom w:w="70" w:type="dxa"/>
              <w:left w:w="100" w:type="dxa"/>
              <w:right w:w="100" w:type="dxa"/>
            </w:tcMar>
          </w:tcPr>
          <w:p xml:lang="ar">
            <w:pPr w:bidi="true">
              <w:spacing w:after="0"/>
              <w:jc w:val="right"/>
            </w:pPr>
            <w:r>
              <w:rPr>
                <w:rFonts w:ascii="Consolas" w:hAnsi="Consolas"/>
                <w:b w:val="0"/>
                <w:i w:val="0"/>
                <w:color w:val="B42828"/>
                <w:sz w:val="17"/>
              </w:rPr>
              <w:t>tools/call</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طلب طقس مشروع</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سماح (عرض درجة الحرارة)</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سماح (عرض درجة الحرارة)</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سماح (عرض درجة الحرارة)</w:t>
            </w:r>
          </w:p>
        </w:tc>
      </w:tr>
      <w:tr>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T2</w:t>
            </w:r>
          </w:p>
        </w:tc>
        <w:tc>
          <w:tcPr>
            <w:tcW w:type="dxa" w:w="1625"/>
            <w:shd w:fill="F8FAFC"/>
            <w:tcMar>
              <w:top w:w="70" w:type="dxa"/>
              <w:bottom w:w="70" w:type="dxa"/>
              <w:left w:w="100" w:type="dxa"/>
              <w:right w:w="100" w:type="dxa"/>
            </w:tcMar>
          </w:tcPr>
          <w:p xml:lang="ar">
            <w:pPr w:bidi="true">
              <w:spacing w:after="0"/>
              <w:jc w:val="right"/>
            </w:pPr>
            <w:r>
              <w:rPr>
                <w:rFonts w:ascii="Consolas" w:hAnsi="Consolas"/>
                <w:b w:val="0"/>
                <w:i w:val="0"/>
                <w:color w:val="B42828"/>
                <w:sz w:val="17"/>
              </w:rPr>
              <w:t>tools/call</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 xml:space="preserve">استدعاء الأداة المخفية </w:t>
            </w:r>
            <w:r>
              <w:rPr>
                <w:rFonts w:ascii="Consolas" w:hAnsi="Consolas"/>
                <w:b w:val="0"/>
                <w:i w:val="0"/>
                <w:color w:val="B42828"/>
                <w:sz w:val="17"/>
              </w:rPr>
              <w:t>read-secret</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حجب إلزامي</w:t>
            </w:r>
            <w:r>
              <w:rPr>
                <w:rFonts w:ascii="Noto Naskh Arabic" w:hAnsi="Noto Naskh Arabic"/>
                <w:b w:val="0"/>
                <w:i w:val="0"/>
                <w:color w:val="212529"/>
                <w:sz w:val="18"/>
              </w:rPr>
              <w:t xml:space="preserve"> (</w:t>
            </w:r>
            <w:r>
              <w:rPr>
                <w:rFonts w:ascii="Consolas" w:hAnsi="Consolas"/>
                <w:b w:val="0"/>
                <w:i w:val="0"/>
                <w:color w:val="B42828"/>
                <w:sz w:val="17"/>
              </w:rPr>
              <w:t>-32603: visibility</w:t>
            </w:r>
            <w:r>
              <w:rPr>
                <w:rFonts w:ascii="Noto Naskh Arabic" w:hAnsi="Noto Naskh Arabic"/>
                <w:b w:val="0"/>
                <w:i w:val="0"/>
                <w:color w:val="212529"/>
                <w:sz w:val="18"/>
              </w:rPr>
              <w:t>)</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حجب إلزامي</w:t>
            </w:r>
            <w:r>
              <w:rPr>
                <w:rFonts w:ascii="Noto Naskh Arabic" w:hAnsi="Noto Naskh Arabic"/>
                <w:b w:val="0"/>
                <w:i w:val="0"/>
                <w:color w:val="212529"/>
                <w:sz w:val="18"/>
              </w:rPr>
              <w:t xml:space="preserve"> (</w:t>
            </w:r>
            <w:r>
              <w:rPr>
                <w:rFonts w:ascii="Consolas" w:hAnsi="Consolas"/>
                <w:b w:val="0"/>
                <w:i w:val="0"/>
                <w:color w:val="B42828"/>
                <w:sz w:val="17"/>
              </w:rPr>
              <w:t>-32603</w:t>
            </w:r>
            <w:r>
              <w:rPr>
                <w:rFonts w:ascii="Noto Naskh Arabic" w:hAnsi="Noto Naskh Arabic"/>
                <w:b w:val="0"/>
                <w:i w:val="0"/>
                <w:color w:val="212529"/>
                <w:sz w:val="18"/>
              </w:rPr>
              <w:t>)</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حجب إلزامي</w:t>
            </w:r>
            <w:r>
              <w:rPr>
                <w:rFonts w:ascii="Noto Naskh Arabic" w:hAnsi="Noto Naskh Arabic"/>
                <w:b w:val="0"/>
                <w:i w:val="0"/>
                <w:color w:val="212529"/>
                <w:sz w:val="18"/>
              </w:rPr>
              <w:t xml:space="preserve"> (</w:t>
            </w:r>
            <w:r>
              <w:rPr>
                <w:rFonts w:ascii="Consolas" w:hAnsi="Consolas"/>
                <w:b w:val="0"/>
                <w:i w:val="0"/>
                <w:color w:val="B42828"/>
                <w:sz w:val="17"/>
              </w:rPr>
              <w:t>-32603</w:t>
            </w:r>
            <w:r>
              <w:rPr>
                <w:rFonts w:ascii="Noto Naskh Arabic" w:hAnsi="Noto Naskh Arabic"/>
                <w:b w:val="0"/>
                <w:i w:val="0"/>
                <w:color w:val="212529"/>
                <w:sz w:val="18"/>
              </w:rPr>
              <w:t>)</w:t>
            </w:r>
          </w:p>
        </w:tc>
      </w:tr>
      <w:tr>
        <w:tc>
          <w:tcPr>
            <w:tcW w:type="dxa" w:w="1625"/>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T3</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اتصال شبكي</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 xml:space="preserve">استدعاء </w:t>
            </w:r>
            <w:r>
              <w:rPr>
                <w:rFonts w:ascii="Consolas" w:hAnsi="Consolas"/>
                <w:b w:val="0"/>
                <w:i w:val="0"/>
                <w:color w:val="B42828"/>
                <w:sz w:val="17"/>
              </w:rPr>
              <w:t>fetch()</w:t>
            </w:r>
            <w:r>
              <w:rPr>
                <w:rFonts w:ascii="Noto Naskh Arabic" w:hAnsi="Noto Naskh Arabic"/>
                <w:b w:val="0"/>
                <w:i w:val="0"/>
                <w:color w:val="212529"/>
                <w:sz w:val="18"/>
              </w:rPr>
              <w:t xml:space="preserve"> لخادم الاستقبال</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حجب إلزامي</w:t>
            </w:r>
            <w:r>
              <w:rPr>
                <w:rFonts w:ascii="Noto Naskh Arabic" w:hAnsi="Noto Naskh Arabic"/>
                <w:b w:val="0"/>
                <w:i w:val="0"/>
                <w:color w:val="212529"/>
                <w:sz w:val="18"/>
              </w:rPr>
              <w:t xml:space="preserve"> بسياسة CSP</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حجب إلزامي</w:t>
            </w:r>
            <w:r>
              <w:rPr>
                <w:rFonts w:ascii="Noto Naskh Arabic" w:hAnsi="Noto Naskh Arabic"/>
                <w:b w:val="0"/>
                <w:i w:val="0"/>
                <w:color w:val="212529"/>
                <w:sz w:val="18"/>
              </w:rPr>
              <w:t xml:space="preserve"> بسياسة CSP</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حجب إلزامي</w:t>
            </w:r>
            <w:r>
              <w:rPr>
                <w:rFonts w:ascii="Noto Naskh Arabic" w:hAnsi="Noto Naskh Arabic"/>
                <w:b w:val="0"/>
                <w:i w:val="0"/>
                <w:color w:val="212529"/>
                <w:sz w:val="18"/>
              </w:rPr>
              <w:t xml:space="preserve"> بسياسة CSP</w:t>
            </w:r>
          </w:p>
        </w:tc>
      </w:tr>
      <w:tr>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T4</w:t>
            </w:r>
          </w:p>
        </w:tc>
        <w:tc>
          <w:tcPr>
            <w:tcW w:type="dxa" w:w="1625"/>
            <w:shd w:fill="F8FAFC"/>
            <w:tcMar>
              <w:top w:w="70" w:type="dxa"/>
              <w:bottom w:w="70" w:type="dxa"/>
              <w:left w:w="100" w:type="dxa"/>
              <w:right w:w="100" w:type="dxa"/>
            </w:tcMar>
          </w:tcPr>
          <w:p xml:lang="ar">
            <w:pPr w:bidi="true">
              <w:spacing w:after="0"/>
              <w:jc w:val="right"/>
            </w:pPr>
            <w:r>
              <w:rPr>
                <w:rFonts w:ascii="Consolas" w:hAnsi="Consolas"/>
                <w:b w:val="0"/>
                <w:i w:val="0"/>
                <w:color w:val="B42828"/>
                <w:sz w:val="17"/>
              </w:rPr>
              <w:t>ui/open-link</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فتح رابط خار يحمل القيمة السرية</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تنفيذ وتسريب</w:t>
            </w:r>
            <w:r>
              <w:rPr>
                <w:rFonts w:ascii="Noto Naskh Arabic" w:hAnsi="Noto Naskh Arabic"/>
                <w:b w:val="0"/>
                <w:i w:val="0"/>
                <w:color w:val="212529"/>
                <w:sz w:val="18"/>
              </w:rPr>
              <w:t xml:space="preserve"> (فتح نافذة/تسجيل)</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حجب ومنع</w:t>
            </w:r>
            <w:r>
              <w:rPr>
                <w:rFonts w:ascii="Noto Naskh Arabic" w:hAnsi="Noto Naskh Arabic"/>
                <w:b w:val="0"/>
                <w:i w:val="0"/>
                <w:color w:val="212529"/>
                <w:sz w:val="18"/>
              </w:rPr>
              <w:t xml:space="preserve"> (</w:t>
            </w:r>
            <w:r>
              <w:rPr>
                <w:rFonts w:ascii="Consolas" w:hAnsi="Consolas"/>
                <w:b w:val="0"/>
                <w:i w:val="0"/>
                <w:color w:val="B42828"/>
                <w:sz w:val="17"/>
              </w:rPr>
              <w:t>user denied</w:t>
            </w:r>
            <w:r>
              <w:rPr>
                <w:rFonts w:ascii="Noto Naskh Arabic" w:hAnsi="Noto Naskh Arabic"/>
                <w:b w:val="0"/>
                <w:i w:val="0"/>
                <w:color w:val="212529"/>
                <w:sz w:val="18"/>
              </w:rPr>
              <w:t>)</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تنفيذ مشروع</w:t>
            </w:r>
            <w:r>
              <w:rPr>
                <w:rFonts w:ascii="Noto Naskh Arabic" w:hAnsi="Noto Naskh Arabic"/>
                <w:b w:val="0"/>
                <w:i w:val="0"/>
                <w:color w:val="212529"/>
                <w:sz w:val="18"/>
              </w:rPr>
              <w:t xml:space="preserve"> (بموافقة المستخدم)</w:t>
            </w:r>
          </w:p>
        </w:tc>
      </w:tr>
      <w:tr>
        <w:tc>
          <w:tcPr>
            <w:tcW w:type="dxa" w:w="1625"/>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T5a</w:t>
            </w:r>
          </w:p>
        </w:tc>
        <w:tc>
          <w:tcPr>
            <w:tcW w:type="dxa" w:w="1625"/>
            <w:tcMar>
              <w:top w:w="70" w:type="dxa"/>
              <w:bottom w:w="70" w:type="dxa"/>
              <w:left w:w="100" w:type="dxa"/>
              <w:right w:w="100" w:type="dxa"/>
            </w:tcMar>
          </w:tcPr>
          <w:p xml:lang="ar">
            <w:pPr w:bidi="true">
              <w:spacing w:after="0"/>
              <w:jc w:val="right"/>
            </w:pPr>
            <w:r>
              <w:rPr>
                <w:rFonts w:ascii="Consolas" w:hAnsi="Consolas"/>
                <w:b w:val="0"/>
                <w:i w:val="0"/>
                <w:color w:val="B42828"/>
                <w:sz w:val="17"/>
              </w:rPr>
              <w:t>ui/message</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حقن رسالة مزيفة بالمحادثة</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تنفيذ وتسريب</w:t>
            </w:r>
            <w:r>
              <w:rPr>
                <w:rFonts w:ascii="Noto Naskh Arabic" w:hAnsi="Noto Naskh Arabic"/>
                <w:b w:val="0"/>
                <w:i w:val="0"/>
                <w:color w:val="212529"/>
                <w:sz w:val="18"/>
              </w:rPr>
              <w:t xml:space="preserve"> (إضافة الرسالة)</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حجب ومنع</w:t>
            </w:r>
            <w:r>
              <w:rPr>
                <w:rFonts w:ascii="Noto Naskh Arabic" w:hAnsi="Noto Naskh Arabic"/>
                <w:b w:val="0"/>
                <w:i w:val="0"/>
                <w:color w:val="212529"/>
                <w:sz w:val="18"/>
              </w:rPr>
              <w:t xml:space="preserve"> (</w:t>
            </w:r>
            <w:r>
              <w:rPr>
                <w:rFonts w:ascii="Consolas" w:hAnsi="Consolas"/>
                <w:b w:val="0"/>
                <w:i w:val="0"/>
                <w:color w:val="B42828"/>
                <w:sz w:val="17"/>
              </w:rPr>
              <w:t>user denied</w:t>
            </w:r>
            <w:r>
              <w:rPr>
                <w:rFonts w:ascii="Noto Naskh Arabic" w:hAnsi="Noto Naskh Arabic"/>
                <w:b w:val="0"/>
                <w:i w:val="0"/>
                <w:color w:val="212529"/>
                <w:sz w:val="18"/>
              </w:rPr>
              <w:t>)</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تنفيذ مشروع</w:t>
            </w:r>
            <w:r>
              <w:rPr>
                <w:rFonts w:ascii="Noto Naskh Arabic" w:hAnsi="Noto Naskh Arabic"/>
                <w:b w:val="0"/>
                <w:i w:val="0"/>
                <w:color w:val="212529"/>
                <w:sz w:val="18"/>
              </w:rPr>
              <w:t xml:space="preserve"> (بموافقة المستخدم)</w:t>
            </w:r>
          </w:p>
        </w:tc>
      </w:tr>
      <w:tr>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T5b</w:t>
            </w:r>
          </w:p>
        </w:tc>
        <w:tc>
          <w:tcPr>
            <w:tcW w:type="dxa" w:w="1625"/>
            <w:shd w:fill="F8FAFC"/>
            <w:tcMar>
              <w:top w:w="70" w:type="dxa"/>
              <w:bottom w:w="70" w:type="dxa"/>
              <w:left w:w="100" w:type="dxa"/>
              <w:right w:w="100" w:type="dxa"/>
            </w:tcMar>
          </w:tcPr>
          <w:p xml:lang="ar">
            <w:pPr w:bidi="true">
              <w:spacing w:after="0"/>
              <w:jc w:val="right"/>
            </w:pPr>
            <w:r>
              <w:rPr>
                <w:rFonts w:ascii="Consolas" w:hAnsi="Consolas"/>
                <w:b w:val="0"/>
                <w:i w:val="0"/>
                <w:color w:val="B42828"/>
                <w:sz w:val="17"/>
              </w:rPr>
              <w:t>ui/context</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تسميم سياق النموذج بالقيمة السرية</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تنفيذ وتسريب</w:t>
            </w:r>
            <w:r>
              <w:rPr>
                <w:rFonts w:ascii="Noto Naskh Arabic" w:hAnsi="Noto Naskh Arabic"/>
                <w:b w:val="0"/>
                <w:i w:val="0"/>
                <w:color w:val="212529"/>
                <w:sz w:val="18"/>
              </w:rPr>
              <w:t xml:space="preserve"> (تعديل السياق)</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حجب ومنع</w:t>
            </w:r>
            <w:r>
              <w:rPr>
                <w:rFonts w:ascii="Noto Naskh Arabic" w:hAnsi="Noto Naskh Arabic"/>
                <w:b w:val="0"/>
                <w:i w:val="0"/>
                <w:color w:val="212529"/>
                <w:sz w:val="18"/>
              </w:rPr>
              <w:t xml:space="preserve"> (</w:t>
            </w:r>
            <w:r>
              <w:rPr>
                <w:rFonts w:ascii="Consolas" w:hAnsi="Consolas"/>
                <w:b w:val="0"/>
                <w:i w:val="0"/>
                <w:color w:val="B42828"/>
                <w:sz w:val="17"/>
              </w:rPr>
              <w:t>user denied</w:t>
            </w:r>
            <w:r>
              <w:rPr>
                <w:rFonts w:ascii="Noto Naskh Arabic" w:hAnsi="Noto Naskh Arabic"/>
                <w:b w:val="0"/>
                <w:i w:val="0"/>
                <w:color w:val="212529"/>
                <w:sz w:val="18"/>
              </w:rPr>
              <w:t>)</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تنفيذ مشروع</w:t>
            </w:r>
            <w:r>
              <w:rPr>
                <w:rFonts w:ascii="Noto Naskh Arabic" w:hAnsi="Noto Naskh Arabic"/>
                <w:b w:val="0"/>
                <w:i w:val="0"/>
                <w:color w:val="212529"/>
                <w:sz w:val="18"/>
              </w:rPr>
              <w:t xml:space="preserve"> (بموافقة المستخدم)</w:t>
            </w:r>
          </w:p>
        </w:tc>
      </w:tr>
      <w:tr>
        <w:tc>
          <w:tcPr>
            <w:tcW w:type="dxa" w:w="1625"/>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T6</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حد الثقة</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التحقق من ظهور شارة المصدر</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غائبة</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ظاهرة</w:t>
            </w:r>
            <w:r>
              <w:rPr>
                <w:rFonts w:ascii="Noto Naskh Arabic" w:hAnsi="Noto Naskh Arabic"/>
                <w:b w:val="0"/>
                <w:i w:val="0"/>
                <w:color w:val="212529"/>
                <w:sz w:val="18"/>
              </w:rPr>
              <w:t xml:space="preserve"> (</w:t>
            </w:r>
            <w:r>
              <w:rPr>
                <w:rFonts w:ascii="Consolas" w:hAnsi="Consolas"/>
                <w:b w:val="0"/>
                <w:i w:val="0"/>
                <w:color w:val="B42828"/>
                <w:sz w:val="17"/>
              </w:rPr>
              <w:t>SourceBadge</w:t>
            </w:r>
            <w:r>
              <w:rPr>
                <w:rFonts w:ascii="Noto Naskh Arabic" w:hAnsi="Noto Naskh Arabic"/>
                <w:b w:val="0"/>
                <w:i w:val="0"/>
                <w:color w:val="212529"/>
                <w:sz w:val="18"/>
              </w:rPr>
              <w:t>)</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ظاهرة</w:t>
            </w:r>
            <w:r>
              <w:rPr>
                <w:rFonts w:ascii="Noto Naskh Arabic" w:hAnsi="Noto Naskh Arabic"/>
                <w:b w:val="0"/>
                <w:i w:val="0"/>
                <w:color w:val="212529"/>
                <w:sz w:val="18"/>
              </w:rPr>
              <w:t xml:space="preserve"> (</w:t>
            </w:r>
            <w:r>
              <w:rPr>
                <w:rFonts w:ascii="Consolas" w:hAnsi="Consolas"/>
                <w:b w:val="0"/>
                <w:i w:val="0"/>
                <w:color w:val="B42828"/>
                <w:sz w:val="17"/>
              </w:rPr>
              <w:t>SourceBadge</w:t>
            </w:r>
            <w:r>
              <w:rPr>
                <w:rFonts w:ascii="Noto Naskh Arabic" w:hAnsi="Noto Naskh Arabic"/>
                <w:b w:val="0"/>
                <w:i w:val="0"/>
                <w:color w:val="212529"/>
                <w:sz w:val="18"/>
              </w:rPr>
              <w:t>)</w:t>
            </w:r>
          </w:p>
        </w:tc>
      </w:tr>
      <w:tr>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T7</w:t>
            </w:r>
          </w:p>
        </w:tc>
        <w:tc>
          <w:tcPr>
            <w:tcW w:type="dxa" w:w="1625"/>
            <w:shd w:fill="F8FAFC"/>
            <w:tcMar>
              <w:top w:w="70" w:type="dxa"/>
              <w:bottom w:w="70" w:type="dxa"/>
              <w:left w:w="100" w:type="dxa"/>
              <w:right w:w="100" w:type="dxa"/>
            </w:tcMar>
          </w:tcPr>
          <w:p xml:lang="ar">
            <w:pPr w:bidi="true">
              <w:spacing w:after="0"/>
              <w:jc w:val="right"/>
            </w:pPr>
            <w:r>
              <w:rPr>
                <w:rFonts w:ascii="Consolas" w:hAnsi="Consolas"/>
                <w:b w:val="0"/>
                <w:i w:val="0"/>
                <w:color w:val="B42828"/>
                <w:sz w:val="17"/>
              </w:rPr>
              <w:t>tools/call</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استدعاء الوقت السليم (6 عينات)</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سماح (قياس زمن الاستجابة)</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سماح (قياس زمن الاستجابة)</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سماح (قياس زمن الاستجابة)</w:t>
            </w:r>
          </w:p>
        </w:tc>
      </w:tr>
    </w:tbl>
    <w:p>
      <w:pPr>
        <w:spacing w:after="80"/>
      </w:pPr>
    </w:p>
    <w:p xml:lang="ar">
      <w:pPr w:bidi="true">
        <w:keepNext/>
        <w:spacing w:before="200" w:after="60"/>
        <w:jc w:val="right"/>
      </w:pPr>
      <w:r>
        <w:rPr>
          <w:rFonts w:ascii="Noto Naskh Arabic" w:hAnsi="Noto Naskh Arabic"/>
          <w:b/>
          <w:i w:val="0"/>
          <w:color w:val="1E3A8A"/>
          <w:sz w:val="22"/>
        </w:rPr>
        <w:t>5.3 فرضيات البحث المعتمدة</w:t>
      </w:r>
    </w:p>
    <w:p xml:lang="ar">
      <w:pPr w:bidi="true">
        <w:pStyle w:val="ListBullet"/>
        <w:spacing w:before="20" w:after="60" w:line="276" w:lineRule="auto"/>
        <w:jc w:val="right"/>
      </w:pPr>
      <w:r>
        <w:rPr>
          <w:rFonts w:ascii="Noto Naskh Arabic" w:hAnsi="Noto Naskh Arabic"/>
          <w:b/>
          <w:i w:val="0"/>
          <w:color w:val="212529"/>
          <w:sz w:val="20"/>
        </w:rPr>
        <w:t>الفرضية الأولى (H1 - امتثال المواصفة):</w:t>
      </w:r>
      <w:r>
        <w:rPr>
          <w:rFonts w:ascii="Noto Naskh Arabic" w:hAnsi="Noto Naskh Arabic"/>
          <w:b w:val="0"/>
          <w:i w:val="0"/>
          <w:color w:val="212529"/>
          <w:sz w:val="20"/>
        </w:rPr>
        <w:t xml:space="preserve"> سيرفض كل من خط الأساس والمعالجة 100% من الحالات المخالفة للمواصفة الإلزامية (الأدوات المحجوبة والشبكة عبر CSP) مع السماح بالعمليات المشروعة.</w:t>
      </w:r>
    </w:p>
    <w:p xml:lang="ar">
      <w:pPr w:bidi="true">
        <w:pStyle w:val="ListBullet"/>
        <w:spacing w:before="20" w:after="60" w:line="276" w:lineRule="auto"/>
        <w:jc w:val="right"/>
      </w:pPr>
      <w:r>
        <w:rPr>
          <w:rFonts w:ascii="Noto Naskh Arabic" w:hAnsi="Noto Naskh Arabic"/>
          <w:b/>
          <w:i w:val="0"/>
          <w:color w:val="212529"/>
          <w:sz w:val="20"/>
        </w:rPr>
        <w:t>الفرضية الثانية (H2 - تقليل المخاطر المتبقية):</w:t>
      </w:r>
      <w:r>
        <w:rPr>
          <w:rFonts w:ascii="Noto Naskh Arabic" w:hAnsi="Noto Naskh Arabic"/>
          <w:b w:val="0"/>
          <w:i w:val="0"/>
          <w:color w:val="212529"/>
          <w:sz w:val="20"/>
        </w:rPr>
        <w:t xml:space="preserve"> ستخفض طبقة السياسة العمليات الحساسة المنفذة دون موافقة صريحة إلى الصفر، وتمنع وصول </w:t>
      </w:r>
      <w:r>
        <w:rPr>
          <w:rFonts w:ascii="Consolas" w:hAnsi="Consolas"/>
          <w:b w:val="0"/>
          <w:i w:val="0"/>
          <w:color w:val="B42828"/>
          <w:sz w:val="19"/>
        </w:rPr>
        <w:t>SYNTHETIC_SECRET_001</w:t>
      </w:r>
      <w:r>
        <w:rPr>
          <w:rFonts w:ascii="Noto Naskh Arabic" w:hAnsi="Noto Naskh Arabic"/>
          <w:b w:val="0"/>
          <w:i w:val="0"/>
          <w:color w:val="212529"/>
          <w:sz w:val="20"/>
        </w:rPr>
        <w:t>، مع الحفاظ الكامل على الوظائف المشروعة عند منح الموافقة.</w:t>
      </w:r>
    </w:p>
    <w:p xml:lang="ar">
      <w:pPr w:bidi="true">
        <w:pStyle w:val="ListBullet"/>
        <w:spacing w:before="20" w:after="60" w:line="276" w:lineRule="auto"/>
        <w:jc w:val="right"/>
      </w:pPr>
      <w:r>
        <w:rPr>
          <w:rFonts w:ascii="Noto Naskh Arabic" w:hAnsi="Noto Naskh Arabic"/>
          <w:b/>
          <w:i w:val="0"/>
          <w:color w:val="212529"/>
          <w:sz w:val="20"/>
        </w:rPr>
        <w:t>الفرضية الثالثة (H3 - العبء الزمني التشغيلي):</w:t>
      </w:r>
      <w:r>
        <w:rPr>
          <w:rFonts w:ascii="Noto Naskh Arabic" w:hAnsi="Noto Naskh Arabic"/>
          <w:b w:val="0"/>
          <w:i w:val="0"/>
          <w:color w:val="212529"/>
          <w:sz w:val="20"/>
        </w:rPr>
        <w:t xml:space="preserve"> ستحافظ الطبقة على نجاح جميع العمليات السليمة، ولن يتجاوز وسيط العبء الزمني المضاف محليًا لمعالجة الطلب </w:t>
      </w:r>
      <w:r>
        <w:rPr>
          <w:rFonts w:ascii="Noto Naskh Arabic" w:hAnsi="Noto Naskh Arabic"/>
          <w:b/>
          <w:i w:val="0"/>
          <w:color w:val="212529"/>
          <w:sz w:val="20"/>
        </w:rPr>
        <w:t>20 مللي ثانية</w:t>
      </w:r>
      <w:r>
        <w:rPr>
          <w:rFonts w:ascii="Noto Naskh Arabic" w:hAnsi="Noto Naskh Arabic"/>
          <w:b w:val="0"/>
          <w:i w:val="0"/>
          <w:color w:val="212529"/>
          <w:sz w:val="20"/>
        </w:rPr>
        <w:t>.</w:t>
      </w:r>
    </w:p>
    <w:p xml:lang="ar">
      <w:pPr w:bidi="true">
        <w:spacing w:before="0" w:after="80" w:line="276" w:lineRule="auto"/>
        <w:jc w:val="both"/>
      </w:pPr>
      <w:r>
        <w:rPr>
          <w:rFonts w:ascii="Noto Naskh Arabic" w:hAnsi="Noto Naskh Arabic"/>
          <w:b w:val="0"/>
          <w:i w:val="0"/>
          <w:color w:val="212529"/>
          <w:sz w:val="20"/>
        </w:rPr>
        <w:t xml:space="preserve">  </w:t>
      </w:r>
      <w:r>
        <w:rPr>
          <w:rFonts w:ascii="Noto Naskh Arabic" w:hAnsi="Noto Naskh Arabic"/>
          <w:b w:val="0"/>
          <w:i/>
          <w:color w:val="212529"/>
          <w:sz w:val="20"/>
        </w:rPr>
        <w:t xml:space="preserve"> </w:t>
      </w:r>
      <w:r>
        <w:rPr>
          <w:rFonts w:ascii="Noto Naskh Arabic" w:hAnsi="Noto Naskh Arabic"/>
          <w:b w:val="0"/>
          <w:i w:val="0"/>
          <w:color w:val="212529"/>
          <w:sz w:val="20"/>
        </w:rPr>
        <w:t>التبرير التشغيلي لعتبة 20 مللي ثانية:* في بيئات وكلاء الذكاء الاصطناعي التفاعلية، يتراوح زمن الاستجابة الكامل لاستدعاء الأدوات المحلية بين 300 و1500 مللي ثانية (بلغ الوسيط في خط الأساس 327.4 مللي ثانية). ويُمثل سقف 20 مللي ثانية أقل من 6.1% من زمن الذهاب والإياب الأساسي، مما يضمن أن تطبيق السياسة يظل غير محسوس إطلاقًا للمستخدم البشري ولا يُعطل تدفق الرموز المولدة (Token Streaming).</w:t>
      </w:r>
    </w:p>
    <w:p xml:lang="ar">
      <w:pPr w:bidi="true">
        <w:keepNext/>
        <w:spacing w:before="280" w:after="80"/>
        <w:jc w:val="right"/>
      </w:pPr>
      <w:r>
        <w:rPr>
          <w:rFonts w:ascii="Noto Naskh Arabic" w:hAnsi="Noto Naskh Arabic"/>
          <w:b/>
          <w:i w:val="0"/>
          <w:color w:val="0F2C59"/>
          <w:sz w:val="24"/>
        </w:rPr>
        <w:t>6. النتائج والتحليل التجريبي (Empirical Results)</w:t>
      </w:r>
    </w:p>
    <w:p xml:lang="ar">
      <w:pPr w:bidi="true">
        <w:spacing w:before="0" w:after="80" w:line="276" w:lineRule="auto"/>
        <w:jc w:val="both"/>
      </w:pPr>
      <w:r>
        <w:rPr>
          <w:rFonts w:ascii="Noto Naskh Arabic" w:hAnsi="Noto Naskh Arabic"/>
          <w:b w:val="0"/>
          <w:i w:val="0"/>
          <w:color w:val="212529"/>
          <w:sz w:val="20"/>
        </w:rPr>
        <w:t xml:space="preserve">شمل البروتوكول التجريبي </w:t>
      </w:r>
      <w:r>
        <w:rPr>
          <w:rFonts w:ascii="Noto Naskh Arabic" w:hAnsi="Noto Naskh Arabic"/>
          <w:b/>
          <w:i w:val="0"/>
          <w:color w:val="212529"/>
          <w:sz w:val="20"/>
        </w:rPr>
        <w:t>41 تشغيلًا كاملًا</w:t>
      </w:r>
      <w:r>
        <w:rPr>
          <w:rFonts w:ascii="Noto Naskh Arabic" w:hAnsi="Noto Naskh Arabic"/>
          <w:b w:val="0"/>
          <w:i w:val="0"/>
          <w:color w:val="212529"/>
          <w:sz w:val="20"/>
        </w:rPr>
        <w:t xml:space="preserve"> مسجلًا ومؤتمتًا:</w:t>
      </w:r>
    </w:p>
    <w:p xml:lang="ar">
      <w:pPr w:bidi="true">
        <w:pStyle w:val="ListBullet"/>
        <w:spacing w:before="20" w:after="60" w:line="276" w:lineRule="auto"/>
        <w:jc w:val="right"/>
      </w:pPr>
      <w:r>
        <w:rPr>
          <w:rFonts w:ascii="Noto Naskh Arabic" w:hAnsi="Noto Naskh Arabic"/>
          <w:b w:val="0"/>
          <w:i w:val="0"/>
          <w:color w:val="212529"/>
          <w:sz w:val="20"/>
        </w:rPr>
        <w:t>5 تشغيلات لخط الأساس الوظيفي (</w:t>
      </w:r>
      <w:r>
        <w:rPr>
          <w:rFonts w:ascii="Consolas" w:hAnsi="Consolas"/>
          <w:b w:val="0"/>
          <w:i w:val="0"/>
          <w:color w:val="B42828"/>
          <w:sz w:val="19"/>
        </w:rPr>
        <w:t>func-baseline-1..5</w:t>
      </w:r>
      <w:r>
        <w:rPr>
          <w:rFonts w:ascii="Noto Naskh Arabic" w:hAnsi="Noto Naskh Arabic"/>
          <w:b w:val="0"/>
          <w:i w:val="0"/>
          <w:color w:val="212529"/>
          <w:sz w:val="20"/>
        </w:rPr>
        <w:t>)</w:t>
      </w:r>
    </w:p>
    <w:p xml:lang="ar">
      <w:pPr w:bidi="true">
        <w:pStyle w:val="ListBullet"/>
        <w:spacing w:before="20" w:after="60" w:line="276" w:lineRule="auto"/>
        <w:jc w:val="right"/>
      </w:pPr>
      <w:r>
        <w:rPr>
          <w:rFonts w:ascii="Noto Naskh Arabic" w:hAnsi="Noto Naskh Arabic"/>
          <w:b w:val="0"/>
          <w:i w:val="0"/>
          <w:color w:val="212529"/>
          <w:sz w:val="20"/>
        </w:rPr>
        <w:t>5 تشغيلات للمعالجة الوظيفية بنمط الرفض (</w:t>
      </w:r>
      <w:r>
        <w:rPr>
          <w:rFonts w:ascii="Consolas" w:hAnsi="Consolas"/>
          <w:b w:val="0"/>
          <w:i w:val="0"/>
          <w:color w:val="B42828"/>
          <w:sz w:val="19"/>
        </w:rPr>
        <w:t>func-treatment-1..5</w:t>
      </w:r>
      <w:r>
        <w:rPr>
          <w:rFonts w:ascii="Noto Naskh Arabic" w:hAnsi="Noto Naskh Arabic"/>
          <w:b w:val="0"/>
          <w:i w:val="0"/>
          <w:color w:val="212529"/>
          <w:sz w:val="20"/>
        </w:rPr>
        <w:t>)</w:t>
      </w:r>
    </w:p>
    <w:p xml:lang="ar">
      <w:pPr w:bidi="true">
        <w:pStyle w:val="ListBullet"/>
        <w:spacing w:before="20" w:after="60" w:line="276" w:lineRule="auto"/>
        <w:jc w:val="right"/>
      </w:pPr>
      <w:r>
        <w:rPr>
          <w:rFonts w:ascii="Noto Naskh Arabic" w:hAnsi="Noto Naskh Arabic"/>
          <w:b w:val="0"/>
          <w:i w:val="0"/>
          <w:color w:val="212529"/>
          <w:sz w:val="20"/>
        </w:rPr>
        <w:t>1 تشغيل للمعالجة الوظيفية بنمط الموافقة لإثبات استمرار المنفعة (</w:t>
      </w:r>
      <w:r>
        <w:rPr>
          <w:rFonts w:ascii="Consolas" w:hAnsi="Consolas"/>
          <w:b w:val="0"/>
          <w:i w:val="0"/>
          <w:color w:val="B42828"/>
          <w:sz w:val="19"/>
        </w:rPr>
        <w:t>func-treatment-allow-1</w:t>
      </w:r>
      <w:r>
        <w:rPr>
          <w:rFonts w:ascii="Noto Naskh Arabic" w:hAnsi="Noto Naskh Arabic"/>
          <w:b w:val="0"/>
          <w:i w:val="0"/>
          <w:color w:val="212529"/>
          <w:sz w:val="20"/>
        </w:rPr>
        <w:t>)</w:t>
      </w:r>
    </w:p>
    <w:p xml:lang="ar">
      <w:pPr w:bidi="true">
        <w:pStyle w:val="ListBullet"/>
        <w:spacing w:before="20" w:after="60" w:line="276" w:lineRule="auto"/>
        <w:jc w:val="right"/>
      </w:pPr>
      <w:r>
        <w:rPr>
          <w:rFonts w:ascii="Noto Naskh Arabic" w:hAnsi="Noto Naskh Arabic"/>
          <w:b w:val="0"/>
          <w:i w:val="0"/>
          <w:color w:val="212529"/>
          <w:sz w:val="20"/>
        </w:rPr>
        <w:t xml:space="preserve">30 تشغيلًا للأداء بالتناوب، وفرت </w:t>
      </w:r>
      <w:r>
        <w:rPr>
          <w:rFonts w:ascii="Noto Naskh Arabic" w:hAnsi="Noto Naskh Arabic"/>
          <w:b/>
          <w:i w:val="0"/>
          <w:color w:val="212529"/>
          <w:sz w:val="20"/>
        </w:rPr>
        <w:t>180 قياسًا دقيقًا لزمن الاستجابة</w:t>
      </w:r>
      <w:r>
        <w:rPr>
          <w:rFonts w:ascii="Noto Naskh Arabic" w:hAnsi="Noto Naskh Arabic"/>
          <w:b w:val="0"/>
          <w:i w:val="0"/>
          <w:color w:val="212529"/>
          <w:sz w:val="20"/>
        </w:rPr>
        <w:t xml:space="preserve"> (90 عينة لكل مجموعة).</w:t>
      </w:r>
    </w:p>
    <w:p xml:lang="ar">
      <w:pPr w:bidi="true">
        <w:keepNext/>
        <w:spacing w:before="200" w:after="60"/>
        <w:jc w:val="right"/>
      </w:pPr>
      <w:r>
        <w:rPr>
          <w:rFonts w:ascii="Noto Naskh Arabic" w:hAnsi="Noto Naskh Arabic"/>
          <w:b/>
          <w:i w:val="0"/>
          <w:color w:val="1E3A8A"/>
          <w:sz w:val="22"/>
        </w:rPr>
        <w:t>6.1 جدول النتائج الرئيسي</w:t>
      </w:r>
    </w:p>
    <w:p xml:lang="ar">
      <w:pPr w:bidi="true">
        <w:spacing w:before="160" w:after="60"/>
        <w:jc w:val="center"/>
      </w:pPr>
      <w:r>
        <w:rPr>
          <w:rFonts w:ascii="Noto Naskh Arabic" w:hAnsi="Noto Naskh Arabic"/>
          <w:b/>
          <w:i w:val="0"/>
          <w:color w:val="0F2C59"/>
          <w:sz w:val="20"/>
        </w:rPr>
        <w:t>الجدول 2:</w:t>
      </w:r>
      <w:r>
        <w:rPr>
          <w:rFonts w:ascii="Noto Naskh Arabic" w:hAnsi="Noto Naskh Arabic"/>
          <w:b/>
          <w:i w:val="0"/>
          <w:color w:val="0F2C59"/>
          <w:sz w:val="20"/>
        </w:rPr>
        <w:t xml:space="preserve"> ملخص النتائج التجريبية الرئيسية عبر 41 تشغيلًا مؤتمتًا وقرارات الفرضيات الرسمية.</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625"/>
        <w:gridCol w:w="1625"/>
        <w:gridCol w:w="1625"/>
        <w:gridCol w:w="1625"/>
        <w:gridCol w:w="1625"/>
        <w:gridCol w:w="1625"/>
      </w:tblGrid>
      <w:tr>
        <w:tc>
          <w:tcPr>
            <w:tcW w:type="dxa" w:w="1625"/>
            <w:shd w:fill="1F497D"/>
            <w:tcMar>
              <w:top w:w="90" w:type="dxa"/>
              <w:bottom w:w="90" w:type="dxa"/>
              <w:left w:w="110" w:type="dxa"/>
              <w:right w:w="110" w:type="dxa"/>
            </w:tcMar>
          </w:tcPr>
          <w:p xml:lang="ar">
            <w:pPr w:bidi="true">
              <w:spacing w:after="0"/>
              <w:jc w:val="center"/>
            </w:pPr>
            <w:r>
              <w:rPr>
                <w:rFonts w:ascii="Noto Naskh Arabic" w:hAnsi="Noto Naskh Arabic"/>
                <w:b/>
                <w:i w:val="0"/>
                <w:color w:val="FFFFFF"/>
                <w:sz w:val="19"/>
              </w:rPr>
              <w:t>المقياس التجريبي</w:t>
            </w:r>
          </w:p>
        </w:tc>
        <w:tc>
          <w:tcPr>
            <w:tcW w:type="dxa" w:w="1625"/>
            <w:shd w:fill="1F497D"/>
            <w:tcMar>
              <w:top w:w="90" w:type="dxa"/>
              <w:bottom w:w="90" w:type="dxa"/>
              <w:left w:w="110" w:type="dxa"/>
              <w:right w:w="110" w:type="dxa"/>
            </w:tcMar>
          </w:tcPr>
          <w:p xml:lang="ar">
            <w:pPr w:bidi="true">
              <w:spacing w:after="0"/>
              <w:jc w:val="center"/>
            </w:pPr>
            <w:r>
              <w:rPr>
                <w:rFonts w:ascii="Noto Naskh Arabic" w:hAnsi="Noto Naskh Arabic"/>
                <w:b/>
                <w:i w:val="0"/>
                <w:color w:val="FFFFFF"/>
                <w:sz w:val="19"/>
              </w:rPr>
              <w:t>خط الأساس (Baseline)</w:t>
            </w:r>
          </w:p>
        </w:tc>
        <w:tc>
          <w:tcPr>
            <w:tcW w:type="dxa" w:w="1625"/>
            <w:shd w:fill="1F497D"/>
            <w:tcMar>
              <w:top w:w="90" w:type="dxa"/>
              <w:bottom w:w="90" w:type="dxa"/>
              <w:left w:w="110" w:type="dxa"/>
              <w:right w:w="110" w:type="dxa"/>
            </w:tcMar>
          </w:tcPr>
          <w:p xml:lang="ar">
            <w:pPr w:bidi="true">
              <w:spacing w:after="0"/>
              <w:jc w:val="center"/>
            </w:pPr>
            <w:r>
              <w:rPr>
                <w:rFonts w:ascii="Noto Naskh Arabic" w:hAnsi="Noto Naskh Arabic"/>
                <w:b/>
                <w:i w:val="0"/>
                <w:color w:val="FFFFFF"/>
                <w:sz w:val="19"/>
              </w:rPr>
              <w:t>المعالجة برفض الموافقة</w:t>
            </w:r>
          </w:p>
        </w:tc>
        <w:tc>
          <w:tcPr>
            <w:tcW w:type="dxa" w:w="1625"/>
            <w:shd w:fill="1F497D"/>
            <w:tcMar>
              <w:top w:w="90" w:type="dxa"/>
              <w:bottom w:w="90" w:type="dxa"/>
              <w:left w:w="110" w:type="dxa"/>
              <w:right w:w="110" w:type="dxa"/>
            </w:tcMar>
          </w:tcPr>
          <w:p xml:lang="ar">
            <w:pPr w:bidi="true">
              <w:spacing w:after="0"/>
              <w:jc w:val="center"/>
            </w:pPr>
            <w:r>
              <w:rPr>
                <w:rFonts w:ascii="Noto Naskh Arabic" w:hAnsi="Noto Naskh Arabic"/>
                <w:b/>
                <w:i w:val="0"/>
                <w:color w:val="FFFFFF"/>
                <w:sz w:val="19"/>
              </w:rPr>
              <w:t>المعالجة بسماح الموافقة</w:t>
            </w:r>
          </w:p>
        </w:tc>
        <w:tc>
          <w:tcPr>
            <w:tcW w:type="dxa" w:w="1625"/>
            <w:shd w:fill="1F497D"/>
            <w:tcMar>
              <w:top w:w="90" w:type="dxa"/>
              <w:bottom w:w="90" w:type="dxa"/>
              <w:left w:w="110" w:type="dxa"/>
              <w:right w:w="110" w:type="dxa"/>
            </w:tcMar>
          </w:tcPr>
          <w:p xml:lang="ar">
            <w:pPr w:bidi="true">
              <w:spacing w:after="0"/>
              <w:jc w:val="center"/>
            </w:pPr>
            <w:r>
              <w:rPr>
                <w:rFonts w:ascii="Noto Naskh Arabic" w:hAnsi="Noto Naskh Arabic"/>
                <w:b/>
                <w:i w:val="0"/>
                <w:color w:val="FFFFFF"/>
                <w:sz w:val="19"/>
              </w:rPr>
              <w:t>الفارق والنتيجة</w:t>
            </w:r>
          </w:p>
        </w:tc>
        <w:tc>
          <w:tcPr>
            <w:tcW w:type="dxa" w:w="1625"/>
            <w:shd w:fill="1F497D"/>
            <w:tcMar>
              <w:top w:w="90" w:type="dxa"/>
              <w:bottom w:w="90" w:type="dxa"/>
              <w:left w:w="110" w:type="dxa"/>
              <w:right w:w="110" w:type="dxa"/>
            </w:tcMar>
          </w:tcPr>
          <w:p xml:lang="ar">
            <w:pPr w:bidi="true">
              <w:spacing w:after="0"/>
              <w:jc w:val="center"/>
            </w:pPr>
            <w:r>
              <w:rPr>
                <w:rFonts w:ascii="Noto Naskh Arabic" w:hAnsi="Noto Naskh Arabic"/>
                <w:b/>
                <w:i w:val="0"/>
                <w:color w:val="FFFFFF"/>
                <w:sz w:val="19"/>
              </w:rPr>
              <w:t>حالة الفرضية</w:t>
            </w:r>
          </w:p>
        </w:tc>
      </w:tr>
      <w:tr>
        <w:tc>
          <w:tcPr>
            <w:tcW w:type="dxa" w:w="1625"/>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H1: مخالفات رؤية الأدوات (T2)</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0 / 5 تسريبات</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0 / 5 تسريبات</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0 / 1 تسريب</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0 / 10 مخالفات إجمالية</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قبول H1 (ACCEPT)</w:t>
            </w:r>
          </w:p>
        </w:tc>
      </w:tr>
      <w:tr>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H1: اختراق شبكة CSP (T3)</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0 / 5 تسريبات</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0 / 5 تسريبات</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0 / 1 تسريب</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0 / 10 مخالفات إجمالية</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قبول H1 (ACCEPT)</w:t>
            </w:r>
          </w:p>
        </w:tc>
      </w:tr>
      <w:tr>
        <w:tc>
          <w:tcPr>
            <w:tcW w:type="dxa" w:w="1625"/>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H2: عمليات حساسة نُفذت دون موافقة</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15 / 15 نُفذت</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0 / 15 نُفذت</w:t>
            </w:r>
          </w:p>
        </w:tc>
        <w:tc>
          <w:tcPr>
            <w:tcW w:type="dxa" w:w="1625"/>
            <w:tcMar>
              <w:top w:w="70" w:type="dxa"/>
              <w:bottom w:w="70" w:type="dxa"/>
              <w:left w:w="100" w:type="dxa"/>
              <w:right w:w="100" w:type="dxa"/>
            </w:tcMar>
          </w:tcPr>
          <w:p xml:lang="ar">
            <w:pPr w:bidi="true">
              <w:spacing w:after="0"/>
              <w:jc w:val="center"/>
            </w:pPr>
            <w:r>
              <w:rPr>
                <w:rFonts w:ascii="Noto Naskh Arabic" w:hAnsi="Noto Naskh Arabic"/>
                <w:b w:val="0"/>
                <w:i w:val="0"/>
                <w:color w:val="212529"/>
                <w:sz w:val="18"/>
              </w:rPr>
              <w:t>لا ينطبق</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انخفاض بنسبة 100%</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قبول H2 (ACCEPT)</w:t>
            </w:r>
          </w:p>
        </w:tc>
      </w:tr>
      <w:tr>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H2: وصول القيمة السرية عبر الرسائل والسياق</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10 / 10 وصلت</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0 / 10 وصلت</w:t>
            </w:r>
          </w:p>
        </w:tc>
        <w:tc>
          <w:tcPr>
            <w:tcW w:type="dxa" w:w="1625"/>
            <w:shd w:fill="F8FAFC"/>
            <w:tcMar>
              <w:top w:w="70" w:type="dxa"/>
              <w:bottom w:w="70" w:type="dxa"/>
              <w:left w:w="100" w:type="dxa"/>
              <w:right w:w="100" w:type="dxa"/>
            </w:tcMar>
          </w:tcPr>
          <w:p xml:lang="ar">
            <w:pPr w:bidi="true">
              <w:spacing w:after="0"/>
              <w:jc w:val="center"/>
            </w:pPr>
            <w:r>
              <w:rPr>
                <w:rFonts w:ascii="Noto Naskh Arabic" w:hAnsi="Noto Naskh Arabic"/>
                <w:b w:val="0"/>
                <w:i w:val="0"/>
                <w:color w:val="212529"/>
                <w:sz w:val="18"/>
              </w:rPr>
              <w:t>لا ينطبق</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منع بنسبة 100%</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قبول H2 (ACCEPT)</w:t>
            </w:r>
          </w:p>
        </w:tc>
      </w:tr>
      <w:tr>
        <w:tc>
          <w:tcPr>
            <w:tcW w:type="dxa" w:w="1625"/>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H2: استمرار المنفعة بموافقة المستخدم</w:t>
            </w:r>
          </w:p>
        </w:tc>
        <w:tc>
          <w:tcPr>
            <w:tcW w:type="dxa" w:w="1625"/>
            <w:tcMar>
              <w:top w:w="70" w:type="dxa"/>
              <w:bottom w:w="70" w:type="dxa"/>
              <w:left w:w="100" w:type="dxa"/>
              <w:right w:w="100" w:type="dxa"/>
            </w:tcMar>
          </w:tcPr>
          <w:p xml:lang="ar">
            <w:pPr w:bidi="true">
              <w:spacing w:after="0"/>
              <w:jc w:val="center"/>
            </w:pPr>
            <w:r>
              <w:rPr>
                <w:rFonts w:ascii="Noto Naskh Arabic" w:hAnsi="Noto Naskh Arabic"/>
                <w:b w:val="0"/>
                <w:i w:val="0"/>
                <w:color w:val="212529"/>
                <w:sz w:val="18"/>
              </w:rPr>
              <w:t>لا ينطبق</w:t>
            </w:r>
          </w:p>
        </w:tc>
        <w:tc>
          <w:tcPr>
            <w:tcW w:type="dxa" w:w="1625"/>
            <w:tcMar>
              <w:top w:w="70" w:type="dxa"/>
              <w:bottom w:w="70" w:type="dxa"/>
              <w:left w:w="100" w:type="dxa"/>
              <w:right w:w="100" w:type="dxa"/>
            </w:tcMar>
          </w:tcPr>
          <w:p xml:lang="ar">
            <w:pPr w:bidi="true">
              <w:spacing w:after="0"/>
              <w:jc w:val="center"/>
            </w:pPr>
            <w:r>
              <w:rPr>
                <w:rFonts w:ascii="Noto Naskh Arabic" w:hAnsi="Noto Naskh Arabic"/>
                <w:b w:val="0"/>
                <w:i w:val="0"/>
                <w:color w:val="212529"/>
                <w:sz w:val="18"/>
              </w:rPr>
              <w:t>لا ينطبق</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3 / 3 نُفذت بنجاح</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استمرار كامل للمنفعة (n=1)</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قبول H2 (ACCEPT)</w:t>
            </w:r>
          </w:p>
        </w:tc>
      </w:tr>
      <w:tr>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H3: وسيط زمن الاستجابة الإجمالي</w:t>
            </w:r>
          </w:p>
        </w:tc>
        <w:tc>
          <w:tcPr>
            <w:tcW w:type="dxa" w:w="1625"/>
            <w:shd w:fill="F8FAFC"/>
            <w:tcMar>
              <w:top w:w="70" w:type="dxa"/>
              <w:bottom w:w="70" w:type="dxa"/>
              <w:left w:w="100" w:type="dxa"/>
              <w:right w:w="100" w:type="dxa"/>
            </w:tcMar>
          </w:tcPr>
          <w:p xml:lang="ar">
            <w:pPr w:bidi="true">
              <w:spacing w:after="0"/>
              <w:jc w:val="center"/>
            </w:pPr>
            <w:r>
              <w:rPr>
                <w:rFonts w:ascii="Noto Naskh Arabic" w:hAnsi="Noto Naskh Arabic"/>
                <w:b w:val="0"/>
                <w:i w:val="0"/>
                <w:color w:val="212529"/>
                <w:sz w:val="18"/>
              </w:rPr>
              <w:t>327.4 مللي ثانية</w:t>
            </w:r>
          </w:p>
        </w:tc>
        <w:tc>
          <w:tcPr>
            <w:tcW w:type="dxa" w:w="1625"/>
            <w:shd w:fill="F8FAFC"/>
            <w:tcMar>
              <w:top w:w="70" w:type="dxa"/>
              <w:bottom w:w="70" w:type="dxa"/>
              <w:left w:w="100" w:type="dxa"/>
              <w:right w:w="100" w:type="dxa"/>
            </w:tcMar>
          </w:tcPr>
          <w:p xml:lang="ar">
            <w:pPr w:bidi="true">
              <w:spacing w:after="0"/>
              <w:jc w:val="center"/>
            </w:pPr>
            <w:r>
              <w:rPr>
                <w:rFonts w:ascii="Noto Naskh Arabic" w:hAnsi="Noto Naskh Arabic"/>
                <w:b w:val="0"/>
                <w:i w:val="0"/>
                <w:color w:val="212529"/>
                <w:sz w:val="18"/>
              </w:rPr>
              <w:t>318.3 مللي ثانية</w:t>
            </w:r>
          </w:p>
        </w:tc>
        <w:tc>
          <w:tcPr>
            <w:tcW w:type="dxa" w:w="1625"/>
            <w:shd w:fill="F8FAFC"/>
            <w:tcMar>
              <w:top w:w="70" w:type="dxa"/>
              <w:bottom w:w="70" w:type="dxa"/>
              <w:left w:w="100" w:type="dxa"/>
              <w:right w:w="100" w:type="dxa"/>
            </w:tcMar>
          </w:tcPr>
          <w:p xml:lang="ar">
            <w:pPr w:bidi="true">
              <w:spacing w:after="0"/>
              <w:jc w:val="center"/>
            </w:pPr>
            <w:r>
              <w:rPr>
                <w:rFonts w:ascii="Noto Naskh Arabic" w:hAnsi="Noto Naskh Arabic"/>
                <w:b w:val="0"/>
                <w:i w:val="0"/>
                <w:color w:val="212529"/>
                <w:sz w:val="18"/>
              </w:rPr>
              <w:t>لا ينطبق</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فارق وسيط قدره -9.1 مللي ثانية</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قبول H3 (ACCEPT)</w:t>
            </w:r>
          </w:p>
        </w:tc>
      </w:tr>
      <w:tr>
        <w:tc>
          <w:tcPr>
            <w:tcW w:type="dxa" w:w="1625"/>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H3: الشريحة المئوية 95 للأزمنة</w:t>
            </w:r>
          </w:p>
        </w:tc>
        <w:tc>
          <w:tcPr>
            <w:tcW w:type="dxa" w:w="1625"/>
            <w:tcMar>
              <w:top w:w="70" w:type="dxa"/>
              <w:bottom w:w="70" w:type="dxa"/>
              <w:left w:w="100" w:type="dxa"/>
              <w:right w:w="100" w:type="dxa"/>
            </w:tcMar>
          </w:tcPr>
          <w:p xml:lang="ar">
            <w:pPr w:bidi="true">
              <w:spacing w:after="0"/>
              <w:jc w:val="center"/>
            </w:pPr>
            <w:r>
              <w:rPr>
                <w:rFonts w:ascii="Noto Naskh Arabic" w:hAnsi="Noto Naskh Arabic"/>
                <w:b w:val="0"/>
                <w:i w:val="0"/>
                <w:color w:val="212529"/>
                <w:sz w:val="18"/>
              </w:rPr>
              <w:t>471.0 مللي ثانية</w:t>
            </w:r>
          </w:p>
        </w:tc>
        <w:tc>
          <w:tcPr>
            <w:tcW w:type="dxa" w:w="1625"/>
            <w:tcMar>
              <w:top w:w="70" w:type="dxa"/>
              <w:bottom w:w="70" w:type="dxa"/>
              <w:left w:w="100" w:type="dxa"/>
              <w:right w:w="100" w:type="dxa"/>
            </w:tcMar>
          </w:tcPr>
          <w:p xml:lang="ar">
            <w:pPr w:bidi="true">
              <w:spacing w:after="0"/>
              <w:jc w:val="center"/>
            </w:pPr>
            <w:r>
              <w:rPr>
                <w:rFonts w:ascii="Noto Naskh Arabic" w:hAnsi="Noto Naskh Arabic"/>
                <w:b w:val="0"/>
                <w:i w:val="0"/>
                <w:color w:val="212529"/>
                <w:sz w:val="18"/>
              </w:rPr>
              <w:t>474.3 مللي ثانية</w:t>
            </w:r>
          </w:p>
        </w:tc>
        <w:tc>
          <w:tcPr>
            <w:tcW w:type="dxa" w:w="1625"/>
            <w:tcMar>
              <w:top w:w="70" w:type="dxa"/>
              <w:bottom w:w="70" w:type="dxa"/>
              <w:left w:w="100" w:type="dxa"/>
              <w:right w:w="100" w:type="dxa"/>
            </w:tcMar>
          </w:tcPr>
          <w:p xml:lang="ar">
            <w:pPr w:bidi="true">
              <w:spacing w:after="0"/>
              <w:jc w:val="center"/>
            </w:pPr>
            <w:r>
              <w:rPr>
                <w:rFonts w:ascii="Noto Naskh Arabic" w:hAnsi="Noto Naskh Arabic"/>
                <w:b w:val="0"/>
                <w:i w:val="0"/>
                <w:color w:val="212529"/>
                <w:sz w:val="18"/>
              </w:rPr>
              <w:t>لا ينطبق</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فارق قدره +3.3 مللي ثانية</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قبول H3 (ACCEPT)</w:t>
            </w:r>
          </w:p>
        </w:tc>
      </w:tr>
      <w:tr>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H3: زمن قرار السياسة الصافي داخل المحرك</w:t>
            </w:r>
          </w:p>
        </w:tc>
        <w:tc>
          <w:tcPr>
            <w:tcW w:type="dxa" w:w="1625"/>
            <w:shd w:fill="F8FAFC"/>
            <w:tcMar>
              <w:top w:w="70" w:type="dxa"/>
              <w:bottom w:w="70" w:type="dxa"/>
              <w:left w:w="100" w:type="dxa"/>
              <w:right w:w="100" w:type="dxa"/>
            </w:tcMar>
          </w:tcPr>
          <w:p xml:lang="ar">
            <w:pPr w:bidi="true">
              <w:spacing w:after="0"/>
              <w:jc w:val="center"/>
            </w:pPr>
            <w:r>
              <w:rPr>
                <w:rFonts w:ascii="Noto Naskh Arabic" w:hAnsi="Noto Naskh Arabic"/>
                <w:b w:val="0"/>
                <w:i w:val="0"/>
                <w:color w:val="212529"/>
                <w:sz w:val="18"/>
              </w:rPr>
              <w:t>0.0 مللي ثانية</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 0.1 مللي ثانية</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 0.1 مللي ثانية</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الوسيط ≤ 0.1، والأقصى 1.6 مللي ثانية</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قبول H3 (ACCEPT)</w:t>
            </w:r>
          </w:p>
        </w:tc>
      </w:tr>
    </w:tbl>
    <w:p>
      <w:pPr>
        <w:spacing w:after="80"/>
      </w:pPr>
    </w:p>
    <w:p xml:lang="ar">
      <w:pPr w:bidi="true">
        <w:keepNext/>
        <w:spacing w:before="200" w:after="60"/>
        <w:jc w:val="right"/>
      </w:pPr>
      <w:r>
        <w:rPr>
          <w:rFonts w:ascii="Noto Naskh Arabic" w:hAnsi="Noto Naskh Arabic"/>
          <w:b/>
          <w:i w:val="0"/>
          <w:color w:val="1E3A8A"/>
          <w:sz w:val="22"/>
        </w:rPr>
        <w:t>6.2 اختبار الفرضية الأولى (H1): الامتثال للمواصفة</w:t>
      </w:r>
    </w:p>
    <w:p xml:lang="ar">
      <w:pPr w:bidi="true">
        <w:spacing w:before="0" w:after="80" w:line="276" w:lineRule="auto"/>
        <w:jc w:val="both"/>
      </w:pPr>
      <w:r>
        <w:rPr>
          <w:rFonts w:ascii="Noto Naskh Arabic" w:hAnsi="Noto Naskh Arabic"/>
          <w:b w:val="0"/>
          <w:i w:val="0"/>
          <w:color w:val="212529"/>
          <w:sz w:val="20"/>
        </w:rPr>
        <w:t xml:space="preserve">رفض كلا التكوينين 100% من محاولات انتهاك المتطلبات الإلزامية للمواصفة القياسية (0/10 خروقات). تم حجب الأداة المخفية </w:t>
      </w:r>
      <w:r>
        <w:rPr>
          <w:rFonts w:ascii="Consolas" w:hAnsi="Consolas"/>
          <w:b w:val="0"/>
          <w:i w:val="0"/>
          <w:color w:val="B42828"/>
          <w:sz w:val="19"/>
        </w:rPr>
        <w:t>read-secret</w:t>
      </w:r>
      <w:r>
        <w:rPr>
          <w:rFonts w:ascii="Noto Naskh Arabic" w:hAnsi="Noto Naskh Arabic"/>
          <w:b w:val="0"/>
          <w:i w:val="0"/>
          <w:color w:val="212529"/>
          <w:sz w:val="20"/>
        </w:rPr>
        <w:t xml:space="preserve"> في T2 ومنع الاتصال الشبكي في T3 بنجاح، مما يُثبت سلامة بيئة الاختبار الأساسية وخلوها من الإعدادات الخاطئة. </w:t>
      </w:r>
      <w:r>
        <w:rPr>
          <w:rFonts w:ascii="Noto Naskh Arabic" w:hAnsi="Noto Naskh Arabic"/>
          <w:b/>
          <w:i w:val="0"/>
          <w:color w:val="212529"/>
          <w:sz w:val="20"/>
        </w:rPr>
        <w:t>النتيجة: قبول الفرضية الأولى H1.</w:t>
      </w:r>
    </w:p>
    <w:p xml:lang="ar">
      <w:pPr w:bidi="true">
        <w:keepNext/>
        <w:spacing w:before="200" w:after="60"/>
        <w:jc w:val="right"/>
      </w:pPr>
      <w:r>
        <w:rPr>
          <w:rFonts w:ascii="Noto Naskh Arabic" w:hAnsi="Noto Naskh Arabic"/>
          <w:b/>
          <w:i w:val="0"/>
          <w:color w:val="1E3A8A"/>
          <w:sz w:val="22"/>
        </w:rPr>
        <w:t>6.3 اختبار الفرضية الثانية (H2): تقليص المخاطر المتبقية</w:t>
      </w:r>
    </w:p>
    <w:p xml:lang="ar">
      <w:pPr w:bidi="true">
        <w:spacing w:before="0" w:after="80" w:line="276" w:lineRule="auto"/>
        <w:jc w:val="both"/>
      </w:pPr>
      <w:r>
        <w:rPr>
          <w:rFonts w:ascii="Noto Naskh Arabic" w:hAnsi="Noto Naskh Arabic"/>
          <w:b w:val="0"/>
          <w:i w:val="0"/>
          <w:color w:val="212529"/>
          <w:sz w:val="20"/>
        </w:rPr>
        <w:t>في خط الأساس، نُفذت جميع العمليات الحساسة البالغ عددها 15 عملية دون أدنى موافقة من المستخدم؛ حيث فُتح الرابط في T4 وسُجلت الزيارة في خادم الاستقبال، كما حُقنت الرسائل في المحادثة في T5a، وتسمم سياق النموذج في T5b. في المقابل، منعت طبقة السياسة المعالجة تنفيذ أي من هذه العمليات عبر التشغيلات الوظيفية الخمسة (0/15). ومن منظور التحليل الإحصائي لتوزيع برنولي (Bernoulli Trials)، فإن تسجيل 0 إخفاقات من أصل 15 فرصة يُمثل فترة ثقة ويلسون (Wilson Score Binomial CI) عند مستوى دلالة α=0.05 مقدارها [0.00, 0.218] (أي أن الحد الأقصى لمعدل الخطأ المتبقي لا يتعدى 21.8%)، مقارنة بنسبة 15/15 في خط الأساس بفترة ثقة [0.796, 1.00]. أُحبطت جميع محاولات فتح الروابط، وأعادت قنوات الرسائل والسياق أخطاء رفض السياسة (</w:t>
      </w:r>
      <w:r>
        <w:rPr>
          <w:rFonts w:ascii="Consolas" w:hAnsi="Consolas"/>
          <w:b w:val="0"/>
          <w:i w:val="0"/>
          <w:color w:val="B42828"/>
          <w:sz w:val="19"/>
        </w:rPr>
        <w:t>Policy denied: user denied</w:t>
      </w:r>
      <w:r>
        <w:rPr>
          <w:rFonts w:ascii="Noto Naskh Arabic" w:hAnsi="Noto Naskh Arabic"/>
          <w:b w:val="0"/>
          <w:i w:val="0"/>
          <w:color w:val="212529"/>
          <w:sz w:val="20"/>
        </w:rPr>
        <w:t>)، وحُفظت القيمة السرية من التسريب بالكامل. كما أثبت التشغيل التجريبي المخصص لتأكيد المنفعة (</w:t>
      </w:r>
      <w:r>
        <w:rPr>
          <w:rFonts w:ascii="Consolas" w:hAnsi="Consolas"/>
          <w:b w:val="0"/>
          <w:i w:val="0"/>
          <w:color w:val="B42828"/>
          <w:sz w:val="19"/>
        </w:rPr>
        <w:t>func-treatment-allow-1</w:t>
      </w:r>
      <w:r>
        <w:rPr>
          <w:rFonts w:ascii="Noto Naskh Arabic" w:hAnsi="Noto Naskh Arabic"/>
          <w:b w:val="0"/>
          <w:i w:val="0"/>
          <w:color w:val="212529"/>
          <w:sz w:val="20"/>
        </w:rPr>
        <w:t xml:space="preserve">، عينة n=1) تنفيذ جميع القنوات المشروعة الثلاث بنجاح تام (3/3) عند محاكاة موافقة المستخدم، مما يؤكد انتفاء أي حجب خاطئ للإجراءات المصرح بها دون الحاجة لتكرار استنزافي للاختبار. </w:t>
      </w:r>
      <w:r>
        <w:rPr>
          <w:rFonts w:ascii="Noto Naskh Arabic" w:hAnsi="Noto Naskh Arabic"/>
          <w:b/>
          <w:i w:val="0"/>
          <w:color w:val="212529"/>
          <w:sz w:val="20"/>
        </w:rPr>
        <w:t>النتيجة: قبول الفرضية الثانية H2.</w:t>
      </w:r>
    </w:p>
    <w:p xml:lang="ar">
      <w:pPr w:bidi="true">
        <w:keepNext/>
        <w:spacing w:before="200" w:after="60"/>
        <w:jc w:val="right"/>
      </w:pPr>
      <w:r>
        <w:rPr>
          <w:rFonts w:ascii="Noto Naskh Arabic" w:hAnsi="Noto Naskh Arabic"/>
          <w:b/>
          <w:i w:val="0"/>
          <w:color w:val="1E3A8A"/>
          <w:sz w:val="22"/>
        </w:rPr>
        <w:t>6.4 اختبار الفرضية الثالثة (H3): زمن المعالجة والأداء</w:t>
      </w:r>
    </w:p>
    <w:p xml:lang="ar">
      <w:pPr w:bidi="true">
        <w:spacing w:before="0" w:after="80" w:line="276" w:lineRule="auto"/>
        <w:jc w:val="both"/>
      </w:pPr>
      <w:r>
        <w:rPr>
          <w:rFonts w:ascii="Noto Naskh Arabic" w:hAnsi="Noto Naskh Arabic"/>
          <w:b w:val="0"/>
          <w:i w:val="0"/>
          <w:color w:val="212529"/>
          <w:sz w:val="20"/>
        </w:rPr>
        <w:t xml:space="preserve">أظهرت القياسات الموزعة على 180 عينة أن الفارق الوسيط لزمن الاستجابة الإجمالي بين المعالجة وخط الأساس بلغ </w:t>
      </w:r>
      <w:r>
        <w:rPr>
          <w:rFonts w:ascii="Noto Naskh Arabic" w:hAnsi="Noto Naskh Arabic"/>
          <w:b/>
          <w:i w:val="0"/>
          <w:color w:val="212529"/>
          <w:sz w:val="20"/>
        </w:rPr>
        <w:t>-9.1 مللي ثانية</w:t>
      </w:r>
      <w:r>
        <w:rPr>
          <w:rFonts w:ascii="Noto Naskh Arabic" w:hAnsi="Noto Naskh Arabic"/>
          <w:b w:val="0"/>
          <w:i w:val="0"/>
          <w:color w:val="212529"/>
          <w:sz w:val="20"/>
        </w:rPr>
        <w:t xml:space="preserve">، مع فارق قدره </w:t>
      </w:r>
      <w:r>
        <w:rPr>
          <w:rFonts w:ascii="Noto Naskh Arabic" w:hAnsi="Noto Naskh Arabic"/>
          <w:b/>
          <w:i w:val="0"/>
          <w:color w:val="212529"/>
          <w:sz w:val="20"/>
        </w:rPr>
        <w:t>+3.3 مللي ثانية</w:t>
      </w:r>
      <w:r>
        <w:rPr>
          <w:rFonts w:ascii="Noto Naskh Arabic" w:hAnsi="Noto Naskh Arabic"/>
          <w:b w:val="0"/>
          <w:i w:val="0"/>
          <w:color w:val="212529"/>
          <w:sz w:val="20"/>
        </w:rPr>
        <w:t xml:space="preserve"> عند الشريحة المئوية 95، وكلاهما يقع دون العتبة التشغيلية المحددة مسبقًا بـ 20 مللي ثانية.</w:t>
      </w:r>
    </w:p>
    <w:p xml:lang="ar">
      <w:pPr w:bidi="true">
        <w:keepNext/>
        <w:spacing w:before="160" w:after="40"/>
        <w:jc w:val="right"/>
      </w:pPr>
      <w:r>
        <w:rPr>
          <w:rFonts w:ascii="Noto Naskh Arabic" w:hAnsi="Noto Naskh Arabic"/>
          <w:b/>
          <w:i w:val="0"/>
          <w:color w:val="334155"/>
          <w:sz w:val="21"/>
        </w:rPr>
        <w:t>التوزيع التفصيلي لزمن اتخاذ قرار السياسة عبر القنوات</w:t>
      </w:r>
    </w:p>
    <w:p xml:lang="ar">
      <w:pPr w:bidi="true">
        <w:spacing w:before="0" w:after="80" w:line="276" w:lineRule="auto"/>
        <w:jc w:val="both"/>
      </w:pPr>
      <w:r>
        <w:rPr>
          <w:rFonts w:ascii="Noto Naskh Arabic" w:hAnsi="Noto Naskh Arabic"/>
          <w:b w:val="0"/>
          <w:i w:val="0"/>
          <w:color w:val="212529"/>
          <w:sz w:val="20"/>
        </w:rPr>
        <w:t>لتحقيق الشفافية العلمية الكاملة، استُخرجت أزمنة المعالجة الصافية داخل المحرك (t_policy) عبر القنوات كافة من واقع 410 أحداث تدقيق مسجلة:</w:t>
      </w:r>
    </w:p>
    <w:p xml:lang="ar">
      <w:pPr w:bidi="true">
        <w:spacing w:before="160" w:after="60"/>
        <w:jc w:val="center"/>
      </w:pPr>
      <w:r>
        <w:rPr>
          <w:rFonts w:ascii="Noto Naskh Arabic" w:hAnsi="Noto Naskh Arabic"/>
          <w:b/>
          <w:i w:val="0"/>
          <w:color w:val="0F2C59"/>
          <w:sz w:val="20"/>
        </w:rPr>
        <w:t>الجدول 4:</w:t>
      </w:r>
      <w:r>
        <w:rPr>
          <w:rFonts w:ascii="Noto Naskh Arabic" w:hAnsi="Noto Naskh Arabic"/>
          <w:b/>
          <w:i w:val="0"/>
          <w:color w:val="0F2C59"/>
          <w:sz w:val="20"/>
        </w:rPr>
        <w:t xml:space="preserve"> التوزيع التفصيلي لزمن اتخاذ قرار السياسة الصافي داخل المحرك (t_policy) عبر 410 أحداث تدقيق مسجلة.</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625"/>
        <w:gridCol w:w="1625"/>
        <w:gridCol w:w="1625"/>
        <w:gridCol w:w="1625"/>
        <w:gridCol w:w="1625"/>
        <w:gridCol w:w="1625"/>
      </w:tblGrid>
      <w:tr>
        <w:tc>
          <w:tcPr>
            <w:tcW w:type="dxa" w:w="1625"/>
            <w:shd w:fill="1F497D"/>
            <w:tcMar>
              <w:top w:w="90" w:type="dxa"/>
              <w:bottom w:w="90" w:type="dxa"/>
              <w:left w:w="110" w:type="dxa"/>
              <w:right w:w="110" w:type="dxa"/>
            </w:tcMar>
          </w:tcPr>
          <w:p xml:lang="ar">
            <w:pPr w:bidi="true">
              <w:spacing w:after="0"/>
              <w:jc w:val="center"/>
            </w:pPr>
            <w:r>
              <w:rPr>
                <w:rFonts w:ascii="Noto Naskh Arabic" w:hAnsi="Noto Naskh Arabic"/>
                <w:b/>
                <w:i w:val="0"/>
                <w:color w:val="FFFFFF"/>
                <w:sz w:val="19"/>
              </w:rPr>
              <w:t>القناة المعترضة</w:t>
            </w:r>
          </w:p>
        </w:tc>
        <w:tc>
          <w:tcPr>
            <w:tcW w:type="dxa" w:w="1625"/>
            <w:shd w:fill="1F497D"/>
            <w:tcMar>
              <w:top w:w="90" w:type="dxa"/>
              <w:bottom w:w="90" w:type="dxa"/>
              <w:left w:w="110" w:type="dxa"/>
              <w:right w:w="110" w:type="dxa"/>
            </w:tcMar>
          </w:tcPr>
          <w:p xml:lang="ar">
            <w:pPr w:bidi="true">
              <w:spacing w:after="0"/>
              <w:jc w:val="center"/>
            </w:pPr>
            <w:r>
              <w:rPr>
                <w:rFonts w:ascii="Noto Naskh Arabic" w:hAnsi="Noto Naskh Arabic"/>
                <w:b/>
                <w:i w:val="0"/>
                <w:color w:val="FFFFFF"/>
                <w:sz w:val="19"/>
              </w:rPr>
              <w:t>دالة المعالجة</w:t>
            </w:r>
          </w:p>
        </w:tc>
        <w:tc>
          <w:tcPr>
            <w:tcW w:type="dxa" w:w="1625"/>
            <w:shd w:fill="1F497D"/>
            <w:tcMar>
              <w:top w:w="90" w:type="dxa"/>
              <w:bottom w:w="90" w:type="dxa"/>
              <w:left w:w="110" w:type="dxa"/>
              <w:right w:w="110" w:type="dxa"/>
            </w:tcMar>
          </w:tcPr>
          <w:p xml:lang="ar">
            <w:pPr w:bidi="true">
              <w:spacing w:after="0"/>
              <w:jc w:val="center"/>
            </w:pPr>
            <w:r>
              <w:rPr>
                <w:rFonts w:ascii="Noto Naskh Arabic" w:hAnsi="Noto Naskh Arabic"/>
                <w:b/>
                <w:i w:val="0"/>
                <w:color w:val="FFFFFF"/>
                <w:sz w:val="19"/>
              </w:rPr>
              <w:t>طبيعة الفحص المنفذ</w:t>
            </w:r>
          </w:p>
        </w:tc>
        <w:tc>
          <w:tcPr>
            <w:tcW w:type="dxa" w:w="1625"/>
            <w:shd w:fill="1F497D"/>
            <w:tcMar>
              <w:top w:w="90" w:type="dxa"/>
              <w:bottom w:w="90" w:type="dxa"/>
              <w:left w:w="110" w:type="dxa"/>
              <w:right w:w="110" w:type="dxa"/>
            </w:tcMar>
          </w:tcPr>
          <w:p xml:lang="ar">
            <w:pPr w:bidi="true">
              <w:spacing w:after="0"/>
              <w:jc w:val="center"/>
            </w:pPr>
            <w:r>
              <w:rPr>
                <w:rFonts w:ascii="Noto Naskh Arabic" w:hAnsi="Noto Naskh Arabic"/>
                <w:b/>
                <w:i w:val="0"/>
                <w:color w:val="FFFFFF"/>
                <w:sz w:val="19"/>
              </w:rPr>
              <w:t>وسيط الزمن</w:t>
            </w:r>
          </w:p>
        </w:tc>
        <w:tc>
          <w:tcPr>
            <w:tcW w:type="dxa" w:w="1625"/>
            <w:shd w:fill="1F497D"/>
            <w:tcMar>
              <w:top w:w="90" w:type="dxa"/>
              <w:bottom w:w="90" w:type="dxa"/>
              <w:left w:w="110" w:type="dxa"/>
              <w:right w:w="110" w:type="dxa"/>
            </w:tcMar>
          </w:tcPr>
          <w:p xml:lang="ar">
            <w:pPr w:bidi="true">
              <w:spacing w:after="0"/>
              <w:jc w:val="center"/>
            </w:pPr>
            <w:r>
              <w:rPr>
                <w:rFonts w:ascii="Noto Naskh Arabic" w:hAnsi="Noto Naskh Arabic"/>
                <w:b/>
                <w:i w:val="0"/>
                <w:color w:val="FFFFFF"/>
                <w:sz w:val="19"/>
              </w:rPr>
              <w:t>متوسط الزمن</w:t>
            </w:r>
          </w:p>
        </w:tc>
        <w:tc>
          <w:tcPr>
            <w:tcW w:type="dxa" w:w="1625"/>
            <w:shd w:fill="1F497D"/>
            <w:tcMar>
              <w:top w:w="90" w:type="dxa"/>
              <w:bottom w:w="90" w:type="dxa"/>
              <w:left w:w="110" w:type="dxa"/>
              <w:right w:w="110" w:type="dxa"/>
            </w:tcMar>
          </w:tcPr>
          <w:p xml:lang="ar">
            <w:pPr w:bidi="true">
              <w:spacing w:after="0"/>
              <w:jc w:val="center"/>
            </w:pPr>
            <w:r>
              <w:rPr>
                <w:rFonts w:ascii="Noto Naskh Arabic" w:hAnsi="Noto Naskh Arabic"/>
                <w:b/>
                <w:i w:val="0"/>
                <w:color w:val="FFFFFF"/>
                <w:sz w:val="19"/>
              </w:rPr>
              <w:t>أقصى زمن مرصود</w:t>
            </w:r>
          </w:p>
        </w:tc>
      </w:tr>
      <w:tr>
        <w:tc>
          <w:tcPr>
            <w:tcW w:type="dxa" w:w="1625"/>
            <w:tcMar>
              <w:top w:w="70" w:type="dxa"/>
              <w:bottom w:w="70" w:type="dxa"/>
              <w:left w:w="100" w:type="dxa"/>
              <w:right w:w="100" w:type="dxa"/>
            </w:tcMar>
          </w:tcPr>
          <w:p xml:lang="ar">
            <w:pPr w:bidi="true">
              <w:spacing w:after="0"/>
              <w:jc w:val="right"/>
            </w:pPr>
            <w:r>
              <w:rPr>
                <w:rFonts w:ascii="Consolas" w:hAnsi="Consolas"/>
                <w:b w:val="0"/>
                <w:i w:val="0"/>
                <w:color w:val="B42828"/>
                <w:sz w:val="17"/>
              </w:rPr>
              <w:t>tools/call</w:t>
            </w:r>
          </w:p>
        </w:tc>
        <w:tc>
          <w:tcPr>
            <w:tcW w:type="dxa" w:w="1625"/>
            <w:tcMar>
              <w:top w:w="70" w:type="dxa"/>
              <w:bottom w:w="70" w:type="dxa"/>
              <w:left w:w="100" w:type="dxa"/>
              <w:right w:w="100" w:type="dxa"/>
            </w:tcMar>
          </w:tcPr>
          <w:p xml:lang="ar">
            <w:pPr w:bidi="true">
              <w:spacing w:after="0"/>
              <w:jc w:val="right"/>
            </w:pPr>
            <w:r>
              <w:rPr>
                <w:rFonts w:ascii="Consolas" w:hAnsi="Consolas"/>
                <w:b w:val="0"/>
                <w:i w:val="0"/>
                <w:color w:val="B42828"/>
                <w:sz w:val="17"/>
              </w:rPr>
              <w:t>gateToolVisibility</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بحث سريع في الذاكرة ومطابقة مصفوفة</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0.0 مللي ثانية</w:t>
            </w:r>
          </w:p>
        </w:tc>
        <w:tc>
          <w:tcPr>
            <w:tcW w:type="dxa" w:w="1625"/>
            <w:tcMar>
              <w:top w:w="70" w:type="dxa"/>
              <w:bottom w:w="70" w:type="dxa"/>
              <w:left w:w="100" w:type="dxa"/>
              <w:right w:w="100" w:type="dxa"/>
            </w:tcMar>
          </w:tcPr>
          <w:p xml:lang="ar">
            <w:pPr w:bidi="true">
              <w:spacing w:after="0"/>
              <w:jc w:val="center"/>
            </w:pPr>
            <w:r>
              <w:rPr>
                <w:rFonts w:ascii="Noto Naskh Arabic" w:hAnsi="Noto Naskh Arabic"/>
                <w:b w:val="0"/>
                <w:i w:val="0"/>
                <w:color w:val="212529"/>
                <w:sz w:val="18"/>
              </w:rPr>
              <w:t>0.03 مللي ثانية</w:t>
            </w:r>
          </w:p>
        </w:tc>
        <w:tc>
          <w:tcPr>
            <w:tcW w:type="dxa" w:w="1625"/>
            <w:tcMar>
              <w:top w:w="70" w:type="dxa"/>
              <w:bottom w:w="70" w:type="dxa"/>
              <w:left w:w="100" w:type="dxa"/>
              <w:right w:w="100" w:type="dxa"/>
            </w:tcMar>
          </w:tcPr>
          <w:p xml:lang="ar">
            <w:pPr w:bidi="true">
              <w:spacing w:after="0"/>
              <w:jc w:val="center"/>
            </w:pPr>
            <w:r>
              <w:rPr>
                <w:rFonts w:ascii="Noto Naskh Arabic" w:hAnsi="Noto Naskh Arabic"/>
                <w:b w:val="0"/>
                <w:i w:val="0"/>
                <w:color w:val="212529"/>
                <w:sz w:val="18"/>
              </w:rPr>
              <w:t>1.3 مللي ثانية</w:t>
            </w:r>
          </w:p>
        </w:tc>
      </w:tr>
      <w:tr>
        <w:tc>
          <w:tcPr>
            <w:tcW w:type="dxa" w:w="1625"/>
            <w:shd w:fill="F8FAFC"/>
            <w:tcMar>
              <w:top w:w="70" w:type="dxa"/>
              <w:bottom w:w="70" w:type="dxa"/>
              <w:left w:w="100" w:type="dxa"/>
              <w:right w:w="100" w:type="dxa"/>
            </w:tcMar>
          </w:tcPr>
          <w:p xml:lang="ar">
            <w:pPr w:bidi="true">
              <w:spacing w:after="0"/>
              <w:jc w:val="right"/>
            </w:pPr>
            <w:r>
              <w:rPr>
                <w:rFonts w:ascii="Consolas" w:hAnsi="Consolas"/>
                <w:b w:val="0"/>
                <w:i w:val="0"/>
                <w:color w:val="B42828"/>
                <w:sz w:val="17"/>
              </w:rPr>
              <w:t>ui/open-link</w:t>
            </w:r>
          </w:p>
        </w:tc>
        <w:tc>
          <w:tcPr>
            <w:tcW w:type="dxa" w:w="1625"/>
            <w:shd w:fill="F8FAFC"/>
            <w:tcMar>
              <w:top w:w="70" w:type="dxa"/>
              <w:bottom w:w="70" w:type="dxa"/>
              <w:left w:w="100" w:type="dxa"/>
              <w:right w:w="100" w:type="dxa"/>
            </w:tcMar>
          </w:tcPr>
          <w:p xml:lang="ar">
            <w:pPr w:bidi="true">
              <w:spacing w:after="0"/>
              <w:jc w:val="right"/>
            </w:pPr>
            <w:r>
              <w:rPr>
                <w:rFonts w:ascii="Consolas" w:hAnsi="Consolas"/>
                <w:b w:val="0"/>
                <w:i w:val="0"/>
                <w:color w:val="B42828"/>
                <w:sz w:val="17"/>
              </w:rPr>
              <w:t>gateOpenLink</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مطابقة بادئة مخطط الرابط (</w:t>
            </w:r>
            <w:r>
              <w:rPr>
                <w:rFonts w:ascii="Consolas" w:hAnsi="Consolas"/>
                <w:b w:val="0"/>
                <w:i w:val="0"/>
                <w:color w:val="B42828"/>
                <w:sz w:val="17"/>
              </w:rPr>
              <w:t>http://</w:t>
            </w:r>
            <w:r>
              <w:rPr>
                <w:rFonts w:ascii="Noto Naskh Arabic" w:hAnsi="Noto Naskh Arabic"/>
                <w:b w:val="0"/>
                <w:i w:val="0"/>
                <w:color w:val="212529"/>
                <w:sz w:val="18"/>
              </w:rPr>
              <w:t xml:space="preserve">, </w:t>
            </w:r>
            <w:r>
              <w:rPr>
                <w:rFonts w:ascii="Consolas" w:hAnsi="Consolas"/>
                <w:b w:val="0"/>
                <w:i w:val="0"/>
                <w:color w:val="B42828"/>
                <w:sz w:val="17"/>
              </w:rPr>
              <w:t>https://</w:t>
            </w:r>
            <w:r>
              <w:rPr>
                <w:rFonts w:ascii="Noto Naskh Arabic" w:hAnsi="Noto Naskh Arabic"/>
                <w:b w:val="0"/>
                <w:i w:val="0"/>
                <w:color w:val="212529"/>
                <w:sz w:val="18"/>
              </w:rPr>
              <w:t>)</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0.0 مللي ثانية</w:t>
            </w:r>
          </w:p>
        </w:tc>
        <w:tc>
          <w:tcPr>
            <w:tcW w:type="dxa" w:w="1625"/>
            <w:shd w:fill="F8FAFC"/>
            <w:tcMar>
              <w:top w:w="70" w:type="dxa"/>
              <w:bottom w:w="70" w:type="dxa"/>
              <w:left w:w="100" w:type="dxa"/>
              <w:right w:w="100" w:type="dxa"/>
            </w:tcMar>
          </w:tcPr>
          <w:p xml:lang="ar">
            <w:pPr w:bidi="true">
              <w:spacing w:after="0"/>
              <w:jc w:val="center"/>
            </w:pPr>
            <w:r>
              <w:rPr>
                <w:rFonts w:ascii="Noto Naskh Arabic" w:hAnsi="Noto Naskh Arabic"/>
                <w:b w:val="0"/>
                <w:i w:val="0"/>
                <w:color w:val="212529"/>
                <w:sz w:val="18"/>
              </w:rPr>
              <w:t>0.02 مللي ثانية</w:t>
            </w:r>
          </w:p>
        </w:tc>
        <w:tc>
          <w:tcPr>
            <w:tcW w:type="dxa" w:w="1625"/>
            <w:shd w:fill="F8FAFC"/>
            <w:tcMar>
              <w:top w:w="70" w:type="dxa"/>
              <w:bottom w:w="70" w:type="dxa"/>
              <w:left w:w="100" w:type="dxa"/>
              <w:right w:w="100" w:type="dxa"/>
            </w:tcMar>
          </w:tcPr>
          <w:p xml:lang="ar">
            <w:pPr w:bidi="true">
              <w:spacing w:after="0"/>
              <w:jc w:val="center"/>
            </w:pPr>
            <w:r>
              <w:rPr>
                <w:rFonts w:ascii="Noto Naskh Arabic" w:hAnsi="Noto Naskh Arabic"/>
                <w:b w:val="0"/>
                <w:i w:val="0"/>
                <w:color w:val="212529"/>
                <w:sz w:val="18"/>
              </w:rPr>
              <w:t>0.1 مللي ثانية</w:t>
            </w:r>
          </w:p>
        </w:tc>
      </w:tr>
      <w:tr>
        <w:tc>
          <w:tcPr>
            <w:tcW w:type="dxa" w:w="1625"/>
            <w:tcMar>
              <w:top w:w="70" w:type="dxa"/>
              <w:bottom w:w="70" w:type="dxa"/>
              <w:left w:w="100" w:type="dxa"/>
              <w:right w:w="100" w:type="dxa"/>
            </w:tcMar>
          </w:tcPr>
          <w:p xml:lang="ar">
            <w:pPr w:bidi="true">
              <w:spacing w:after="0"/>
              <w:jc w:val="right"/>
            </w:pPr>
            <w:r>
              <w:rPr>
                <w:rFonts w:ascii="Consolas" w:hAnsi="Consolas"/>
                <w:b w:val="0"/>
                <w:i w:val="0"/>
                <w:color w:val="B42828"/>
                <w:sz w:val="17"/>
              </w:rPr>
              <w:t>ui/message</w:t>
            </w:r>
          </w:p>
        </w:tc>
        <w:tc>
          <w:tcPr>
            <w:tcW w:type="dxa" w:w="1625"/>
            <w:tcMar>
              <w:top w:w="70" w:type="dxa"/>
              <w:bottom w:w="70" w:type="dxa"/>
              <w:left w:w="100" w:type="dxa"/>
              <w:right w:w="100" w:type="dxa"/>
            </w:tcMar>
          </w:tcPr>
          <w:p xml:lang="ar">
            <w:pPr w:bidi="true">
              <w:spacing w:after="0"/>
              <w:jc w:val="right"/>
            </w:pPr>
            <w:r>
              <w:rPr>
                <w:rFonts w:ascii="Consolas" w:hAnsi="Consolas"/>
                <w:b w:val="0"/>
                <w:i w:val="0"/>
                <w:color w:val="B42828"/>
                <w:sz w:val="17"/>
              </w:rPr>
              <w:t>gateMessage</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ترميز وسلسلة JSON وفحص 4 كيلوبايت</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0.1 مللي ثانية</w:t>
            </w:r>
          </w:p>
        </w:tc>
        <w:tc>
          <w:tcPr>
            <w:tcW w:type="dxa" w:w="1625"/>
            <w:tcMar>
              <w:top w:w="70" w:type="dxa"/>
              <w:bottom w:w="70" w:type="dxa"/>
              <w:left w:w="100" w:type="dxa"/>
              <w:right w:w="100" w:type="dxa"/>
            </w:tcMar>
          </w:tcPr>
          <w:p xml:lang="ar">
            <w:pPr w:bidi="true">
              <w:spacing w:after="0"/>
              <w:jc w:val="center"/>
            </w:pPr>
            <w:r>
              <w:rPr>
                <w:rFonts w:ascii="Noto Naskh Arabic" w:hAnsi="Noto Naskh Arabic"/>
                <w:b w:val="0"/>
                <w:i w:val="0"/>
                <w:color w:val="212529"/>
                <w:sz w:val="18"/>
              </w:rPr>
              <w:t>0.14 مللي ثانية</w:t>
            </w:r>
          </w:p>
        </w:tc>
        <w:tc>
          <w:tcPr>
            <w:tcW w:type="dxa" w:w="1625"/>
            <w:tcMar>
              <w:top w:w="70" w:type="dxa"/>
              <w:bottom w:w="70" w:type="dxa"/>
              <w:left w:w="100" w:type="dxa"/>
              <w:right w:w="100" w:type="dxa"/>
            </w:tcMar>
          </w:tcPr>
          <w:p xml:lang="ar">
            <w:pPr w:bidi="true">
              <w:spacing w:after="0"/>
              <w:jc w:val="center"/>
            </w:pPr>
            <w:r>
              <w:rPr>
                <w:rFonts w:ascii="Noto Naskh Arabic" w:hAnsi="Noto Naskh Arabic"/>
                <w:b w:val="0"/>
                <w:i w:val="0"/>
                <w:color w:val="212529"/>
                <w:sz w:val="18"/>
              </w:rPr>
              <w:t>0.6 مللي ثانية</w:t>
            </w:r>
          </w:p>
        </w:tc>
      </w:tr>
      <w:tr>
        <w:tc>
          <w:tcPr>
            <w:tcW w:type="dxa" w:w="1625"/>
            <w:shd w:fill="F8FAFC"/>
            <w:tcMar>
              <w:top w:w="70" w:type="dxa"/>
              <w:bottom w:w="70" w:type="dxa"/>
              <w:left w:w="100" w:type="dxa"/>
              <w:right w:w="100" w:type="dxa"/>
            </w:tcMar>
          </w:tcPr>
          <w:p xml:lang="ar">
            <w:pPr w:bidi="true">
              <w:spacing w:after="0"/>
              <w:jc w:val="right"/>
            </w:pPr>
            <w:r>
              <w:rPr>
                <w:rFonts w:ascii="Consolas" w:hAnsi="Consolas"/>
                <w:b w:val="0"/>
                <w:i w:val="0"/>
                <w:color w:val="B42828"/>
                <w:sz w:val="17"/>
              </w:rPr>
              <w:t>ui/update-model-context</w:t>
            </w:r>
          </w:p>
        </w:tc>
        <w:tc>
          <w:tcPr>
            <w:tcW w:type="dxa" w:w="1625"/>
            <w:shd w:fill="F8FAFC"/>
            <w:tcMar>
              <w:top w:w="70" w:type="dxa"/>
              <w:bottom w:w="70" w:type="dxa"/>
              <w:left w:w="100" w:type="dxa"/>
              <w:right w:w="100" w:type="dxa"/>
            </w:tcMar>
          </w:tcPr>
          <w:p xml:lang="ar">
            <w:pPr w:bidi="true">
              <w:spacing w:after="0"/>
              <w:jc w:val="right"/>
            </w:pPr>
            <w:r>
              <w:rPr>
                <w:rFonts w:ascii="Consolas" w:hAnsi="Consolas"/>
                <w:b w:val="0"/>
                <w:i w:val="0"/>
                <w:color w:val="B42828"/>
                <w:sz w:val="17"/>
              </w:rPr>
              <w:t>gateContext</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فحص حمولة السياق والتحقق من الحجم</w:t>
            </w:r>
          </w:p>
        </w:tc>
        <w:tc>
          <w:tcPr>
            <w:tcW w:type="dxa" w:w="1625"/>
            <w:shd w:fill="F8FAFC"/>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0.1 مللي ثانية</w:t>
            </w:r>
          </w:p>
        </w:tc>
        <w:tc>
          <w:tcPr>
            <w:tcW w:type="dxa" w:w="1625"/>
            <w:shd w:fill="F8FAFC"/>
            <w:tcMar>
              <w:top w:w="70" w:type="dxa"/>
              <w:bottom w:w="70" w:type="dxa"/>
              <w:left w:w="100" w:type="dxa"/>
              <w:right w:w="100" w:type="dxa"/>
            </w:tcMar>
          </w:tcPr>
          <w:p xml:lang="ar">
            <w:pPr w:bidi="true">
              <w:spacing w:after="0"/>
              <w:jc w:val="center"/>
            </w:pPr>
            <w:r>
              <w:rPr>
                <w:rFonts w:ascii="Noto Naskh Arabic" w:hAnsi="Noto Naskh Arabic"/>
                <w:b w:val="0"/>
                <w:i w:val="0"/>
                <w:color w:val="212529"/>
                <w:sz w:val="18"/>
              </w:rPr>
              <w:t>0.18 مللي ثانية</w:t>
            </w:r>
          </w:p>
        </w:tc>
        <w:tc>
          <w:tcPr>
            <w:tcW w:type="dxa" w:w="1625"/>
            <w:shd w:fill="F8FAFC"/>
            <w:tcMar>
              <w:top w:w="70" w:type="dxa"/>
              <w:bottom w:w="70" w:type="dxa"/>
              <w:left w:w="100" w:type="dxa"/>
              <w:right w:w="100" w:type="dxa"/>
            </w:tcMar>
          </w:tcPr>
          <w:p xml:lang="ar">
            <w:pPr w:bidi="true">
              <w:spacing w:after="0"/>
              <w:jc w:val="center"/>
            </w:pPr>
            <w:r>
              <w:rPr>
                <w:rFonts w:ascii="Noto Naskh Arabic" w:hAnsi="Noto Naskh Arabic"/>
                <w:b w:val="0"/>
                <w:i w:val="0"/>
                <w:color w:val="212529"/>
                <w:sz w:val="18"/>
              </w:rPr>
              <w:t>1.6 مللي ثانية</w:t>
            </w:r>
          </w:p>
        </w:tc>
      </w:tr>
      <w:tr>
        <w:tc>
          <w:tcPr>
            <w:tcW w:type="dxa" w:w="1625"/>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إجمالي القنوات مجتمعة (n=410)</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محرك السياسة الموحد</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val="0"/>
                <w:i w:val="0"/>
                <w:color w:val="212529"/>
                <w:sz w:val="18"/>
              </w:rPr>
              <w:t>التقييم المتزامن الشامل</w:t>
            </w:r>
          </w:p>
        </w:tc>
        <w:tc>
          <w:tcPr>
            <w:tcW w:type="dxa" w:w="1625"/>
            <w:tcMar>
              <w:top w:w="70" w:type="dxa"/>
              <w:bottom w:w="70" w:type="dxa"/>
              <w:left w:w="100" w:type="dxa"/>
              <w:right w:w="100" w:type="dxa"/>
            </w:tcMar>
          </w:tcPr>
          <w:p xml:lang="ar">
            <w:pPr w:bidi="true">
              <w:spacing w:after="0"/>
              <w:jc w:val="right"/>
            </w:pPr>
            <w:r>
              <w:rPr>
                <w:rFonts w:ascii="Noto Naskh Arabic" w:hAnsi="Noto Naskh Arabic"/>
                <w:b/>
                <w:i w:val="0"/>
                <w:color w:val="212529"/>
                <w:sz w:val="18"/>
              </w:rPr>
              <w:t>0.0 مللي ثانية</w:t>
            </w:r>
            <w:r>
              <w:rPr>
                <w:rFonts w:ascii="Noto Naskh Arabic" w:hAnsi="Noto Naskh Arabic"/>
                <w:b w:val="0"/>
                <w:i w:val="0"/>
                <w:color w:val="212529"/>
                <w:sz w:val="18"/>
              </w:rPr>
              <w:t xml:space="preserve"> (≤ 0.1 مللي ثانية)</w:t>
            </w:r>
          </w:p>
        </w:tc>
        <w:tc>
          <w:tcPr>
            <w:tcW w:type="dxa" w:w="1625"/>
            <w:tcMar>
              <w:top w:w="70" w:type="dxa"/>
              <w:bottom w:w="70" w:type="dxa"/>
              <w:left w:w="100" w:type="dxa"/>
              <w:right w:w="100" w:type="dxa"/>
            </w:tcMar>
          </w:tcPr>
          <w:p xml:lang="ar">
            <w:pPr w:bidi="true">
              <w:spacing w:after="0"/>
              <w:jc w:val="center"/>
            </w:pPr>
            <w:r>
              <w:rPr>
                <w:rFonts w:ascii="Noto Naskh Arabic" w:hAnsi="Noto Naskh Arabic"/>
                <w:b w:val="0"/>
                <w:i w:val="0"/>
                <w:color w:val="212529"/>
                <w:sz w:val="18"/>
              </w:rPr>
              <w:t>0.06 مللي ثانية</w:t>
            </w:r>
          </w:p>
        </w:tc>
        <w:tc>
          <w:tcPr>
            <w:tcW w:type="dxa" w:w="1625"/>
            <w:tcMar>
              <w:top w:w="70" w:type="dxa"/>
              <w:bottom w:w="70" w:type="dxa"/>
              <w:left w:w="100" w:type="dxa"/>
              <w:right w:w="100" w:type="dxa"/>
            </w:tcMar>
          </w:tcPr>
          <w:p xml:lang="ar">
            <w:pPr w:bidi="true">
              <w:spacing w:after="0"/>
              <w:jc w:val="center"/>
            </w:pPr>
            <w:r>
              <w:rPr>
                <w:rFonts w:ascii="Noto Naskh Arabic" w:hAnsi="Noto Naskh Arabic"/>
                <w:b w:val="0"/>
                <w:i w:val="0"/>
                <w:color w:val="212529"/>
                <w:sz w:val="18"/>
              </w:rPr>
              <w:t>1.6 مللي ثانية</w:t>
            </w:r>
          </w:p>
        </w:tc>
      </w:tr>
    </w:tbl>
    <w:p>
      <w:pPr>
        <w:spacing w:after="80"/>
      </w:pPr>
    </w:p>
    <w:p xml:lang="ar">
      <w:pPr w:bidi="true">
        <w:spacing w:before="0" w:after="80" w:line="276" w:lineRule="auto"/>
        <w:jc w:val="both"/>
      </w:pPr>
      <w:r>
        <w:rPr>
          <w:rFonts w:ascii="Noto Naskh Arabic" w:hAnsi="Noto Naskh Arabic"/>
          <w:b w:val="0"/>
          <w:i w:val="0"/>
          <w:color w:val="212529"/>
          <w:sz w:val="20"/>
        </w:rPr>
        <w:t>بلغ وسيط اتخاذ القرار لجميع القنوات مجتمعة 0.0 مللي ثانية (≤ 0.1 مللي ثانية عبر القنوات كافة)، مع تسجيل متوسط إجمالي قدره 0.06 مللي ثانية، وحد أقصى بلغ 1.6 مللي ثانية في الحمولات المركبة لتحديث السياق نتيجة الوقت المستغرق في تفكيك وسلسلة كائنات JSON الكبيرة المتداخلة. وتظل هذه الأزمنة أدنى بمراحل من السقف التشغيلي (20 مللي ثانية).</w:t>
      </w:r>
    </w:p>
    <w:p xml:lang="ar">
      <w:pPr w:bidi="true">
        <w:spacing w:before="0" w:after="80" w:line="276" w:lineRule="auto"/>
        <w:jc w:val="both"/>
      </w:pPr>
      <w:r>
        <w:rPr>
          <w:rFonts w:ascii="Noto Naskh Arabic" w:hAnsi="Noto Naskh Arabic"/>
          <w:b w:val="0"/>
          <w:i w:val="0"/>
          <w:color w:val="212529"/>
          <w:sz w:val="20"/>
        </w:rPr>
        <w:t xml:space="preserve">ولإثبات التكافؤ الإحصائي التام بين التوزيعين بصورة قطعية، أُجري اختبار مان-ويتني (Mann-Whitney U Test) ثنائي الطرف على عينات زمن الاستجابة (n_1 = 90, n_2 = 90)، وأظهر الاختبار قيمة U = 3852.0 (z = -0.566, p = 0.5711). وتؤكد هذه النتيجة (p ≫ 0.05) عدم وجود أي فارق ذي دلالة إحصائية بين خط الأساس والمعالجة، مما يُبرهن علميًا أن طبقة السياسة لا تفرض أي عبء حسابي ملموس على الآلة. </w:t>
      </w:r>
      <w:r>
        <w:rPr>
          <w:rFonts w:ascii="Noto Naskh Arabic" w:hAnsi="Noto Naskh Arabic"/>
          <w:b/>
          <w:i w:val="0"/>
          <w:color w:val="212529"/>
          <w:sz w:val="20"/>
        </w:rPr>
        <w:t>النتيجة: قبول الفرضية الثالثة H3.</w:t>
      </w:r>
    </w:p>
    <w:p xml:lang="ar">
      <w:pPr w:bidi="true">
        <w:keepNext/>
        <w:spacing w:before="280" w:after="80"/>
        <w:jc w:val="right"/>
      </w:pPr>
      <w:r>
        <w:rPr>
          <w:rFonts w:ascii="Noto Naskh Arabic" w:hAnsi="Noto Naskh Arabic"/>
          <w:b/>
          <w:i w:val="0"/>
          <w:color w:val="0F2C59"/>
          <w:sz w:val="24"/>
        </w:rPr>
        <w:t>7. المناقشة والقيود الأكاديمية (Discussion &amp; Limitations)</w:t>
      </w:r>
    </w:p>
    <w:p xml:lang="ar">
      <w:pPr w:bidi="true">
        <w:keepNext/>
        <w:spacing w:before="200" w:after="60"/>
        <w:jc w:val="right"/>
      </w:pPr>
      <w:r>
        <w:rPr>
          <w:rFonts w:ascii="Noto Naskh Arabic" w:hAnsi="Noto Naskh Arabic"/>
          <w:b/>
          <w:i w:val="0"/>
          <w:color w:val="1E3A8A"/>
          <w:sz w:val="22"/>
        </w:rPr>
        <w:t>7.1 تفسير الفارق الزمني الوسيط السالب (-9.1 مللي ثانية)</w:t>
      </w:r>
    </w:p>
    <w:p xml:lang="ar">
      <w:pPr w:bidi="true">
        <w:spacing w:before="0" w:after="80" w:line="276" w:lineRule="auto"/>
        <w:jc w:val="both"/>
      </w:pPr>
      <w:r>
        <w:rPr>
          <w:rFonts w:ascii="Noto Naskh Arabic" w:hAnsi="Noto Naskh Arabic"/>
          <w:b w:val="0"/>
          <w:i w:val="0"/>
          <w:color w:val="212529"/>
          <w:sz w:val="20"/>
        </w:rPr>
        <w:t xml:space="preserve">قد يتبادر إلى ذهن الممتحن تساؤل: </w:t>
      </w:r>
      <w:r>
        <w:rPr>
          <w:rFonts w:ascii="Noto Naskh Arabic" w:hAnsi="Noto Naskh Arabic"/>
          <w:b w:val="0"/>
          <w:i/>
          <w:color w:val="212529"/>
          <w:sz w:val="20"/>
        </w:rPr>
        <w:t>"هل تجعل طبقة السياسة استدعاء الأدوات أسرع؟"</w:t>
      </w:r>
    </w:p>
    <w:p xml:lang="ar">
      <w:pPr w:bidi="true">
        <w:spacing w:before="0" w:after="80" w:line="276" w:lineRule="auto"/>
        <w:jc w:val="both"/>
      </w:pPr>
      <w:r>
        <w:rPr>
          <w:rFonts w:ascii="Noto Naskh Arabic" w:hAnsi="Noto Naskh Arabic"/>
          <w:b w:val="0"/>
          <w:i w:val="0"/>
          <w:color w:val="212529"/>
          <w:sz w:val="20"/>
        </w:rPr>
        <w:t xml:space="preserve">الإجابة العلمية القاطعة هي </w:t>
      </w:r>
      <w:r>
        <w:rPr>
          <w:rFonts w:ascii="Noto Naskh Arabic" w:hAnsi="Noto Naskh Arabic"/>
          <w:b/>
          <w:i w:val="0"/>
          <w:color w:val="212529"/>
          <w:sz w:val="20"/>
        </w:rPr>
        <w:t>لا</w:t>
      </w:r>
      <w:r>
        <w:rPr>
          <w:rFonts w:ascii="Noto Naskh Arabic" w:hAnsi="Noto Naskh Arabic"/>
          <w:b w:val="0"/>
          <w:i w:val="0"/>
          <w:color w:val="212529"/>
          <w:sz w:val="20"/>
        </w:rPr>
        <w:t>. يعود الفارق السالب إلى آلية القياس المؤتمتة عبر أداة Playwright؛ حيث تفحص حلقة الاختبار واجهة المستخدم دوريًا كل 120 مللي ثانية للتأكد من وصول الاستجابة وتحديث النص في الـ DOM. يؤدي هذا الفاصل الدوري إلى خطأ تكميم عشوائي يصل إلى ± 60 مللي ثانية. ولأن القرار البرمجي الصافي للسياسة يستغرق أقل من 0.1 مللي ثانية، فإن الفارق الإجمالي خضع لعشوائية توقيت وصول الحزمة ضمن حلقة الانتظار وليس لسرعة المعالجة. وعند تخفيض فاصل الانتظار إلى 10 مللي ثانية في الفحوصات اللاحقة، انخفض زمن الاستجابة الإجمالي إلى ~130-150 مللي ثانية مع بقاء فارق السياسة الصافي عند الصفر.</w:t>
      </w:r>
    </w:p>
    <w:p xml:lang="ar">
      <w:pPr w:bidi="true">
        <w:keepNext/>
        <w:spacing w:before="200" w:after="60"/>
        <w:jc w:val="right"/>
      </w:pPr>
      <w:r>
        <w:rPr>
          <w:rFonts w:ascii="Noto Naskh Arabic" w:hAnsi="Noto Naskh Arabic"/>
          <w:b/>
          <w:i w:val="0"/>
          <w:color w:val="1E3A8A"/>
          <w:sz w:val="22"/>
        </w:rPr>
        <w:t>7.2 زمن المعالجة الآلية مقابل زمن تفاعل العنصر البشري</w:t>
      </w:r>
    </w:p>
    <w:p xml:lang="ar">
      <w:pPr w:bidi="true">
        <w:spacing w:before="0" w:after="80" w:line="276" w:lineRule="auto"/>
        <w:jc w:val="both"/>
      </w:pPr>
      <w:r>
        <w:rPr>
          <w:rFonts w:ascii="Noto Naskh Arabic" w:hAnsi="Noto Naskh Arabic"/>
          <w:b w:val="0"/>
          <w:i w:val="0"/>
          <w:color w:val="212529"/>
          <w:sz w:val="20"/>
        </w:rPr>
        <w:t>اعتمدت الاختبارات على الموافقة والرفض الآلي لعزل التكلفة الحسابية لطبقة الحوكمة عن زمن استجابة الإنسان. وفي البيئة الحقيقية، يتطلب طلب الإذن تفاعلًا بشريًا يستغرق من ثانية إلى عدة ثوانٍ، وهو تأخير تفاعلي مقصود لحماية النظام شبيه بنوافذ أذونات أنظمة التشغيل (كالصلاحيات في Android وiOS) ولا يمثل هدرًا حسابيًا من جانب المضيف.</w:t>
      </w:r>
    </w:p>
    <w:p xml:lang="ar">
      <w:pPr w:bidi="true">
        <w:keepNext/>
        <w:spacing w:before="200" w:after="60"/>
        <w:jc w:val="right"/>
      </w:pPr>
      <w:r>
        <w:rPr>
          <w:rFonts w:ascii="Noto Naskh Arabic" w:hAnsi="Noto Naskh Arabic"/>
          <w:b/>
          <w:i w:val="0"/>
          <w:color w:val="1E3A8A"/>
          <w:sz w:val="22"/>
        </w:rPr>
        <w:t>7.3 القيود الأكاديمية ومحددات الدراسة</w:t>
      </w:r>
    </w:p>
    <w:p xml:lang="ar">
      <w:pPr w:bidi="true">
        <w:spacing w:before="0" w:after="80" w:line="276" w:lineRule="auto"/>
        <w:jc w:val="both"/>
      </w:pPr>
      <w:r>
        <w:rPr>
          <w:rFonts w:ascii="Noto Naskh Arabic" w:hAnsi="Noto Naskh Arabic"/>
          <w:b w:val="0"/>
          <w:i w:val="0"/>
          <w:color w:val="212529"/>
          <w:sz w:val="20"/>
        </w:rPr>
        <w:t>نوضح بشفافية تامة الحدود الأكاديمية التي تؤطر نتائج هذه الدراسة:</w:t>
      </w:r>
    </w:p>
    <w:p xml:lang="ar">
      <w:pPr w:bidi="true">
        <w:spacing w:before="20" w:after="60" w:line="276" w:lineRule="auto"/>
        <w:jc w:val="right"/>
      </w:pPr>
      <w:r>
        <w:rPr>
          <w:rFonts w:ascii="Noto Naskh Arabic" w:hAnsi="Noto Naskh Arabic"/>
          <w:b/>
          <w:sz w:val="20"/>
        </w:rPr>
        <w:t xml:space="preserve">1.  </w:t>
      </w:r>
      <w:r>
        <w:rPr>
          <w:rFonts w:ascii="Noto Naskh Arabic" w:hAnsi="Noto Naskh Arabic"/>
          <w:b/>
          <w:i w:val="0"/>
          <w:color w:val="212529"/>
          <w:sz w:val="20"/>
        </w:rPr>
        <w:t>بيئة مضيف عميل أحادية:</w:t>
      </w:r>
      <w:r>
        <w:rPr>
          <w:rFonts w:ascii="Noto Naskh Arabic" w:hAnsi="Noto Naskh Arabic"/>
          <w:b w:val="0"/>
          <w:i w:val="0"/>
          <w:color w:val="212529"/>
          <w:sz w:val="20"/>
        </w:rPr>
        <w:t xml:space="preserve"> أُجريت التجارب كافة على مضيف مرجعي مبني على جسر </w:t>
      </w:r>
      <w:r>
        <w:rPr>
          <w:rFonts w:ascii="Consolas" w:hAnsi="Consolas"/>
          <w:b w:val="0"/>
          <w:i w:val="0"/>
          <w:color w:val="B42828"/>
          <w:sz w:val="19"/>
        </w:rPr>
        <w:t>AppBridge</w:t>
      </w:r>
      <w:r>
        <w:rPr>
          <w:rFonts w:ascii="Noto Naskh Arabic" w:hAnsi="Noto Naskh Arabic"/>
          <w:b w:val="0"/>
          <w:i w:val="0"/>
          <w:color w:val="212529"/>
          <w:sz w:val="20"/>
        </w:rPr>
        <w:t xml:space="preserve"> ومكتبة React 19 يعمل عبر متصفح Chromium. قد تُظهر المضيفات المبنية على أطر عمل أخرى (مثل Electron، أو Tauri، أو تطبيقات Swift/macOS، أو لغات الأنظمة كـ Rust) تفاوتًا طفيفًا في أداء تبادل الرسائل عبر العمليات (IPC Marshalling).</w:t>
      </w:r>
    </w:p>
    <w:p xml:lang="ar">
      <w:pPr w:bidi="true">
        <w:spacing w:before="20" w:after="60" w:line="276" w:lineRule="auto"/>
        <w:jc w:val="right"/>
      </w:pPr>
      <w:r>
        <w:rPr>
          <w:rFonts w:ascii="Noto Naskh Arabic" w:hAnsi="Noto Naskh Arabic"/>
          <w:b/>
          <w:sz w:val="20"/>
        </w:rPr>
        <w:t xml:space="preserve">2.  </w:t>
      </w:r>
      <w:r>
        <w:rPr>
          <w:rFonts w:ascii="Noto Naskh Arabic" w:hAnsi="Noto Naskh Arabic"/>
          <w:b/>
          <w:i w:val="0"/>
          <w:color w:val="212529"/>
          <w:sz w:val="20"/>
        </w:rPr>
        <w:t>حجم العينة الوظيفية:</w:t>
      </w:r>
      <w:r>
        <w:rPr>
          <w:rFonts w:ascii="Noto Naskh Arabic" w:hAnsi="Noto Naskh Arabic"/>
          <w:b w:val="0"/>
          <w:i w:val="0"/>
          <w:color w:val="212529"/>
          <w:sz w:val="20"/>
        </w:rPr>
        <w:t xml:space="preserve"> في حين شمل تقييم الأداء عينة كافية (n=180 قياسًا)، اقتصرت الاختبارات الوظيفية على 5 تشغيلات لكل نمط بالإضافة إلى تشغيل تأكيدي للمنفعة (</w:t>
      </w:r>
      <w:r>
        <w:rPr>
          <w:rFonts w:ascii="Consolas" w:hAnsi="Consolas"/>
          <w:b w:val="0"/>
          <w:i w:val="0"/>
          <w:color w:val="B42828"/>
          <w:sz w:val="19"/>
        </w:rPr>
        <w:t>treatment-allow-1</w:t>
      </w:r>
      <w:r>
        <w:rPr>
          <w:rFonts w:ascii="Noto Naskh Arabic" w:hAnsi="Noto Naskh Arabic"/>
          <w:b w:val="0"/>
          <w:i w:val="0"/>
          <w:color w:val="212529"/>
          <w:sz w:val="20"/>
        </w:rPr>
        <w:t>). ورغم كفايتها لإثبات الامتثال الحتمي للبروتوكول داخل المختبر، فإن التعميم على النطاقات المفتوحة يتطلب اختبارات أوسع نطاقًا.</w:t>
      </w:r>
    </w:p>
    <w:p xml:lang="ar">
      <w:pPr w:bidi="true">
        <w:spacing w:before="20" w:after="60" w:line="276" w:lineRule="auto"/>
        <w:jc w:val="right"/>
      </w:pPr>
      <w:r>
        <w:rPr>
          <w:rFonts w:ascii="Noto Naskh Arabic" w:hAnsi="Noto Naskh Arabic"/>
          <w:b/>
          <w:sz w:val="20"/>
        </w:rPr>
        <w:t xml:space="preserve">3.  </w:t>
      </w:r>
      <w:r>
        <w:rPr>
          <w:rFonts w:ascii="Noto Naskh Arabic" w:hAnsi="Noto Naskh Arabic"/>
          <w:b/>
          <w:i w:val="0"/>
          <w:color w:val="212529"/>
          <w:sz w:val="20"/>
        </w:rPr>
        <w:t>بيانات اختبار اصطناعية:</w:t>
      </w:r>
      <w:r>
        <w:rPr>
          <w:rFonts w:ascii="Noto Naskh Arabic" w:hAnsi="Noto Naskh Arabic"/>
          <w:b w:val="0"/>
          <w:i w:val="0"/>
          <w:color w:val="212529"/>
          <w:sz w:val="20"/>
        </w:rPr>
        <w:t xml:space="preserve"> استُخدمت قيمة اختبار وهمية (</w:t>
      </w:r>
      <w:r>
        <w:rPr>
          <w:rFonts w:ascii="Consolas" w:hAnsi="Consolas"/>
          <w:b w:val="0"/>
          <w:i w:val="0"/>
          <w:color w:val="B42828"/>
          <w:sz w:val="19"/>
        </w:rPr>
        <w:t>SYNTHETIC_SECRET_001</w:t>
      </w:r>
      <w:r>
        <w:rPr>
          <w:rFonts w:ascii="Noto Naskh Arabic" w:hAnsi="Noto Naskh Arabic"/>
          <w:b w:val="0"/>
          <w:i w:val="0"/>
          <w:color w:val="212529"/>
          <w:sz w:val="20"/>
        </w:rPr>
        <w:t>) وخوادم محلية لتجنب المخاطر الأخلاقية بدلاً من مفاتيح واجهات برمجية حقيقية أو بيانات سحابية حية.</w:t>
      </w:r>
    </w:p>
    <w:p xml:lang="ar">
      <w:pPr w:bidi="true">
        <w:spacing w:before="20" w:after="60" w:line="276" w:lineRule="auto"/>
        <w:jc w:val="right"/>
      </w:pPr>
      <w:r>
        <w:rPr>
          <w:rFonts w:ascii="Noto Naskh Arabic" w:hAnsi="Noto Naskh Arabic"/>
          <w:b/>
          <w:sz w:val="20"/>
        </w:rPr>
        <w:t xml:space="preserve">4.  </w:t>
      </w:r>
      <w:r>
        <w:rPr>
          <w:rFonts w:ascii="Noto Naskh Arabic" w:hAnsi="Noto Naskh Arabic"/>
          <w:b/>
          <w:i w:val="0"/>
          <w:color w:val="212529"/>
          <w:sz w:val="20"/>
        </w:rPr>
        <w:t>غياب الدراسات السلوكية للمستخدمين:</w:t>
      </w:r>
      <w:r>
        <w:rPr>
          <w:rFonts w:ascii="Noto Naskh Arabic" w:hAnsi="Noto Naskh Arabic"/>
          <w:b w:val="0"/>
          <w:i w:val="0"/>
          <w:color w:val="212529"/>
          <w:sz w:val="20"/>
        </w:rPr>
        <w:t xml:space="preserve"> بالرغم من إثبات ثبات شارة المصدر (</w:t>
      </w:r>
      <w:r>
        <w:rPr>
          <w:rFonts w:ascii="Consolas" w:hAnsi="Consolas"/>
          <w:b w:val="0"/>
          <w:i w:val="0"/>
          <w:color w:val="B42828"/>
          <w:sz w:val="19"/>
        </w:rPr>
        <w:t>SourceBadge</w:t>
      </w:r>
      <w:r>
        <w:rPr>
          <w:rFonts w:ascii="Noto Naskh Arabic" w:hAnsi="Noto Naskh Arabic"/>
          <w:b w:val="0"/>
          <w:i w:val="0"/>
          <w:color w:val="212529"/>
          <w:sz w:val="20"/>
        </w:rPr>
        <w:t>) داخل الـ DOM برمجياً واستحالة حجبها من داخل الإطار، لم تختبر الدراسة السلوك المعرفي للمستخدمين البشريين ومدى استجابتهم للإجهاد الإدراكي أو الموافقة التلقائية العمياء (Click-through fatigue).</w:t>
      </w:r>
    </w:p>
    <w:p xml:lang="ar">
      <w:pPr w:bidi="true">
        <w:spacing w:before="20" w:after="60" w:line="276" w:lineRule="auto"/>
        <w:jc w:val="right"/>
      </w:pPr>
      <w:r>
        <w:rPr>
          <w:rFonts w:ascii="Noto Naskh Arabic" w:hAnsi="Noto Naskh Arabic"/>
          <w:b/>
          <w:sz w:val="20"/>
        </w:rPr>
        <w:t xml:space="preserve">5.  </w:t>
      </w:r>
      <w:r>
        <w:rPr>
          <w:rFonts w:ascii="Noto Naskh Arabic" w:hAnsi="Noto Naskh Arabic"/>
          <w:b/>
          <w:i w:val="0"/>
          <w:color w:val="212529"/>
          <w:sz w:val="20"/>
        </w:rPr>
        <w:t>فحص حدود حجم البيانات (4 كيلوبايت):</w:t>
      </w:r>
      <w:r>
        <w:rPr>
          <w:rFonts w:ascii="Noto Naskh Arabic" w:hAnsi="Noto Naskh Arabic"/>
          <w:b w:val="0"/>
          <w:i w:val="0"/>
          <w:color w:val="212529"/>
          <w:sz w:val="20"/>
        </w:rPr>
        <w:t xml:space="preserve"> رغم تطبيق حد الـ 4096 بايت برمجيًا داخل محرك السياسة (</w:t>
      </w:r>
      <w:r>
        <w:rPr>
          <w:rFonts w:ascii="Consolas" w:hAnsi="Consolas"/>
          <w:b w:val="0"/>
          <w:i w:val="0"/>
          <w:color w:val="B42828"/>
          <w:sz w:val="19"/>
        </w:rPr>
        <w:t>checkMessage</w:t>
      </w:r>
      <w:r>
        <w:rPr>
          <w:rFonts w:ascii="Noto Naskh Arabic" w:hAnsi="Noto Naskh Arabic"/>
          <w:b w:val="0"/>
          <w:i w:val="0"/>
          <w:color w:val="212529"/>
          <w:sz w:val="20"/>
        </w:rPr>
        <w:t xml:space="preserve"> و</w:t>
      </w:r>
      <w:r>
        <w:rPr>
          <w:rFonts w:ascii="Consolas" w:hAnsi="Consolas"/>
          <w:b w:val="0"/>
          <w:i w:val="0"/>
          <w:color w:val="B42828"/>
          <w:sz w:val="19"/>
        </w:rPr>
        <w:t>checkContext</w:t>
      </w:r>
      <w:r>
        <w:rPr>
          <w:rFonts w:ascii="Noto Naskh Arabic" w:hAnsi="Noto Naskh Arabic"/>
          <w:b w:val="0"/>
          <w:i w:val="0"/>
          <w:color w:val="212529"/>
          <w:sz w:val="20"/>
        </w:rPr>
        <w:t xml:space="preserve"> في </w:t>
      </w:r>
      <w:r>
        <w:rPr>
          <w:rFonts w:ascii="Consolas" w:hAnsi="Consolas"/>
          <w:b w:val="0"/>
          <w:i w:val="0"/>
          <w:color w:val="B42828"/>
          <w:sz w:val="19"/>
        </w:rPr>
        <w:t>policy-layer.ts:105</w:t>
      </w:r>
      <w:r>
        <w:rPr>
          <w:rFonts w:ascii="Noto Naskh Arabic" w:hAnsi="Noto Naskh Arabic"/>
          <w:b w:val="0"/>
          <w:i w:val="0"/>
          <w:color w:val="212529"/>
          <w:sz w:val="20"/>
        </w:rPr>
        <w:t>)، ركزت الاختبارات المؤتمتة الحالية على تقييم مسار التسريب بالحمولة المعيارية دون إجراء فحص تشويش هجومي (Adversarial Fuzzing) متدرج فوق عتبة الـ 4 كيلوبايت، وهو ما يُترك للتوسعات التجريبية اللاحقة.</w:t>
      </w:r>
    </w:p>
    <w:p xml:lang="ar">
      <w:pPr w:bidi="true">
        <w:spacing w:before="20" w:after="60" w:line="276" w:lineRule="auto"/>
        <w:jc w:val="right"/>
      </w:pPr>
      <w:r>
        <w:rPr>
          <w:rFonts w:ascii="Noto Naskh Arabic" w:hAnsi="Noto Naskh Arabic"/>
          <w:b/>
          <w:sz w:val="20"/>
        </w:rPr>
        <w:t xml:space="preserve">6.  </w:t>
      </w:r>
      <w:r>
        <w:rPr>
          <w:rFonts w:ascii="Noto Naskh Arabic" w:hAnsi="Noto Naskh Arabic"/>
          <w:b/>
          <w:i w:val="0"/>
          <w:color w:val="212529"/>
          <w:sz w:val="20"/>
        </w:rPr>
        <w:t>غياب استراتيجيات الهجوم التكيفية:</w:t>
      </w:r>
      <w:r>
        <w:rPr>
          <w:rFonts w:ascii="Noto Naskh Arabic" w:hAnsi="Noto Naskh Arabic"/>
          <w:b w:val="0"/>
          <w:i w:val="0"/>
          <w:color w:val="212529"/>
          <w:sz w:val="20"/>
        </w:rPr>
        <w:t xml:space="preserve"> اقتصرت متجهات الهجوم المختبرة على الاستدعاء المباشر للقنوات؛ ولم تتضمن هذه الدورة تقييم أساليب المراوغة التكيفية مثل تجزئة البيانات السرية عبر رسائل متعددة بحجم أقل من 4 كيلوبايت، أو استخدام مخططات روابط ملتوية مثل (</w:t>
      </w:r>
      <w:r>
        <w:rPr>
          <w:rFonts w:ascii="Consolas" w:hAnsi="Consolas"/>
          <w:b w:val="0"/>
          <w:i w:val="0"/>
          <w:color w:val="B42828"/>
          <w:sz w:val="19"/>
        </w:rPr>
        <w:t>data:</w:t>
      </w:r>
      <w:r>
        <w:rPr>
          <w:rFonts w:ascii="Noto Naskh Arabic" w:hAnsi="Noto Naskh Arabic"/>
          <w:b w:val="0"/>
          <w:i w:val="0"/>
          <w:color w:val="212529"/>
          <w:sz w:val="20"/>
        </w:rPr>
        <w:t xml:space="preserve">, </w:t>
      </w:r>
      <w:r>
        <w:rPr>
          <w:rFonts w:ascii="Consolas" w:hAnsi="Consolas"/>
          <w:b w:val="0"/>
          <w:i w:val="0"/>
          <w:color w:val="B42828"/>
          <w:sz w:val="19"/>
        </w:rPr>
        <w:t>blob:</w:t>
      </w:r>
      <w:r>
        <w:rPr>
          <w:rFonts w:ascii="Noto Naskh Arabic" w:hAnsi="Noto Naskh Arabic"/>
          <w:b w:val="0"/>
          <w:i w:val="0"/>
          <w:color w:val="212529"/>
          <w:sz w:val="20"/>
        </w:rPr>
        <w:t>)، وهو ما يُعد هدفًا محوريًا للدراسات الأمنية اللاحقة.</w:t>
      </w:r>
    </w:p>
    <w:p xml:lang="ar">
      <w:pPr w:bidi="true">
        <w:keepNext/>
        <w:spacing w:before="280" w:after="80"/>
        <w:jc w:val="right"/>
      </w:pPr>
      <w:r>
        <w:rPr>
          <w:rFonts w:ascii="Noto Naskh Arabic" w:hAnsi="Noto Naskh Arabic"/>
          <w:b/>
          <w:i w:val="0"/>
          <w:color w:val="0F2C59"/>
          <w:sz w:val="24"/>
        </w:rPr>
        <w:t>8. الخاتمة والتوصيات (Conclusion)</w:t>
      </w:r>
    </w:p>
    <w:p xml:lang="ar">
      <w:pPr w:bidi="true">
        <w:spacing w:before="0" w:after="80" w:line="276" w:lineRule="auto"/>
        <w:jc w:val="both"/>
      </w:pPr>
      <w:r>
        <w:rPr>
          <w:rFonts w:ascii="Noto Naskh Arabic" w:hAnsi="Noto Naskh Arabic"/>
          <w:b w:val="0"/>
          <w:i w:val="0"/>
          <w:color w:val="212529"/>
          <w:sz w:val="20"/>
        </w:rPr>
        <w:t xml:space="preserve">أثبتت هذه الدراسة أن </w:t>
      </w:r>
      <w:r>
        <w:rPr>
          <w:rFonts w:ascii="Noto Naskh Arabic" w:hAnsi="Noto Naskh Arabic"/>
          <w:b/>
          <w:i w:val="0"/>
          <w:color w:val="212529"/>
          <w:sz w:val="20"/>
        </w:rPr>
        <w:t>عزل المتصفح (Iframe Sandboxing) وسياسات CSP، رغم أهميتها، غير كافية بمفردها لحماية مضيفات تطبيقات النماذج اللغوية (MCP Apps)</w:t>
      </w:r>
      <w:r>
        <w:rPr>
          <w:rFonts w:ascii="Noto Naskh Arabic" w:hAnsi="Noto Naskh Arabic"/>
          <w:b w:val="0"/>
          <w:i w:val="0"/>
          <w:color w:val="212529"/>
          <w:sz w:val="20"/>
        </w:rPr>
        <w:t>؛ فالقنوات التي يفوضها البروتوكول للمضيف (</w:t>
      </w:r>
      <w:r>
        <w:rPr>
          <w:rFonts w:ascii="Consolas" w:hAnsi="Consolas"/>
          <w:b w:val="0"/>
          <w:i w:val="0"/>
          <w:color w:val="B42828"/>
          <w:sz w:val="19"/>
        </w:rPr>
        <w:t>ui/open-link</w:t>
      </w:r>
      <w:r>
        <w:rPr>
          <w:rFonts w:ascii="Noto Naskh Arabic" w:hAnsi="Noto Naskh Arabic"/>
          <w:b w:val="0"/>
          <w:i w:val="0"/>
          <w:color w:val="212529"/>
          <w:sz w:val="20"/>
        </w:rPr>
        <w:t xml:space="preserve">, </w:t>
      </w:r>
      <w:r>
        <w:rPr>
          <w:rFonts w:ascii="Consolas" w:hAnsi="Consolas"/>
          <w:b w:val="0"/>
          <w:i w:val="0"/>
          <w:color w:val="B42828"/>
          <w:sz w:val="19"/>
        </w:rPr>
        <w:t>ui/message</w:t>
      </w:r>
      <w:r>
        <w:rPr>
          <w:rFonts w:ascii="Noto Naskh Arabic" w:hAnsi="Noto Naskh Arabic"/>
          <w:b w:val="0"/>
          <w:i w:val="0"/>
          <w:color w:val="212529"/>
          <w:sz w:val="20"/>
        </w:rPr>
        <w:t xml:space="preserve">, </w:t>
      </w:r>
      <w:r>
        <w:rPr>
          <w:rFonts w:ascii="Consolas" w:hAnsi="Consolas"/>
          <w:b w:val="0"/>
          <w:i w:val="0"/>
          <w:color w:val="B42828"/>
          <w:sz w:val="19"/>
        </w:rPr>
        <w:t>ui/update-model-context</w:t>
      </w:r>
      <w:r>
        <w:rPr>
          <w:rFonts w:ascii="Noto Naskh Arabic" w:hAnsi="Noto Naskh Arabic"/>
          <w:b w:val="0"/>
          <w:i w:val="0"/>
          <w:color w:val="212529"/>
          <w:sz w:val="20"/>
        </w:rPr>
        <w:t>) تُشكل سطحًا رخوًا لاستغلال الثقة وتسريب البيانات دون كسر العزل التقني.</w:t>
      </w:r>
    </w:p>
    <w:p xml:lang="ar">
      <w:pPr w:bidi="true">
        <w:spacing w:before="0" w:after="80" w:line="276" w:lineRule="auto"/>
        <w:jc w:val="both"/>
      </w:pPr>
      <w:r>
        <w:rPr>
          <w:rFonts w:ascii="Noto Naskh Arabic" w:hAnsi="Noto Naskh Arabic"/>
          <w:b w:val="0"/>
          <w:i w:val="0"/>
          <w:color w:val="212529"/>
          <w:sz w:val="20"/>
        </w:rPr>
        <w:t xml:space="preserve">وقد برهنت طبقة السياسة المقترحة بنجاح على سد هذه الثغرة بكفاءة عالية، فخفضت العمليات غير المصرح بها من </w:t>
      </w:r>
      <w:r>
        <w:rPr>
          <w:rFonts w:ascii="Noto Naskh Arabic" w:hAnsi="Noto Naskh Arabic"/>
          <w:b/>
          <w:i w:val="0"/>
          <w:color w:val="212529"/>
          <w:sz w:val="20"/>
        </w:rPr>
        <w:t>15/15 إلى 0/15</w:t>
      </w:r>
      <w:r>
        <w:rPr>
          <w:rFonts w:ascii="Noto Naskh Arabic" w:hAnsi="Noto Naskh Arabic"/>
          <w:b w:val="0"/>
          <w:i w:val="0"/>
          <w:color w:val="212529"/>
          <w:sz w:val="20"/>
        </w:rPr>
        <w:t>، وحافظت بالكامل على الوظائف المشروعة، دون أي عبء زمني ملموس (≤ 0.1 مللي ثانية).</w:t>
      </w:r>
    </w:p>
    <w:p xml:lang="ar">
      <w:pPr w:bidi="true">
        <w:keepNext/>
        <w:spacing w:before="200" w:after="60"/>
        <w:jc w:val="right"/>
      </w:pPr>
      <w:r>
        <w:rPr>
          <w:rFonts w:ascii="Noto Naskh Arabic" w:hAnsi="Noto Naskh Arabic"/>
          <w:b/>
          <w:i w:val="0"/>
          <w:color w:val="1E3A8A"/>
          <w:sz w:val="22"/>
        </w:rPr>
        <w:t>توصيات لتطوير معايير بروتوكول MCP القادمة:</w:t>
      </w:r>
    </w:p>
    <w:p xml:lang="ar">
      <w:pPr w:bidi="true">
        <w:spacing w:before="20" w:after="60" w:line="276" w:lineRule="auto"/>
        <w:jc w:val="right"/>
      </w:pPr>
      <w:r>
        <w:rPr>
          <w:rFonts w:ascii="Noto Naskh Arabic" w:hAnsi="Noto Naskh Arabic"/>
          <w:b/>
          <w:sz w:val="20"/>
        </w:rPr>
        <w:t xml:space="preserve">1.  </w:t>
      </w:r>
      <w:r>
        <w:rPr>
          <w:rFonts w:ascii="Noto Naskh Arabic" w:hAnsi="Noto Naskh Arabic"/>
          <w:b/>
          <w:i w:val="0"/>
          <w:color w:val="212529"/>
          <w:sz w:val="20"/>
        </w:rPr>
        <w:t>التحول إلى الإلزام الصريح بطلب الموافقة:</w:t>
      </w:r>
      <w:r>
        <w:rPr>
          <w:rFonts w:ascii="Noto Naskh Arabic" w:hAnsi="Noto Naskh Arabic"/>
          <w:b w:val="0"/>
          <w:i w:val="0"/>
          <w:color w:val="212529"/>
          <w:sz w:val="20"/>
        </w:rPr>
        <w:t xml:space="preserve"> ترقية متطلب حوكمة القنوات من إرشادات تقديرية إلى متطلب إلزامي صارم (MUST prompt).</w:t>
      </w:r>
    </w:p>
    <w:p xml:lang="ar">
      <w:pPr w:bidi="true">
        <w:spacing w:before="20" w:after="60" w:line="276" w:lineRule="auto"/>
        <w:jc w:val="right"/>
      </w:pPr>
      <w:r>
        <w:rPr>
          <w:rFonts w:ascii="Noto Naskh Arabic" w:hAnsi="Noto Naskh Arabic"/>
          <w:b/>
          <w:sz w:val="20"/>
        </w:rPr>
        <w:t xml:space="preserve">2.  </w:t>
      </w:r>
      <w:r>
        <w:rPr>
          <w:rFonts w:ascii="Noto Naskh Arabic" w:hAnsi="Noto Naskh Arabic"/>
          <w:b/>
          <w:i w:val="0"/>
          <w:color w:val="212529"/>
          <w:sz w:val="20"/>
        </w:rPr>
        <w:t>توحيد تصميم علامة المصدر:</w:t>
      </w:r>
      <w:r>
        <w:rPr>
          <w:rFonts w:ascii="Noto Naskh Arabic" w:hAnsi="Noto Naskh Arabic"/>
          <w:b w:val="0"/>
          <w:i w:val="0"/>
          <w:color w:val="212529"/>
          <w:sz w:val="20"/>
        </w:rPr>
        <w:t xml:space="preserve"> إلزام المضيفات بعرض شارة موثقة لهوية الخادم خارج إطار العرض المعزول لمنع الانتحال البصري.</w:t>
      </w:r>
    </w:p>
    <w:p xml:lang="ar">
      <w:pPr w:bidi="true">
        <w:spacing w:before="20" w:after="60" w:line="276" w:lineRule="auto"/>
        <w:jc w:val="right"/>
      </w:pPr>
      <w:r>
        <w:rPr>
          <w:rFonts w:ascii="Noto Naskh Arabic" w:hAnsi="Noto Naskh Arabic"/>
          <w:b/>
          <w:sz w:val="20"/>
        </w:rPr>
        <w:t xml:space="preserve">3.  </w:t>
      </w:r>
      <w:r>
        <w:rPr>
          <w:rFonts w:ascii="Noto Naskh Arabic" w:hAnsi="Noto Naskh Arabic"/>
          <w:b/>
          <w:i w:val="0"/>
          <w:color w:val="212529"/>
          <w:sz w:val="20"/>
        </w:rPr>
        <w:t>تقييد الحجوم ومعدلات الطلب:</w:t>
      </w:r>
      <w:r>
        <w:rPr>
          <w:rFonts w:ascii="Noto Naskh Arabic" w:hAnsi="Noto Naskh Arabic"/>
          <w:b w:val="0"/>
          <w:i w:val="0"/>
          <w:color w:val="212529"/>
          <w:sz w:val="20"/>
        </w:rPr>
        <w:t xml:space="preserve"> دمج آليات حتمية لتقييد حجم الحمولات ومعدل الرسائل للحد من هجمات حجب الخدمة وتسميم السياق.</w:t>
      </w:r>
    </w:p>
    <w:p xml:lang="ar">
      <w:pPr w:bidi="true">
        <w:keepNext/>
        <w:spacing w:before="280" w:after="80"/>
        <w:jc w:val="right"/>
      </w:pPr>
      <w:r>
        <w:rPr>
          <w:rFonts w:ascii="Noto Naskh Arabic" w:hAnsi="Noto Naskh Arabic"/>
          <w:b/>
          <w:i w:val="0"/>
          <w:color w:val="0F2C59"/>
          <w:sz w:val="24"/>
        </w:rPr>
        <w:t>الملحق أ: حزمة توفير المخرجات وإعادة الإنتاج العلمي (Reproducibility Package)</w:t>
      </w:r>
    </w:p>
    <w:p xml:lang="ar">
      <w:pPr w:bidi="true">
        <w:spacing w:before="0" w:after="80" w:line="276" w:lineRule="auto"/>
        <w:jc w:val="both"/>
      </w:pPr>
      <w:r>
        <w:rPr>
          <w:rFonts w:ascii="Noto Naskh Arabic" w:hAnsi="Noto Naskh Arabic"/>
          <w:b w:val="0"/>
          <w:i w:val="0"/>
          <w:color w:val="212529"/>
          <w:sz w:val="20"/>
        </w:rPr>
        <w:t>لضمان الشفافية وقابلية التحقق العلمي الكامل، تم تضمين كافة الأكواد المصدرية، وإعدادات المختبر، وسجلات التشغيل الخام، ونصوص التحليل الإحصائي ضمن مستودع المشروع:</w:t>
      </w:r>
    </w:p>
    <w:p xml:lang="ar">
      <w:pPr w:bidi="true">
        <w:keepNext/>
        <w:spacing w:before="200" w:after="60"/>
        <w:jc w:val="right"/>
      </w:pPr>
      <w:r>
        <w:rPr>
          <w:rFonts w:ascii="Noto Naskh Arabic" w:hAnsi="Noto Naskh Arabic"/>
          <w:b/>
          <w:i w:val="0"/>
          <w:color w:val="1E3A8A"/>
          <w:sz w:val="22"/>
        </w:rPr>
        <w:t>أ.1 الهيكل البرمجي للمختبر</w:t>
      </w:r>
    </w:p>
    <w:tbl>
      <w:tblPr>
        <w:tblW w:type="auto" w:w="0"/>
        <w:jc w:val="center"/>
        <w:tblLook w:firstColumn="1" w:firstRow="1" w:lastColumn="0" w:lastRow="0" w:noHBand="0" w:noVBand="1" w:val="04A0"/>
      </w:tblPr>
      <w:tblGrid>
        <w:gridCol w:w="9749"/>
      </w:tblGrid>
      <w:tr>
        <w:tc>
          <w:tcPr>
            <w:tcW w:type="dxa" w:w="9749"/>
            <w:shd w:fill="F4F6F9"/>
            <w:tcMar>
              <w:top w:w="80" w:type="dxa"/>
              <w:bottom w:w="80" w:type="dxa"/>
              <w:left w:w="120" w:type="dxa"/>
              <w:right w:w="120" w:type="dxa"/>
            </w:tcMar>
            <w:tcBorders>
              <w:top w:val="single" w:sz="4" w:space="0" w:color="D0D5DD"/>
              <w:left w:val="single" w:sz="4" w:space="0" w:color="D0D5DD"/>
              <w:bottom w:val="single" w:sz="4" w:space="0" w:color="D0D5DD"/>
              <w:right w:val="single" w:sz="18" w:space="0" w:color="1F497D"/>
            </w:tcBorders>
          </w:tcPr>
          <w:p>
            <w:pPr>
              <w:spacing w:before="40" w:after="40" w:line="200" w:lineRule="exact"/>
            </w:pPr>
            <w:r>
              <w:rPr>
                <w:rFonts w:ascii="Consolas" w:hAnsi="Consolas"/>
                <w:color w:val="1E293B"/>
                <w:sz w:val="16"/>
              </w:rPr>
              <w:t>lab/ext-apps/lab-testbed/</w:t>
              <w:br/>
              <w:t>├── host-policy/                 # عميل المضيف React 19 (:8090) ووسيط العزل (:8091)</w:t>
              <w:br/>
              <w:t>│   ├── src/policy-layer.ts      # محرك السياسة وبوابة رؤية الأدوات بنمط الإغلاق الحازم</w:t>
              <w:br/>
              <w:t>│   ├── src/implementation.ts    # اعتراض أحداث AppBridge وسجل التدقيق غير المتزامن</w:t>
              <w:br/>
              <w:t>│   └── src/index.tsx            # شارة المصدر SourceBadge ونافذة طلب الموافقة</w:t>
              <w:br/>
              <w:t>├── server/</w:t>
              <w:br/>
              <w:t>│   ├── server.mjs               # خادم MCP عبر Streamable HTTP (:3001) يقدم 4 أدوات وواجهتين</w:t>
              <w:br/>
              <w:t>│   └── receiver.mjs             # خادم استقبال التسريب الخارجي (:9999) بنقاط /hits و /reset</w:t>
              <w:br/>
              <w:t>├── ui-legit/                    # حزمة واجهة الطقس المشروعة</w:t>
              <w:br/>
              <w:t>├── ui-untrusted/                # حزمة واجهة الهجوم مع 6 أزرار للاختبار</w:t>
              <w:br/>
              <w:t>├── runner/</w:t>
              <w:br/>
              <w:t>│   ├── run-tests.mjs            # مشغل Playwright المؤتمت للحالات T1–T7</w:t>
              <w:br/>
              <w:t>│   └── run-all.mjs              # منسق التجارب الكاملة (41 تشغيلًا)</w:t>
              <w:br/>
              <w:t>├── analyze.py                   # نص التحليل الإحصائي وحساب مؤشرات الفرضيات H1, H2, H3</w:t>
              <w:br/>
              <w:t>├── stop.sh                      # نص تنظيف وإنهاء العمليات الخلفية على المنافذ</w:t>
              <w:br/>
              <w:t>└── results/                     # السجل التجريبي الكامل (166 ملفًا بصيغة JSONL وMD)</w:t>
              <w:br/>
              <w:t xml:space="preserve">    ├── FINAL_REPORT.md          # ملخص النتائج والقرارات النهائية للفرضيات</w:t>
              <w:br/>
              <w:t xml:space="preserve">    ├── events-func-*.jsonl      # أحداث التشغيل الوظيفي لخط الأساس والمعالجة</w:t>
              <w:br/>
              <w:t xml:space="preserve">    ├── events-perf-*.jsonl      # قياسات الأداء وزمن الاستجابة (180 نقطة قياس)</w:t>
              <w:br/>
              <w:t xml:space="preserve">    └── audit-*.jsonl            # أزمنة قرارات السياسة الصافية داخل المحرك</w:t>
            </w:r>
          </w:p>
        </w:tc>
      </w:tr>
    </w:tbl>
    <w:p xml:lang="ar">
      <w:pPr w:bidi="true">
        <w:keepNext/>
        <w:spacing w:before="200" w:after="60"/>
        <w:jc w:val="right"/>
      </w:pPr>
      <w:r>
        <w:rPr>
          <w:rFonts w:ascii="Noto Naskh Arabic" w:hAnsi="Noto Naskh Arabic"/>
          <w:b/>
          <w:i w:val="0"/>
          <w:color w:val="1E3A8A"/>
          <w:sz w:val="22"/>
        </w:rPr>
        <w:t>أ.2 إرشادات إعادة الإنتاج</w:t>
      </w:r>
    </w:p>
    <w:p xml:lang="ar">
      <w:pPr w:bidi="true">
        <w:spacing w:before="0" w:after="80" w:line="276" w:lineRule="auto"/>
        <w:jc w:val="both"/>
      </w:pPr>
      <w:r>
        <w:rPr>
          <w:rFonts w:ascii="Noto Naskh Arabic" w:hAnsi="Noto Naskh Arabic"/>
          <w:b w:val="0"/>
          <w:i w:val="0"/>
          <w:color w:val="212529"/>
          <w:sz w:val="20"/>
        </w:rPr>
        <w:t>تتطلب البيئة وجود Node.js (الإصدار 20 فما فوق) وPlaywright وPython 3.10+ على نظام Linux:</w:t>
      </w:r>
    </w:p>
    <w:p xml:lang="ar">
      <w:pPr w:bidi="true">
        <w:spacing w:before="20" w:after="60" w:line="276" w:lineRule="auto"/>
        <w:jc w:val="right"/>
      </w:pPr>
      <w:r>
        <w:rPr>
          <w:rFonts w:ascii="Noto Naskh Arabic" w:hAnsi="Noto Naskh Arabic"/>
          <w:b/>
          <w:sz w:val="20"/>
        </w:rPr>
        <w:t xml:space="preserve">1.  </w:t>
      </w:r>
      <w:r>
        <w:rPr>
          <w:rFonts w:ascii="Noto Naskh Arabic" w:hAnsi="Noto Naskh Arabic"/>
          <w:b/>
          <w:i w:val="0"/>
          <w:color w:val="212529"/>
          <w:sz w:val="20"/>
        </w:rPr>
        <w:t>بناء حزمة سياسة المضيف:</w:t>
      </w:r>
    </w:p>
    <w:p xml:lang="ar">
      <w:pPr w:bidi="true">
        <w:spacing w:before="0" w:after="80" w:line="276" w:lineRule="auto"/>
        <w:jc w:val="both"/>
      </w:pPr>
      <w:r>
        <w:rPr>
          <w:rFonts w:ascii="Noto Naskh Arabic" w:hAnsi="Noto Naskh Arabic"/>
          <w:b w:val="0"/>
          <w:i w:val="0"/>
          <w:color w:val="212529"/>
          <w:sz w:val="20"/>
        </w:rPr>
        <w:t xml:space="preserve">   ```bash</w:t>
      </w:r>
    </w:p>
    <w:p xml:lang="ar">
      <w:pPr w:bidi="true">
        <w:spacing w:before="0" w:after="80" w:line="276" w:lineRule="auto"/>
        <w:jc w:val="both"/>
      </w:pPr>
      <w:r>
        <w:rPr>
          <w:rFonts w:ascii="Noto Naskh Arabic" w:hAnsi="Noto Naskh Arabic"/>
          <w:b w:val="0"/>
          <w:i w:val="0"/>
          <w:color w:val="212529"/>
          <w:sz w:val="20"/>
        </w:rPr>
        <w:t xml:space="preserve">   cd lab/ext-apps</w:t>
      </w:r>
    </w:p>
    <w:p xml:lang="ar">
      <w:pPr w:bidi="true">
        <w:spacing w:before="0" w:after="80" w:line="276" w:lineRule="auto"/>
        <w:jc w:val="both"/>
      </w:pPr>
      <w:r>
        <w:rPr>
          <w:rFonts w:ascii="Noto Naskh Arabic" w:hAnsi="Noto Naskh Arabic"/>
          <w:b w:val="0"/>
          <w:i w:val="0"/>
          <w:color w:val="212529"/>
          <w:sz w:val="20"/>
        </w:rPr>
        <w:t xml:space="preserve">   npm --workspace lab-testbed/host-policy run build</w:t>
      </w:r>
    </w:p>
    <w:p xml:lang="ar">
      <w:pPr w:bidi="true">
        <w:spacing w:before="0" w:after="80" w:line="276" w:lineRule="auto"/>
        <w:jc w:val="both"/>
      </w:pPr>
      <w:r>
        <w:rPr>
          <w:rFonts w:ascii="Noto Naskh Arabic" w:hAnsi="Noto Naskh Arabic"/>
          <w:b w:val="0"/>
          <w:i w:val="0"/>
          <w:color w:val="212529"/>
          <w:sz w:val="20"/>
        </w:rPr>
        <w:t xml:space="preserve">   ```</w:t>
      </w:r>
    </w:p>
    <w:p xml:lang="ar">
      <w:pPr w:bidi="true">
        <w:spacing w:before="20" w:after="60" w:line="276" w:lineRule="auto"/>
        <w:jc w:val="right"/>
      </w:pPr>
      <w:r>
        <w:rPr>
          <w:rFonts w:ascii="Noto Naskh Arabic" w:hAnsi="Noto Naskh Arabic"/>
          <w:b/>
          <w:sz w:val="20"/>
        </w:rPr>
        <w:t xml:space="preserve">2.  </w:t>
      </w:r>
      <w:r>
        <w:rPr>
          <w:rFonts w:ascii="Noto Naskh Arabic" w:hAnsi="Noto Naskh Arabic"/>
          <w:b/>
          <w:i w:val="0"/>
          <w:color w:val="212529"/>
          <w:sz w:val="20"/>
        </w:rPr>
        <w:t>تشغيل التجربة الكاملة 41 تشغيلاً (~25–30 دقيقة):</w:t>
      </w:r>
    </w:p>
    <w:p xml:lang="ar">
      <w:pPr w:bidi="true">
        <w:spacing w:before="0" w:after="80" w:line="276" w:lineRule="auto"/>
        <w:jc w:val="both"/>
      </w:pPr>
      <w:r>
        <w:rPr>
          <w:rFonts w:ascii="Noto Naskh Arabic" w:hAnsi="Noto Naskh Arabic"/>
          <w:b w:val="0"/>
          <w:i w:val="0"/>
          <w:color w:val="212529"/>
          <w:sz w:val="20"/>
        </w:rPr>
        <w:t xml:space="preserve">   ```bash</w:t>
      </w:r>
    </w:p>
    <w:p xml:lang="ar">
      <w:pPr w:bidi="true">
        <w:spacing w:before="0" w:after="80" w:line="276" w:lineRule="auto"/>
        <w:jc w:val="both"/>
      </w:pPr>
      <w:r>
        <w:rPr>
          <w:rFonts w:ascii="Noto Naskh Arabic" w:hAnsi="Noto Naskh Arabic"/>
          <w:b w:val="0"/>
          <w:i w:val="0"/>
          <w:color w:val="212529"/>
          <w:sz w:val="20"/>
        </w:rPr>
        <w:t xml:space="preserve">   ( node lab-testbed/server/receiver.mjs &gt; /dev/null 2&gt;&amp;1 &amp; \</w:t>
      </w:r>
    </w:p>
    <w:p xml:lang="ar">
      <w:pPr w:bidi="true">
        <w:spacing w:before="0" w:after="80" w:line="276" w:lineRule="auto"/>
        <w:jc w:val="both"/>
      </w:pPr>
      <w:r>
        <w:rPr>
          <w:rFonts w:ascii="Noto Naskh Arabic" w:hAnsi="Noto Naskh Arabic"/>
          <w:b w:val="0"/>
          <w:i w:val="0"/>
          <w:color w:val="212529"/>
          <w:sz w:val="20"/>
        </w:rPr>
        <w:t xml:space="preserve">     node lab-testbed/server/server.mjs &gt; /dev/null 2&gt;&amp;1 &amp; \</w:t>
      </w:r>
    </w:p>
    <w:p xml:lang="ar">
      <w:pPr w:bidi="true">
        <w:spacing w:before="0" w:after="80" w:line="276" w:lineRule="auto"/>
        <w:jc w:val="both"/>
      </w:pPr>
      <w:r>
        <w:rPr>
          <w:rFonts w:ascii="Noto Naskh Arabic" w:hAnsi="Noto Naskh Arabic"/>
          <w:b w:val="0"/>
          <w:i w:val="0"/>
          <w:color w:val="212529"/>
          <w:sz w:val="20"/>
        </w:rPr>
        <w:t xml:space="preserve">     HOST_PORT=8090 SANDBOX_PORT=8091 SERVERS='["http://localhost:3001/mcp"]' \</w:t>
      </w:r>
    </w:p>
    <w:p xml:lang="ar">
      <w:pPr w:bidi="true">
        <w:spacing w:before="0" w:after="80" w:line="276" w:lineRule="auto"/>
        <w:jc w:val="both"/>
      </w:pPr>
      <w:r>
        <w:rPr>
          <w:rFonts w:ascii="Noto Naskh Arabic" w:hAnsi="Noto Naskh Arabic"/>
          <w:b w:val="0"/>
          <w:i w:val="0"/>
          <w:color w:val="212529"/>
          <w:sz w:val="20"/>
        </w:rPr>
        <w:t xml:space="preserve">       npx tsx lab-testbed/host-policy/serve.ts &gt; /dev/null 2&gt;&amp;1 &amp; \</w:t>
      </w:r>
    </w:p>
    <w:p xml:lang="ar">
      <w:pPr w:bidi="true">
        <w:spacing w:before="0" w:after="80" w:line="276" w:lineRule="auto"/>
        <w:jc w:val="both"/>
      </w:pPr>
      <w:r>
        <w:rPr>
          <w:rFonts w:ascii="Noto Naskh Arabic" w:hAnsi="Noto Naskh Arabic"/>
          <w:b w:val="0"/>
          <w:i w:val="0"/>
          <w:color w:val="212529"/>
          <w:sz w:val="20"/>
        </w:rPr>
        <w:t xml:space="preserve">     sleep 7; \</w:t>
      </w:r>
    </w:p>
    <w:p xml:lang="ar">
      <w:pPr w:bidi="true">
        <w:spacing w:before="0" w:after="80" w:line="276" w:lineRule="auto"/>
        <w:jc w:val="both"/>
      </w:pPr>
      <w:r>
        <w:rPr>
          <w:rFonts w:ascii="Noto Naskh Arabic" w:hAnsi="Noto Naskh Arabic"/>
          <w:b w:val="0"/>
          <w:i w:val="0"/>
          <w:color w:val="212529"/>
          <w:sz w:val="20"/>
        </w:rPr>
        <w:t xml:space="preserve">     npx tsx lab-testbed/runner/run-all.mjs ) &amp;</w:t>
      </w:r>
    </w:p>
    <w:p xml:lang="ar">
      <w:pPr w:bidi="true">
        <w:spacing w:before="0" w:after="80" w:line="276" w:lineRule="auto"/>
        <w:jc w:val="both"/>
      </w:pPr>
      <w:r>
        <w:rPr>
          <w:rFonts w:ascii="Noto Naskh Arabic" w:hAnsi="Noto Naskh Arabic"/>
          <w:b w:val="0"/>
          <w:i w:val="0"/>
          <w:color w:val="212529"/>
          <w:sz w:val="20"/>
        </w:rPr>
        <w:t xml:space="preserve">   wait</w:t>
      </w:r>
    </w:p>
    <w:p xml:lang="ar">
      <w:pPr w:bidi="true">
        <w:spacing w:before="0" w:after="80" w:line="276" w:lineRule="auto"/>
        <w:jc w:val="both"/>
      </w:pPr>
      <w:r>
        <w:rPr>
          <w:rFonts w:ascii="Noto Naskh Arabic" w:hAnsi="Noto Naskh Arabic"/>
          <w:b w:val="0"/>
          <w:i w:val="0"/>
          <w:color w:val="212529"/>
          <w:sz w:val="20"/>
        </w:rPr>
        <w:t xml:space="preserve">   ```</w:t>
      </w:r>
    </w:p>
    <w:p xml:lang="ar">
      <w:pPr w:bidi="true">
        <w:spacing w:before="20" w:after="60" w:line="276" w:lineRule="auto"/>
        <w:jc w:val="right"/>
      </w:pPr>
      <w:r>
        <w:rPr>
          <w:rFonts w:ascii="Noto Naskh Arabic" w:hAnsi="Noto Naskh Arabic"/>
          <w:b/>
          <w:sz w:val="20"/>
        </w:rPr>
        <w:t xml:space="preserve">3.  </w:t>
      </w:r>
      <w:r>
        <w:rPr>
          <w:rFonts w:ascii="Noto Naskh Arabic" w:hAnsi="Noto Naskh Arabic"/>
          <w:b/>
          <w:i w:val="0"/>
          <w:color w:val="212529"/>
          <w:sz w:val="20"/>
        </w:rPr>
        <w:t>تشغيل الفحص السريع (~35 ثانية):</w:t>
      </w:r>
    </w:p>
    <w:p xml:lang="ar">
      <w:pPr w:bidi="true">
        <w:spacing w:before="0" w:after="80" w:line="276" w:lineRule="auto"/>
        <w:jc w:val="both"/>
      </w:pPr>
      <w:r>
        <w:rPr>
          <w:rFonts w:ascii="Noto Naskh Arabic" w:hAnsi="Noto Naskh Arabic"/>
          <w:b w:val="0"/>
          <w:i w:val="0"/>
          <w:color w:val="212529"/>
          <w:sz w:val="20"/>
        </w:rPr>
        <w:t xml:space="preserve">   ```bash</w:t>
      </w:r>
    </w:p>
    <w:p xml:lang="ar">
      <w:pPr w:bidi="true">
        <w:spacing w:before="0" w:after="80" w:line="276" w:lineRule="auto"/>
        <w:jc w:val="both"/>
      </w:pPr>
      <w:r>
        <w:rPr>
          <w:rFonts w:ascii="Noto Naskh Arabic" w:hAnsi="Noto Naskh Arabic"/>
          <w:b w:val="0"/>
          <w:i w:val="0"/>
          <w:color w:val="212529"/>
          <w:sz w:val="20"/>
        </w:rPr>
        <w:t xml:space="preserve">   npx tsx lab-testbed/runner/run-tests.mjs --mode baseline --run smoke-verify-1</w:t>
      </w:r>
    </w:p>
    <w:p xml:lang="ar">
      <w:pPr w:bidi="true">
        <w:spacing w:before="0" w:after="80" w:line="276" w:lineRule="auto"/>
        <w:jc w:val="both"/>
      </w:pPr>
      <w:r>
        <w:rPr>
          <w:rFonts w:ascii="Noto Naskh Arabic" w:hAnsi="Noto Naskh Arabic"/>
          <w:b w:val="0"/>
          <w:i w:val="0"/>
          <w:color w:val="212529"/>
          <w:sz w:val="20"/>
        </w:rPr>
        <w:t xml:space="preserve">   ```</w:t>
      </w:r>
    </w:p>
    <w:p xml:lang="ar">
      <w:pPr w:bidi="true">
        <w:spacing w:before="20" w:after="60" w:line="276" w:lineRule="auto"/>
        <w:jc w:val="right"/>
      </w:pPr>
      <w:r>
        <w:rPr>
          <w:rFonts w:ascii="Noto Naskh Arabic" w:hAnsi="Noto Naskh Arabic"/>
          <w:b/>
          <w:sz w:val="20"/>
        </w:rPr>
        <w:t xml:space="preserve">4.  </w:t>
      </w:r>
      <w:r>
        <w:rPr>
          <w:rFonts w:ascii="Noto Naskh Arabic" w:hAnsi="Noto Naskh Arabic"/>
          <w:b/>
          <w:i w:val="0"/>
          <w:color w:val="212529"/>
          <w:sz w:val="20"/>
        </w:rPr>
        <w:t>تجميع التقرير والتحليل الإحصائي (10 مللي ثانية):</w:t>
      </w:r>
    </w:p>
    <w:p xml:lang="ar">
      <w:pPr w:bidi="true">
        <w:spacing w:before="0" w:after="80" w:line="276" w:lineRule="auto"/>
        <w:jc w:val="both"/>
      </w:pPr>
      <w:r>
        <w:rPr>
          <w:rFonts w:ascii="Noto Naskh Arabic" w:hAnsi="Noto Naskh Arabic"/>
          <w:b w:val="0"/>
          <w:i w:val="0"/>
          <w:color w:val="212529"/>
          <w:sz w:val="20"/>
        </w:rPr>
        <w:t xml:space="preserve">   ```bash</w:t>
      </w:r>
    </w:p>
    <w:p xml:lang="ar">
      <w:pPr w:bidi="true">
        <w:spacing w:before="0" w:after="80" w:line="276" w:lineRule="auto"/>
        <w:jc w:val="both"/>
      </w:pPr>
      <w:r>
        <w:rPr>
          <w:rFonts w:ascii="Noto Naskh Arabic" w:hAnsi="Noto Naskh Arabic"/>
          <w:b w:val="0"/>
          <w:i w:val="0"/>
          <w:color w:val="212529"/>
          <w:sz w:val="20"/>
        </w:rPr>
        <w:t xml:space="preserve">   python3 lab-testbed/analyze.py</w:t>
      </w:r>
    </w:p>
    <w:p xml:lang="ar">
      <w:pPr w:bidi="true">
        <w:spacing w:before="0" w:after="80" w:line="276" w:lineRule="auto"/>
        <w:jc w:val="both"/>
      </w:pPr>
      <w:r>
        <w:rPr>
          <w:rFonts w:ascii="Noto Naskh Arabic" w:hAnsi="Noto Naskh Arabic"/>
          <w:b w:val="0"/>
          <w:i w:val="0"/>
          <w:color w:val="212529"/>
          <w:sz w:val="20"/>
        </w:rPr>
        <w:t xml:space="preserve">   cat lab-testbed/results/FINAL_REPORT.md</w:t>
      </w:r>
    </w:p>
    <w:p xml:lang="ar">
      <w:pPr w:bidi="true">
        <w:spacing w:before="0" w:after="80" w:line="276" w:lineRule="auto"/>
        <w:jc w:val="both"/>
      </w:pPr>
      <w:r>
        <w:rPr>
          <w:rFonts w:ascii="Noto Naskh Arabic" w:hAnsi="Noto Naskh Arabic"/>
          <w:b w:val="0"/>
          <w:i w:val="0"/>
          <w:color w:val="212529"/>
          <w:sz w:val="20"/>
        </w:rPr>
        <w:t xml:space="preserve">   ```</w:t>
      </w:r>
    </w:p>
    <w:p xml:lang="ar">
      <w:pPr w:bidi="true">
        <w:keepNext/>
        <w:spacing w:before="280" w:after="80"/>
        <w:jc w:val="right"/>
      </w:pPr>
      <w:r>
        <w:rPr>
          <w:rFonts w:ascii="Noto Naskh Arabic" w:hAnsi="Noto Naskh Arabic"/>
          <w:b/>
          <w:i w:val="0"/>
          <w:color w:val="0F2C59"/>
          <w:sz w:val="24"/>
        </w:rPr>
        <w:t>المراجع (References)</w:t>
      </w:r>
    </w:p>
    <w:p xml:lang="ar">
      <w:pPr w:bidi="true">
        <w:pStyle w:val="ListBullet"/>
        <w:spacing w:before="20" w:after="60" w:line="276" w:lineRule="auto"/>
        <w:jc w:val="right"/>
      </w:pPr>
      <w:r>
        <w:rPr>
          <w:rFonts w:ascii="Noto Naskh Arabic" w:hAnsi="Noto Naskh Arabic"/>
          <w:b/>
          <w:i w:val="0"/>
          <w:color w:val="212529"/>
          <w:sz w:val="20"/>
        </w:rPr>
        <w:t>Bühler, C., Biagiola, M., Di Grazia, L., &amp; Salvaneschi, G.</w:t>
      </w:r>
      <w:r>
        <w:rPr>
          <w:rFonts w:ascii="Noto Naskh Arabic" w:hAnsi="Noto Naskh Arabic"/>
          <w:b w:val="0"/>
          <w:i w:val="0"/>
          <w:color w:val="212529"/>
          <w:sz w:val="20"/>
        </w:rPr>
        <w:t xml:space="preserve"> (2026). AgentBound: Securing execution boundaries of AI agents. </w:t>
      </w:r>
      <w:r>
        <w:rPr>
          <w:rFonts w:ascii="Noto Naskh Arabic" w:hAnsi="Noto Naskh Arabic"/>
          <w:b w:val="0"/>
          <w:i/>
          <w:color w:val="212529"/>
          <w:sz w:val="20"/>
        </w:rPr>
        <w:t>To appear in Proceedings of the ACM Joint European Software Engineering Conference and Symposium on the Foundations of Software Engineering (ESEC/FSE)</w:t>
      </w:r>
      <w:r>
        <w:rPr>
          <w:rFonts w:ascii="Noto Naskh Arabic" w:hAnsi="Noto Naskh Arabic"/>
          <w:b w:val="0"/>
          <w:i w:val="0"/>
          <w:color w:val="212529"/>
          <w:sz w:val="20"/>
        </w:rPr>
        <w:t>. Preprint: arXiv:2502.16450. https://doi.org/10.1145/3808103</w:t>
      </w:r>
    </w:p>
    <w:p xml:lang="ar">
      <w:pPr w:bidi="true">
        <w:pStyle w:val="ListBullet"/>
        <w:spacing w:before="20" w:after="60" w:line="276" w:lineRule="auto"/>
        <w:jc w:val="right"/>
      </w:pPr>
      <w:r>
        <w:rPr>
          <w:rFonts w:ascii="Noto Naskh Arabic" w:hAnsi="Noto Naskh Arabic"/>
          <w:b/>
          <w:i w:val="0"/>
          <w:color w:val="212529"/>
          <w:sz w:val="20"/>
        </w:rPr>
        <w:t>Debenedetti, E., Zhang, J., Balunović, M., Beurer-Kellner, L., Fischer, M., &amp; Tramèr, F.</w:t>
      </w:r>
      <w:r>
        <w:rPr>
          <w:rFonts w:ascii="Noto Naskh Arabic" w:hAnsi="Noto Naskh Arabic"/>
          <w:b w:val="0"/>
          <w:i w:val="0"/>
          <w:color w:val="212529"/>
          <w:sz w:val="20"/>
        </w:rPr>
        <w:t xml:space="preserve"> (2024). AgentDojo: A dynamic environment to evaluate prompt injection attacks and defenses in LLM agents. </w:t>
      </w:r>
      <w:r>
        <w:rPr>
          <w:rFonts w:ascii="Noto Naskh Arabic" w:hAnsi="Noto Naskh Arabic"/>
          <w:b w:val="0"/>
          <w:i/>
          <w:color w:val="212529"/>
          <w:sz w:val="20"/>
        </w:rPr>
        <w:t>NeurIPS 2024 Datasets and Benchmarks Track</w:t>
      </w:r>
      <w:r>
        <w:rPr>
          <w:rFonts w:ascii="Noto Naskh Arabic" w:hAnsi="Noto Naskh Arabic"/>
          <w:b w:val="0"/>
          <w:i w:val="0"/>
          <w:color w:val="212529"/>
          <w:sz w:val="20"/>
        </w:rPr>
        <w:t>. https://arxiv.org/abs/2406.13352</w:t>
      </w:r>
    </w:p>
    <w:p xml:lang="ar">
      <w:pPr w:bidi="true">
        <w:pStyle w:val="ListBullet"/>
        <w:spacing w:before="20" w:after="60" w:line="276" w:lineRule="auto"/>
        <w:jc w:val="right"/>
      </w:pPr>
      <w:r>
        <w:rPr>
          <w:rFonts w:ascii="Noto Naskh Arabic" w:hAnsi="Noto Naskh Arabic"/>
          <w:b/>
          <w:i w:val="0"/>
          <w:color w:val="212529"/>
          <w:sz w:val="20"/>
        </w:rPr>
        <w:t>Greshake, K., Abdelnabi, S., Mishra, S., Endres, C., Holz, T., &amp; Fritz, M.</w:t>
      </w:r>
      <w:r>
        <w:rPr>
          <w:rFonts w:ascii="Noto Naskh Arabic" w:hAnsi="Noto Naskh Arabic"/>
          <w:b w:val="0"/>
          <w:i w:val="0"/>
          <w:color w:val="212529"/>
          <w:sz w:val="20"/>
        </w:rPr>
        <w:t xml:space="preserve"> (2023). Not what you've signed up for: Compromising real-world LLM-integrated applications with indirect prompt injection. </w:t>
      </w:r>
      <w:r>
        <w:rPr>
          <w:rFonts w:ascii="Noto Naskh Arabic" w:hAnsi="Noto Naskh Arabic"/>
          <w:b w:val="0"/>
          <w:i/>
          <w:color w:val="212529"/>
          <w:sz w:val="20"/>
        </w:rPr>
        <w:t>Proceedings of the 16th ACM Workshop on Artificial Intelligence and Security (AISEC 2023)</w:t>
      </w:r>
      <w:r>
        <w:rPr>
          <w:rFonts w:ascii="Noto Naskh Arabic" w:hAnsi="Noto Naskh Arabic"/>
          <w:b w:val="0"/>
          <w:i w:val="0"/>
          <w:color w:val="212529"/>
          <w:sz w:val="20"/>
        </w:rPr>
        <w:t>. https://arxiv.org/abs/2302.12173</w:t>
      </w:r>
    </w:p>
    <w:p xml:lang="ar">
      <w:pPr w:bidi="true">
        <w:pStyle w:val="ListBullet"/>
        <w:spacing w:before="20" w:after="60" w:line="276" w:lineRule="auto"/>
        <w:jc w:val="right"/>
      </w:pPr>
      <w:r>
        <w:rPr>
          <w:rFonts w:ascii="Noto Naskh Arabic" w:hAnsi="Noto Naskh Arabic"/>
          <w:b/>
          <w:i w:val="0"/>
          <w:color w:val="212529"/>
          <w:sz w:val="20"/>
        </w:rPr>
        <w:t>Hou, X., Zhao, Y., Wang, S., &amp; Wang, H.</w:t>
      </w:r>
      <w:r>
        <w:rPr>
          <w:rFonts w:ascii="Noto Naskh Arabic" w:hAnsi="Noto Naskh Arabic"/>
          <w:b w:val="0"/>
          <w:i w:val="0"/>
          <w:color w:val="212529"/>
          <w:sz w:val="20"/>
        </w:rPr>
        <w:t xml:space="preserve"> (2025). Model Context Protocol (MCP): Landscape, security threats, and future research directions. </w:t>
      </w:r>
      <w:r>
        <w:rPr>
          <w:rFonts w:ascii="Noto Naskh Arabic" w:hAnsi="Noto Naskh Arabic"/>
          <w:b w:val="0"/>
          <w:i/>
          <w:color w:val="212529"/>
          <w:sz w:val="20"/>
        </w:rPr>
        <w:t>arXiv preprint arXiv:2503.23278</w:t>
      </w:r>
      <w:r>
        <w:rPr>
          <w:rFonts w:ascii="Noto Naskh Arabic" w:hAnsi="Noto Naskh Arabic"/>
          <w:b w:val="0"/>
          <w:i w:val="0"/>
          <w:color w:val="212529"/>
          <w:sz w:val="20"/>
        </w:rPr>
        <w:t>. https://arxiv.org/abs/2503.23278</w:t>
      </w:r>
    </w:p>
    <w:p xml:lang="ar">
      <w:pPr w:bidi="true">
        <w:pStyle w:val="ListBullet"/>
        <w:spacing w:before="20" w:after="60" w:line="276" w:lineRule="auto"/>
        <w:jc w:val="right"/>
      </w:pPr>
      <w:r>
        <w:rPr>
          <w:rFonts w:ascii="Noto Naskh Arabic" w:hAnsi="Noto Naskh Arabic"/>
          <w:b/>
          <w:i w:val="0"/>
          <w:color w:val="212529"/>
          <w:sz w:val="20"/>
        </w:rPr>
        <w:t>Maloyan, N., &amp; Namiot, D.</w:t>
      </w:r>
      <w:r>
        <w:rPr>
          <w:rFonts w:ascii="Noto Naskh Arabic" w:hAnsi="Noto Naskh Arabic"/>
          <w:b w:val="0"/>
          <w:i w:val="0"/>
          <w:color w:val="212529"/>
          <w:sz w:val="20"/>
        </w:rPr>
        <w:t xml:space="preserve"> (2026). Breaking the Protocol: Security analysis of the Model Context Protocol specification and prompt injection vulnerabilities in tool-integrated LLM agents. </w:t>
      </w:r>
      <w:r>
        <w:rPr>
          <w:rFonts w:ascii="Noto Naskh Arabic" w:hAnsi="Noto Naskh Arabic"/>
          <w:b w:val="0"/>
          <w:i/>
          <w:color w:val="212529"/>
          <w:sz w:val="20"/>
        </w:rPr>
        <w:t>arXiv preprint arXiv:2601.17549</w:t>
      </w:r>
      <w:r>
        <w:rPr>
          <w:rFonts w:ascii="Noto Naskh Arabic" w:hAnsi="Noto Naskh Arabic"/>
          <w:b w:val="0"/>
          <w:i w:val="0"/>
          <w:color w:val="212529"/>
          <w:sz w:val="20"/>
        </w:rPr>
        <w:t>. https://arxiv.org/abs/2601.17549</w:t>
      </w:r>
    </w:p>
    <w:p xml:lang="ar">
      <w:pPr w:bidi="true">
        <w:pStyle w:val="ListBullet"/>
        <w:spacing w:before="20" w:after="60" w:line="276" w:lineRule="auto"/>
        <w:jc w:val="right"/>
      </w:pPr>
      <w:r>
        <w:rPr>
          <w:rFonts w:ascii="Noto Naskh Arabic" w:hAnsi="Noto Naskh Arabic"/>
          <w:b/>
          <w:i w:val="0"/>
          <w:color w:val="212529"/>
          <w:sz w:val="20"/>
        </w:rPr>
        <w:t>Model Context Protocol.</w:t>
      </w:r>
      <w:r>
        <w:rPr>
          <w:rFonts w:ascii="Noto Naskh Arabic" w:hAnsi="Noto Naskh Arabic"/>
          <w:b w:val="0"/>
          <w:i w:val="0"/>
          <w:color w:val="212529"/>
          <w:sz w:val="20"/>
        </w:rPr>
        <w:t xml:space="preserve"> (2026a). </w:t>
      </w:r>
      <w:r>
        <w:rPr>
          <w:rFonts w:ascii="Noto Naskh Arabic" w:hAnsi="Noto Naskh Arabic"/>
          <w:b w:val="0"/>
          <w:i/>
          <w:color w:val="212529"/>
          <w:sz w:val="20"/>
        </w:rPr>
        <w:t>ext-apps: Specification and SDK for the MCP Apps extension</w:t>
      </w:r>
      <w:r>
        <w:rPr>
          <w:rFonts w:ascii="Noto Naskh Arabic" w:hAnsi="Noto Naskh Arabic"/>
          <w:b w:val="0"/>
          <w:i w:val="0"/>
          <w:color w:val="212529"/>
          <w:sz w:val="20"/>
        </w:rPr>
        <w:t xml:space="preserve"> [Source code repository]. https://github.com/modelcontextprotocol/ext-apps</w:t>
      </w:r>
    </w:p>
    <w:p xml:lang="ar">
      <w:pPr w:bidi="true">
        <w:pStyle w:val="ListBullet"/>
        <w:spacing w:before="20" w:after="60" w:line="276" w:lineRule="auto"/>
        <w:jc w:val="right"/>
      </w:pPr>
      <w:r>
        <w:rPr>
          <w:rFonts w:ascii="Noto Naskh Arabic" w:hAnsi="Noto Naskh Arabic"/>
          <w:b/>
          <w:i w:val="0"/>
          <w:color w:val="212529"/>
          <w:sz w:val="20"/>
        </w:rPr>
        <w:t>Model Context Protocol.</w:t>
      </w:r>
      <w:r>
        <w:rPr>
          <w:rFonts w:ascii="Noto Naskh Arabic" w:hAnsi="Noto Naskh Arabic"/>
          <w:b w:val="0"/>
          <w:i w:val="0"/>
          <w:color w:val="212529"/>
          <w:sz w:val="20"/>
        </w:rPr>
        <w:t xml:space="preserve"> (2026b). </w:t>
      </w:r>
      <w:r>
        <w:rPr>
          <w:rFonts w:ascii="Noto Naskh Arabic" w:hAnsi="Noto Naskh Arabic"/>
          <w:b w:val="0"/>
          <w:i/>
          <w:color w:val="212529"/>
          <w:sz w:val="20"/>
        </w:rPr>
        <w:t>MCP Apps Specification (Revision 2026-01-26)</w:t>
      </w:r>
      <w:r>
        <w:rPr>
          <w:rFonts w:ascii="Noto Naskh Arabic" w:hAnsi="Noto Naskh Arabic"/>
          <w:b w:val="0"/>
          <w:i w:val="0"/>
          <w:color w:val="212529"/>
          <w:sz w:val="20"/>
        </w:rPr>
        <w:t>. Model Context Protocol Documentation. https://github.com/modelcontextprotocol/ext-apps/blob/main/specification/2026-01-26/apps.mdx</w:t>
      </w:r>
    </w:p>
    <w:p xml:lang="ar">
      <w:pPr w:bidi="true">
        <w:pStyle w:val="ListBullet"/>
        <w:spacing w:before="20" w:after="60" w:line="276" w:lineRule="auto"/>
        <w:jc w:val="right"/>
      </w:pPr>
      <w:r>
        <w:rPr>
          <w:rFonts w:ascii="Noto Naskh Arabic" w:hAnsi="Noto Naskh Arabic"/>
          <w:b/>
          <w:i w:val="0"/>
          <w:color w:val="212529"/>
          <w:sz w:val="20"/>
        </w:rPr>
        <w:t>Radosevich, B., &amp; Halloran, J.</w:t>
      </w:r>
      <w:r>
        <w:rPr>
          <w:rFonts w:ascii="Noto Naskh Arabic" w:hAnsi="Noto Naskh Arabic"/>
          <w:b w:val="0"/>
          <w:i w:val="0"/>
          <w:color w:val="212529"/>
          <w:sz w:val="20"/>
        </w:rPr>
        <w:t xml:space="preserve"> (2025). MCP safety audit: LLMs with the Model Context Protocol allow major security exploits. </w:t>
      </w:r>
      <w:r>
        <w:rPr>
          <w:rFonts w:ascii="Noto Naskh Arabic" w:hAnsi="Noto Naskh Arabic"/>
          <w:b w:val="0"/>
          <w:i/>
          <w:color w:val="212529"/>
          <w:sz w:val="20"/>
        </w:rPr>
        <w:t>arXiv preprint arXiv:2504.03767</w:t>
      </w:r>
      <w:r>
        <w:rPr>
          <w:rFonts w:ascii="Noto Naskh Arabic" w:hAnsi="Noto Naskh Arabic"/>
          <w:b w:val="0"/>
          <w:i w:val="0"/>
          <w:color w:val="212529"/>
          <w:sz w:val="20"/>
        </w:rPr>
        <w:t>. https://arxiv.org/abs/2504.03767</w:t>
      </w:r>
    </w:p>
    <w:p xml:lang="ar">
      <w:pPr w:bidi="true">
        <w:pStyle w:val="ListBullet"/>
        <w:spacing w:before="20" w:after="60" w:line="276" w:lineRule="auto"/>
        <w:jc w:val="right"/>
      </w:pPr>
      <w:r>
        <w:rPr>
          <w:rFonts w:ascii="Noto Naskh Arabic" w:hAnsi="Noto Naskh Arabic"/>
          <w:b/>
          <w:i w:val="0"/>
          <w:color w:val="212529"/>
          <w:sz w:val="20"/>
        </w:rPr>
        <w:t>Salomon, I., Yosef, L., Chafik, O., Swannack, J., Hefner, J., Pidkuiko, A., Cooper, N., Ashley, B., &amp; Christakis, A.</w:t>
      </w:r>
      <w:r>
        <w:rPr>
          <w:rFonts w:ascii="Noto Naskh Arabic" w:hAnsi="Noto Naskh Arabic"/>
          <w:b w:val="0"/>
          <w:i w:val="0"/>
          <w:color w:val="212529"/>
          <w:sz w:val="20"/>
        </w:rPr>
        <w:t xml:space="preserve"> (2026). </w:t>
      </w:r>
      <w:r>
        <w:rPr>
          <w:rFonts w:ascii="Noto Naskh Arabic" w:hAnsi="Noto Naskh Arabic"/>
          <w:b w:val="0"/>
          <w:i/>
          <w:color w:val="212529"/>
          <w:sz w:val="20"/>
        </w:rPr>
        <w:t>SEP-1865: MCP Apps — Interactive user interfaces for MCP</w:t>
      </w:r>
      <w:r>
        <w:rPr>
          <w:rFonts w:ascii="Noto Naskh Arabic" w:hAnsi="Noto Naskh Arabic"/>
          <w:b w:val="0"/>
          <w:i w:val="0"/>
          <w:color w:val="212529"/>
          <w:sz w:val="20"/>
        </w:rPr>
        <w:t>. Model Context Protocol Standards. https://modelcontextprotocol.io/seps/1865-mcp-apps-interactive-user-interfaces-for-mcp</w:t>
      </w:r>
    </w:p>
    <w:sectPr w:rsidR="00FC693F" w:rsidRPr="0006063C" w:rsidSect="00034616">
      <w:headerReference w:type="default" r:id="rId9"/>
      <w:footerReference w:type="default" r:id="rId10"/>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lang="ar">
    <w:pPr w:bidi="true">
      <w:pStyle w:val="Footer"/>
      <w:jc w:val="center"/>
    </w:pPr>
    <w:r>
      <w:rPr>
        <w:rFonts w:ascii="Noto Naskh Arabic" w:hAnsi="Noto Naskh Arabic"/>
        <w:color w:val="787878"/>
        <w:sz w:val="17"/>
      </w:rPr>
      <w:t xml:space="preserve">تقييم حدود الثقة في تطبيقات MCP Apps  |  الصفحة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lang="ar">
    <w:pPr w:bidi="true">
      <w:pStyle w:val="Header"/>
      <w:jc w:val="left"/>
    </w:pPr>
    <w:r>
      <w:rPr>
        <w:rFonts w:ascii="Noto Naskh Arabic" w:hAnsi="Noto Naskh Arabic"/>
        <w:color w:val="787878"/>
        <w:sz w:val="17"/>
      </w:rPr>
      <w:t>الجامعة الإماراتية الدولية | كلية الهندسة وتكنولوجيا المعلومات — ورقة بحثية محكمة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