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0A2540"/>
          <w:sz w:val="36"/>
        </w:rPr>
        <w:t>Evaluating Trust Boundaries in MCP Apps: An Experimental Study of Host-Mediated Capabilities</w:t>
      </w:r>
    </w:p>
    <w:p>
      <w:pPr>
        <w:spacing w:after="40"/>
        <w:jc w:val="center"/>
      </w:pPr>
      <w:r>
        <w:rPr>
          <w:rFonts w:ascii="Times New Roman" w:hAnsi="Times New Roman"/>
          <w:b/>
          <w:i w:val="0"/>
          <w:color w:val="212529"/>
          <w:sz w:val="21"/>
        </w:rPr>
        <w:t>Authors:</w:t>
      </w:r>
      <w:r>
        <w:rPr>
          <w:rFonts w:ascii="Times New Roman" w:hAnsi="Times New Roman"/>
          <w:b w:val="0"/>
          <w:i w:val="0"/>
          <w:color w:val="212529"/>
          <w:sz w:val="21"/>
        </w:rPr>
        <w:t xml:space="preserve"> Prof. Dr. Malik Nasir Ali Al-Jabri (Supervisor), Mubarak Walid Al-Hamadi, Yasin Abd Al-Aziz Al-Khalqi, Muhammad Saif Ali Al-Heimi</w:t>
      </w:r>
    </w:p>
    <w:p>
      <w:pPr>
        <w:spacing w:after="40"/>
        <w:jc w:val="center"/>
      </w:pPr>
      <w:r>
        <w:rPr>
          <w:rFonts w:ascii="Times New Roman" w:hAnsi="Times New Roman"/>
          <w:b/>
          <w:i w:val="0"/>
          <w:color w:val="475569"/>
          <w:sz w:val="19"/>
        </w:rPr>
        <w:t>Institution:</w:t>
      </w:r>
      <w:r>
        <w:rPr>
          <w:rFonts w:ascii="Times New Roman" w:hAnsi="Times New Roman"/>
          <w:b w:val="0"/>
          <w:i w:val="0"/>
          <w:color w:val="475569"/>
          <w:sz w:val="19"/>
        </w:rPr>
        <w:t xml:space="preserve"> Faculty of Engineering and Information Technology, Emirates International University (EIU), Sana'a, Yemen</w:t>
      </w:r>
    </w:p>
    <w:p>
      <w:pPr>
        <w:spacing w:after="240"/>
        <w:jc w:val="center"/>
      </w:pPr>
      <w:r>
        <w:rPr>
          <w:rFonts w:ascii="Times New Roman" w:hAnsi="Times New Roman"/>
          <w:b/>
          <w:i w:val="0"/>
          <w:color w:val="64748B"/>
          <w:sz w:val="19"/>
        </w:rPr>
        <w:t>Date:</w:t>
      </w:r>
      <w:r>
        <w:rPr>
          <w:rFonts w:ascii="Times New Roman" w:hAnsi="Times New Roman"/>
          <w:b w:val="0"/>
          <w:i w:val="0"/>
          <w:color w:val="64748B"/>
          <w:sz w:val="19"/>
        </w:rPr>
        <w:t xml:space="preserve"> September 2026</w:t>
      </w:r>
    </w:p>
    <w:p>
      <w:pPr>
        <w:keepNext/>
        <w:spacing w:before="280" w:after="80"/>
        <w:jc w:val="center"/>
      </w:pPr>
      <w:r>
        <w:rPr>
          <w:rFonts w:ascii="Times New Roman" w:hAnsi="Times New Roman"/>
          <w:b/>
          <w:color w:val="0F2C59"/>
          <w:sz w:val="23"/>
        </w:rPr>
        <w:t>ABSTRACT</w:t>
      </w:r>
    </w:p>
    <w:p>
      <w:pPr>
        <w:spacing w:before="0" w:after="80" w:line="276" w:lineRule="auto"/>
        <w:jc w:val="both"/>
      </w:pPr>
      <w:r>
        <w:rPr>
          <w:rFonts w:ascii="Times New Roman" w:hAnsi="Times New Roman"/>
          <w:b/>
          <w:i/>
          <w:sz w:val="20"/>
        </w:rPr>
        <w:t>Abstract—</w:t>
      </w:r>
      <w:r>
        <w:rPr>
          <w:rFonts w:ascii="Times New Roman" w:hAnsi="Times New Roman"/>
          <w:b w:val="0"/>
          <w:i w:val="0"/>
          <w:color w:val="212529"/>
          <w:sz w:val="19"/>
        </w:rPr>
        <w:t xml:space="preserve">The Model Context Protocol (MCP) standardizes how Large Language Model (LLM) agents interface with external data sources and execution tools. The emerging </w:t>
      </w:r>
      <w:r>
        <w:rPr>
          <w:rFonts w:ascii="Times New Roman" w:hAnsi="Times New Roman"/>
          <w:b/>
          <w:i w:val="0"/>
          <w:color w:val="212529"/>
          <w:sz w:val="19"/>
        </w:rPr>
        <w:t>MCP Apps</w:t>
      </w:r>
      <w:r>
        <w:rPr>
          <w:rFonts w:ascii="Times New Roman" w:hAnsi="Times New Roman"/>
          <w:b w:val="0"/>
          <w:i w:val="0"/>
          <w:color w:val="212529"/>
          <w:sz w:val="19"/>
        </w:rPr>
        <w:t xml:space="preserve"> extension (SEP-1865) advances this paradigm by enabling untrusted MCP servers to deliver interactive user interfaces rendered directly inside conversational client applications. While the specification mandates technical isolation via sandboxed iframes and restrictive Content Security Policies (CSP), it delegates the handling of </w:t>
      </w:r>
      <w:r>
        <w:rPr>
          <w:rFonts w:ascii="Times New Roman" w:hAnsi="Times New Roman"/>
          <w:b/>
          <w:i w:val="0"/>
          <w:color w:val="212529"/>
          <w:sz w:val="19"/>
        </w:rPr>
        <w:t>host-mediated capabilities</w:t>
      </w:r>
      <w:r>
        <w:rPr>
          <w:rFonts w:ascii="Times New Roman" w:hAnsi="Times New Roman"/>
          <w:b w:val="0"/>
          <w:i w:val="0"/>
          <w:color w:val="212529"/>
          <w:sz w:val="19"/>
        </w:rPr>
        <w:t>—specifically opening external links (</w:t>
      </w:r>
      <w:r>
        <w:rPr>
          <w:rFonts w:ascii="Consolas" w:hAnsi="Consolas"/>
          <w:b w:val="0"/>
          <w:i w:val="0"/>
          <w:color w:val="B42828"/>
          <w:sz w:val="18"/>
        </w:rPr>
        <w:t>ui/open-link</w:t>
      </w:r>
      <w:r>
        <w:rPr>
          <w:rFonts w:ascii="Times New Roman" w:hAnsi="Times New Roman"/>
          <w:b w:val="0"/>
          <w:i w:val="0"/>
          <w:color w:val="212529"/>
          <w:sz w:val="19"/>
        </w:rPr>
        <w:t>), injecting conversational messages (</w:t>
      </w:r>
      <w:r>
        <w:rPr>
          <w:rFonts w:ascii="Consolas" w:hAnsi="Consolas"/>
          <w:b w:val="0"/>
          <w:i w:val="0"/>
          <w:color w:val="B42828"/>
          <w:sz w:val="18"/>
        </w:rPr>
        <w:t>ui/message</w:t>
      </w:r>
      <w:r>
        <w:rPr>
          <w:rFonts w:ascii="Times New Roman" w:hAnsi="Times New Roman"/>
          <w:b w:val="0"/>
          <w:i w:val="0"/>
          <w:color w:val="212529"/>
          <w:sz w:val="19"/>
        </w:rPr>
        <w:t>), and altering the agent's context (</w:t>
      </w:r>
      <w:r>
        <w:rPr>
          <w:rFonts w:ascii="Consolas" w:hAnsi="Consolas"/>
          <w:b w:val="0"/>
          <w:i w:val="0"/>
          <w:color w:val="B42828"/>
          <w:sz w:val="18"/>
        </w:rPr>
        <w:t>ui/update-model-context</w:t>
      </w:r>
      <w:r>
        <w:rPr>
          <w:rFonts w:ascii="Times New Roman" w:hAnsi="Times New Roman"/>
          <w:b w:val="0"/>
          <w:i w:val="0"/>
          <w:color w:val="212529"/>
          <w:sz w:val="19"/>
        </w:rPr>
        <w:t>)—to host-level discretion.</w:t>
      </w:r>
    </w:p>
    <w:p>
      <w:pPr>
        <w:spacing w:before="0" w:after="80" w:line="276" w:lineRule="auto"/>
        <w:jc w:val="both"/>
      </w:pPr>
      <w:r>
        <w:rPr>
          <w:rFonts w:ascii="Times New Roman" w:hAnsi="Times New Roman"/>
          <w:b w:val="0"/>
          <w:i w:val="0"/>
          <w:color w:val="212529"/>
          <w:sz w:val="19"/>
        </w:rPr>
        <w:t>In this paper, we present, to our knowledge, the first empirical evaluation of the trust boundary between what browser sandboxing technically forbids and what the host client must govern by policy. We show that a fully specification-compliant baseline host, while successfully preventing direct DOM access and unauthorized network egress, permits untrusted applications to exfiltrate sensitive data (</w:t>
      </w:r>
      <w:r>
        <w:rPr>
          <w:rFonts w:ascii="Consolas" w:hAnsi="Consolas"/>
          <w:b w:val="0"/>
          <w:i w:val="0"/>
          <w:color w:val="B42828"/>
          <w:sz w:val="18"/>
        </w:rPr>
        <w:t>SYNTHETIC_SECRET_001</w:t>
      </w:r>
      <w:r>
        <w:rPr>
          <w:rFonts w:ascii="Times New Roman" w:hAnsi="Times New Roman"/>
          <w:b w:val="0"/>
          <w:i w:val="0"/>
          <w:color w:val="212529"/>
          <w:sz w:val="19"/>
        </w:rPr>
        <w:t>) through authorized host channels without explicit user approval.</w:t>
      </w:r>
    </w:p>
    <w:p>
      <w:pPr>
        <w:spacing w:before="0" w:after="80" w:line="276" w:lineRule="auto"/>
        <w:jc w:val="both"/>
      </w:pPr>
      <w:r>
        <w:rPr>
          <w:rFonts w:ascii="Times New Roman" w:hAnsi="Times New Roman"/>
          <w:b w:val="0"/>
          <w:i w:val="0"/>
          <w:color w:val="212529"/>
          <w:sz w:val="19"/>
        </w:rPr>
        <w:t xml:space="preserve">To resolve this vulnerability, we design, implement, and evaluate a lightweight host-side policy layer governed by four deterministic rules: protocol scheme validation, payload bounds (4 KB cap), explicit user consent gating, and a persistent visual provenance badge. Across an automated testbed of 41 experimental runs (yielding 180 granular latency measurements in headless Chromium), our proposed policy layer reduces unapproved sensitive actions from </w:t>
      </w:r>
      <w:r>
        <w:rPr>
          <w:rFonts w:ascii="Times New Roman" w:hAnsi="Times New Roman"/>
          <w:b/>
          <w:i w:val="0"/>
          <w:color w:val="212529"/>
          <w:sz w:val="19"/>
        </w:rPr>
        <w:t>15/15 down to 0/15</w:t>
      </w:r>
      <w:r>
        <w:rPr>
          <w:rFonts w:ascii="Times New Roman" w:hAnsi="Times New Roman"/>
          <w:b w:val="0"/>
          <w:i w:val="0"/>
          <w:color w:val="212529"/>
          <w:sz w:val="19"/>
        </w:rPr>
        <w:t xml:space="preserve">, completely eliminates secret leakage (10 events to 0), and demonstrates functional utility preservation across all three host-mediated channels in a dedicated confirmation trial (n=1). Furthermore, in-engine audit telemetry across all intercepted channels (n=410 events) demonstrates that the policy enforcement layer imposes a negligible median processing overhead of </w:t>
      </w:r>
      <w:r>
        <w:rPr>
          <w:rFonts w:ascii="Times New Roman" w:hAnsi="Times New Roman"/>
          <w:b/>
          <w:i w:val="0"/>
          <w:color w:val="212529"/>
          <w:sz w:val="19"/>
        </w:rPr>
        <w:t>≤ 0.1 ms</w:t>
      </w:r>
      <w:r>
        <w:rPr>
          <w:rFonts w:ascii="Times New Roman" w:hAnsi="Times New Roman"/>
          <w:b w:val="0"/>
          <w:i w:val="0"/>
          <w:color w:val="212529"/>
          <w:sz w:val="19"/>
        </w:rPr>
        <w:t xml:space="preserve"> (0.0 ms for tools and external links, 0.1 ms for chat messages and context updates; mean 0.06 ms, maximum 1.6 ms under nested context serialization), well beneath our pre-established operational threshold of 20 ms. These findings confirm all three research hypotheses (H1, H2, and H3 Accepted) and provide concrete implementation guidelines for secure host design in agentic computing architectures.</w:t>
      </w:r>
    </w:p>
    <w:p>
      <w:pPr>
        <w:spacing w:before="0" w:after="80" w:line="276" w:lineRule="auto"/>
        <w:jc w:val="both"/>
      </w:pPr>
      <w:r>
        <w:rPr>
          <w:rFonts w:ascii="Times New Roman" w:hAnsi="Times New Roman"/>
          <w:b/>
          <w:i/>
          <w:sz w:val="19"/>
        </w:rPr>
        <w:t>Index Terms—</w:t>
      </w:r>
      <w:r>
        <w:rPr>
          <w:rFonts w:ascii="Times New Roman" w:hAnsi="Times New Roman"/>
          <w:b w:val="0"/>
          <w:i w:val="0"/>
          <w:color w:val="212529"/>
          <w:sz w:val="19"/>
        </w:rPr>
        <w:t>Model Context Protocol (MCP), MCP Apps, LLM Agent Security, Host-Mediated Capabilities, Iframe Sandboxing, Prompt Injection, Trust Boundaries.</w:t>
      </w:r>
    </w:p>
    <w:p>
      <w:pPr>
        <w:keepNext/>
        <w:spacing w:before="280" w:after="80"/>
        <w:jc w:val="left"/>
      </w:pPr>
      <w:r>
        <w:rPr>
          <w:rFonts w:ascii="Times New Roman" w:hAnsi="Times New Roman"/>
          <w:b/>
          <w:color w:val="0F2C59"/>
          <w:sz w:val="23"/>
        </w:rPr>
        <w:t>I.  INTRODUCTION</w:t>
      </w:r>
    </w:p>
    <w:p>
      <w:pPr>
        <w:spacing w:before="0" w:after="80" w:line="276" w:lineRule="auto"/>
        <w:jc w:val="both"/>
      </w:pPr>
      <w:r>
        <w:rPr>
          <w:rFonts w:ascii="Times New Roman" w:hAnsi="Times New Roman"/>
          <w:b w:val="0"/>
          <w:i w:val="0"/>
          <w:color w:val="212529"/>
          <w:sz w:val="19"/>
        </w:rPr>
        <w:t>As Large Language Model (LLM) agents transition from passive text generation to autonomous workflow execution, standardized interface protocols have become essential infrastructure. The Model Context Protocol (MCP), introduced by Anthropic and broadly adopted across the AI industry, defines a client-server architecture enabling conversational agents to discover and invoke tools, inspect resources, and consume structured prompts across heterogeneous backends (Hou et al., 2025; Model Context Protocol, 2026b).</w:t>
      </w:r>
    </w:p>
    <w:p>
      <w:pPr>
        <w:spacing w:before="0" w:after="80" w:line="276" w:lineRule="auto"/>
        <w:jc w:val="both"/>
      </w:pPr>
      <w:r>
        <w:rPr>
          <w:rFonts w:ascii="Times New Roman" w:hAnsi="Times New Roman"/>
          <w:b w:val="0"/>
          <w:i w:val="0"/>
          <w:color w:val="212529"/>
          <w:sz w:val="19"/>
        </w:rPr>
        <w:t xml:space="preserve">Historically, tool execution within MCP remained text- and JSON-bound: a tool executed on an MCP server, and its raw output was injected back into the LLM's context window. However, complex workflows—such as financial modeling, interactive mapping, document annotation, and data visualization—suffer from significant usability friction when forced into textual exchanges. To address this limitation, </w:t>
      </w:r>
      <w:r>
        <w:rPr>
          <w:rFonts w:ascii="Times New Roman" w:hAnsi="Times New Roman"/>
          <w:b/>
          <w:i w:val="0"/>
          <w:color w:val="212529"/>
          <w:sz w:val="19"/>
        </w:rPr>
        <w:t>SEP-1865 (MCP Apps)</w:t>
      </w:r>
      <w:r>
        <w:rPr>
          <w:rFonts w:ascii="Times New Roman" w:hAnsi="Times New Roman"/>
          <w:b w:val="0"/>
          <w:i w:val="0"/>
          <w:color w:val="212529"/>
          <w:sz w:val="19"/>
        </w:rPr>
        <w:t xml:space="preserve"> introduced an extension allowing MCP servers to bundle rich, interactive web user interfaces (Salomon et al., 2026). When an agent calls an app-enabled tool, the host client fetches an HTML resource from the server and renders it inside a sandboxed browser frame alongside the conversation.</w:t>
      </w:r>
    </w:p>
    <w:p>
      <w:pPr>
        <w:keepNext/>
        <w:spacing w:before="200" w:after="60"/>
      </w:pPr>
      <w:r>
        <w:rPr>
          <w:rFonts w:ascii="Times New Roman" w:hAnsi="Times New Roman"/>
          <w:b/>
          <w:i/>
          <w:color w:val="1E3A8A"/>
          <w:sz w:val="21"/>
        </w:rPr>
        <w:t>A.  The Trust Boundary Problem</w:t>
      </w:r>
    </w:p>
    <w:p>
      <w:pPr>
        <w:spacing w:before="0" w:after="80" w:line="276" w:lineRule="auto"/>
        <w:jc w:val="both"/>
      </w:pPr>
      <w:r>
        <w:rPr>
          <w:rFonts w:ascii="Times New Roman" w:hAnsi="Times New Roman"/>
          <w:b w:val="0"/>
          <w:i w:val="0"/>
          <w:color w:val="212529"/>
          <w:sz w:val="19"/>
        </w:rPr>
        <w:t xml:space="preserve">The introduction of interactive web applications fundamentally alters the threat landscape of agent-user interactions. In traditional web security, an untrusted web page is confined to a browser tab using the Same-Origin Policy (SOP), the HTML5 </w:t>
      </w:r>
      <w:r>
        <w:rPr>
          <w:rFonts w:ascii="Consolas" w:hAnsi="Consolas"/>
          <w:b w:val="0"/>
          <w:i w:val="0"/>
          <w:color w:val="B42828"/>
          <w:sz w:val="18"/>
        </w:rPr>
        <w:t>sandbox</w:t>
      </w:r>
      <w:r>
        <w:rPr>
          <w:rFonts w:ascii="Times New Roman" w:hAnsi="Times New Roman"/>
          <w:b w:val="0"/>
          <w:i w:val="0"/>
          <w:color w:val="212529"/>
          <w:sz w:val="19"/>
        </w:rPr>
        <w:t xml:space="preserve"> attribute, and Content Security Policies (CSP). In MCP Apps, however, the embedded UI is </w:t>
      </w:r>
      <w:r>
        <w:rPr>
          <w:rFonts w:ascii="Times New Roman" w:hAnsi="Times New Roman"/>
          <w:b/>
          <w:i w:val="0"/>
          <w:color w:val="212529"/>
          <w:sz w:val="19"/>
        </w:rPr>
        <w:t>not merely a passive view</w:t>
      </w:r>
      <w:r>
        <w:rPr>
          <w:rFonts w:ascii="Times New Roman" w:hAnsi="Times New Roman"/>
          <w:b w:val="0"/>
          <w:i w:val="0"/>
          <w:color w:val="212529"/>
          <w:sz w:val="19"/>
        </w:rPr>
        <w:t xml:space="preserve">: it is an active participant in an agentic workflow that communicates bidirectional JSON-RPC messages with the parent host application via </w:t>
      </w:r>
      <w:r>
        <w:rPr>
          <w:rFonts w:ascii="Consolas" w:hAnsi="Consolas"/>
          <w:b w:val="0"/>
          <w:i w:val="0"/>
          <w:color w:val="B42828"/>
          <w:sz w:val="18"/>
        </w:rPr>
        <w:t>postMessage</w:t>
      </w:r>
      <w:r>
        <w:rPr>
          <w:rFonts w:ascii="Times New Roman" w:hAnsi="Times New Roman"/>
          <w:b w:val="0"/>
          <w:i w:val="0"/>
          <w:color w:val="212529"/>
          <w:sz w:val="19"/>
        </w:rPr>
        <w:t>.</w:t>
      </w:r>
    </w:p>
    <w:p>
      <w:pPr>
        <w:spacing w:before="0" w:after="80" w:line="276" w:lineRule="auto"/>
        <w:jc w:val="both"/>
      </w:pPr>
      <w:r>
        <w:rPr>
          <w:rFonts w:ascii="Times New Roman" w:hAnsi="Times New Roman"/>
          <w:b w:val="0"/>
          <w:i w:val="0"/>
          <w:color w:val="212529"/>
          <w:sz w:val="19"/>
        </w:rPr>
        <w:t>The official MCP Apps specification establishes two distinct defensive layers:</w:t>
      </w:r>
    </w:p>
    <w:p>
      <w:pPr>
        <w:spacing w:before="20" w:after="60" w:line="276" w:lineRule="auto"/>
        <w:ind w:left="360" w:hanging="360"/>
      </w:pPr>
      <w:r>
        <w:rPr>
          <w:rFonts w:ascii="Times New Roman" w:hAnsi="Times New Roman"/>
          <w:b/>
          <w:sz w:val="19"/>
        </w:rPr>
        <w:t xml:space="preserve">1.  </w:t>
      </w:r>
      <w:r>
        <w:rPr>
          <w:rFonts w:ascii="Times New Roman" w:hAnsi="Times New Roman"/>
          <w:b/>
          <w:i w:val="0"/>
          <w:color w:val="212529"/>
          <w:sz w:val="19"/>
        </w:rPr>
        <w:t>Mandatory Technical Isolation (MUST):</w:t>
      </w:r>
      <w:r>
        <w:rPr>
          <w:rFonts w:ascii="Times New Roman" w:hAnsi="Times New Roman"/>
          <w:b w:val="0"/>
          <w:i w:val="0"/>
          <w:color w:val="212529"/>
          <w:sz w:val="19"/>
        </w:rPr>
        <w:t xml:space="preserve"> The host </w:t>
      </w:r>
      <w:r>
        <w:rPr>
          <w:rFonts w:ascii="Times New Roman" w:hAnsi="Times New Roman"/>
          <w:b w:val="0"/>
          <w:i/>
          <w:color w:val="212529"/>
          <w:sz w:val="19"/>
        </w:rPr>
        <w:t>must</w:t>
      </w:r>
      <w:r>
        <w:rPr>
          <w:rFonts w:ascii="Times New Roman" w:hAnsi="Times New Roman"/>
          <w:b w:val="0"/>
          <w:i w:val="0"/>
          <w:color w:val="212529"/>
          <w:sz w:val="19"/>
        </w:rPr>
        <w:t xml:space="preserve"> isolate the app inside an iframe with restricted sandbox attributes (</w:t>
      </w:r>
      <w:r>
        <w:rPr>
          <w:rFonts w:ascii="Consolas" w:hAnsi="Consolas"/>
          <w:b w:val="0"/>
          <w:i w:val="0"/>
          <w:color w:val="B42828"/>
          <w:sz w:val="18"/>
        </w:rPr>
        <w:t>allow-scripts</w:t>
      </w:r>
      <w:r>
        <w:rPr>
          <w:rFonts w:ascii="Times New Roman" w:hAnsi="Times New Roman"/>
          <w:b w:val="0"/>
          <w:i w:val="0"/>
          <w:color w:val="212529"/>
          <w:sz w:val="19"/>
        </w:rPr>
        <w:t xml:space="preserve">, </w:t>
      </w:r>
      <w:r>
        <w:rPr>
          <w:rFonts w:ascii="Consolas" w:hAnsi="Consolas"/>
          <w:b w:val="0"/>
          <w:i w:val="0"/>
          <w:color w:val="B42828"/>
          <w:sz w:val="18"/>
        </w:rPr>
        <w:t>allow-same-origin</w:t>
      </w:r>
      <w:r>
        <w:rPr>
          <w:rFonts w:ascii="Times New Roman" w:hAnsi="Times New Roman"/>
          <w:b w:val="0"/>
          <w:i w:val="0"/>
          <w:color w:val="212529"/>
          <w:sz w:val="19"/>
        </w:rPr>
        <w:t xml:space="preserve">, </w:t>
      </w:r>
      <w:r>
        <w:rPr>
          <w:rFonts w:ascii="Consolas" w:hAnsi="Consolas"/>
          <w:b w:val="0"/>
          <w:i w:val="0"/>
          <w:color w:val="B42828"/>
          <w:sz w:val="18"/>
        </w:rPr>
        <w:t>allow-forms</w:t>
      </w:r>
      <w:r>
        <w:rPr>
          <w:rFonts w:ascii="Times New Roman" w:hAnsi="Times New Roman"/>
          <w:b w:val="0"/>
          <w:i w:val="0"/>
          <w:color w:val="212529"/>
          <w:sz w:val="19"/>
        </w:rPr>
        <w:t>) and enforce a Content Security Policy derived from the server's declared connection domains (</w:t>
      </w:r>
      <w:r>
        <w:rPr>
          <w:rFonts w:ascii="Consolas" w:hAnsi="Consolas"/>
          <w:b w:val="0"/>
          <w:i w:val="0"/>
          <w:color w:val="B42828"/>
          <w:sz w:val="18"/>
        </w:rPr>
        <w:t>connectDomains</w:t>
      </w:r>
      <w:r>
        <w:rPr>
          <w:rFonts w:ascii="Times New Roman" w:hAnsi="Times New Roman"/>
          <w:b w:val="0"/>
          <w:i w:val="0"/>
          <w:color w:val="212529"/>
          <w:sz w:val="19"/>
        </w:rPr>
        <w:t xml:space="preserve">). Furthermore, the host </w:t>
      </w:r>
      <w:r>
        <w:rPr>
          <w:rFonts w:ascii="Times New Roman" w:hAnsi="Times New Roman"/>
          <w:b w:val="0"/>
          <w:i/>
          <w:color w:val="212529"/>
          <w:sz w:val="19"/>
        </w:rPr>
        <w:t>must</w:t>
      </w:r>
      <w:r>
        <w:rPr>
          <w:rFonts w:ascii="Times New Roman" w:hAnsi="Times New Roman"/>
          <w:b w:val="0"/>
          <w:i w:val="0"/>
          <w:color w:val="212529"/>
          <w:sz w:val="19"/>
        </w:rPr>
        <w:t xml:space="preserve"> reject tool invocation requests (</w:t>
      </w:r>
      <w:r>
        <w:rPr>
          <w:rFonts w:ascii="Consolas" w:hAnsi="Consolas"/>
          <w:b w:val="0"/>
          <w:i w:val="0"/>
          <w:color w:val="B42828"/>
          <w:sz w:val="18"/>
        </w:rPr>
        <w:t>tools/call</w:t>
      </w:r>
      <w:r>
        <w:rPr>
          <w:rFonts w:ascii="Times New Roman" w:hAnsi="Times New Roman"/>
          <w:b w:val="0"/>
          <w:i w:val="0"/>
          <w:color w:val="212529"/>
          <w:sz w:val="19"/>
        </w:rPr>
        <w:t xml:space="preserve">) from apps if the target tool lacks the </w:t>
      </w:r>
      <w:r>
        <w:rPr>
          <w:rFonts w:ascii="Consolas" w:hAnsi="Consolas"/>
          <w:b w:val="0"/>
          <w:i w:val="0"/>
          <w:color w:val="B42828"/>
          <w:sz w:val="18"/>
        </w:rPr>
        <w:t>"app"</w:t>
      </w:r>
      <w:r>
        <w:rPr>
          <w:rFonts w:ascii="Times New Roman" w:hAnsi="Times New Roman"/>
          <w:b w:val="0"/>
          <w:i w:val="0"/>
          <w:color w:val="212529"/>
          <w:sz w:val="19"/>
        </w:rPr>
        <w:t xml:space="preserve"> visibility tag.</w:t>
      </w:r>
    </w:p>
    <w:p>
      <w:pPr>
        <w:spacing w:before="20" w:after="60" w:line="276" w:lineRule="auto"/>
        <w:ind w:left="360" w:hanging="360"/>
      </w:pPr>
      <w:r>
        <w:rPr>
          <w:rFonts w:ascii="Times New Roman" w:hAnsi="Times New Roman"/>
          <w:b/>
          <w:sz w:val="19"/>
        </w:rPr>
        <w:t xml:space="preserve">2.  </w:t>
      </w:r>
      <w:r>
        <w:rPr>
          <w:rFonts w:ascii="Times New Roman" w:hAnsi="Times New Roman"/>
          <w:b/>
          <w:i w:val="0"/>
          <w:color w:val="212529"/>
          <w:sz w:val="19"/>
        </w:rPr>
        <w:t>Host-Mediated Capabilities (Discretionary):</w:t>
      </w:r>
      <w:r>
        <w:rPr>
          <w:rFonts w:ascii="Times New Roman" w:hAnsi="Times New Roman"/>
          <w:b w:val="0"/>
          <w:i w:val="0"/>
          <w:color w:val="212529"/>
          <w:sz w:val="19"/>
        </w:rPr>
        <w:t xml:space="preserve"> The specification explicitly equips the embedded app with remote procedure call (RPC) methods to request host-level actions:</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ui/open-link</w:t>
      </w:r>
      <w:r>
        <w:rPr>
          <w:rFonts w:ascii="Times New Roman" w:hAnsi="Times New Roman"/>
          <w:b w:val="0"/>
          <w:i w:val="0"/>
          <w:color w:val="212529"/>
          <w:sz w:val="19"/>
        </w:rPr>
        <w:t>: Instructing the host to open a URL in the user's default browser.</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ui/message</w:t>
      </w:r>
      <w:r>
        <w:rPr>
          <w:rFonts w:ascii="Times New Roman" w:hAnsi="Times New Roman"/>
          <w:b w:val="0"/>
          <w:i w:val="0"/>
          <w:color w:val="212529"/>
          <w:sz w:val="19"/>
        </w:rPr>
        <w:t>: Injecting a message directly into the active user-agent chat history.</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ui/update-model-context</w:t>
      </w:r>
      <w:r>
        <w:rPr>
          <w:rFonts w:ascii="Times New Roman" w:hAnsi="Times New Roman"/>
          <w:b w:val="0"/>
          <w:i w:val="0"/>
          <w:color w:val="212529"/>
          <w:sz w:val="19"/>
        </w:rPr>
        <w:t>: Dynamically appending structured or unstructured context to the LLM's prompt window.</w:t>
      </w:r>
    </w:p>
    <w:p>
      <w:pPr>
        <w:spacing w:before="0" w:after="80" w:line="276" w:lineRule="auto"/>
        <w:jc w:val="both"/>
      </w:pPr>
      <w:r>
        <w:rPr>
          <w:rFonts w:ascii="Times New Roman" w:hAnsi="Times New Roman"/>
          <w:b w:val="0"/>
          <w:i w:val="0"/>
          <w:color w:val="212529"/>
          <w:sz w:val="19"/>
        </w:rPr>
        <w:t xml:space="preserve">Crucially, the specification states that the host </w:t>
      </w:r>
      <w:r>
        <w:rPr>
          <w:rFonts w:ascii="Times New Roman" w:hAnsi="Times New Roman"/>
          <w:b w:val="0"/>
          <w:i/>
          <w:color w:val="212529"/>
          <w:sz w:val="19"/>
        </w:rPr>
        <w:t>may</w:t>
      </w:r>
      <w:r>
        <w:rPr>
          <w:rFonts w:ascii="Times New Roman" w:hAnsi="Times New Roman"/>
          <w:b w:val="0"/>
          <w:i w:val="0"/>
          <w:color w:val="212529"/>
          <w:sz w:val="19"/>
        </w:rPr>
        <w:t xml:space="preserve"> prompt the user or apply local rules before servicing these requests, but it leaves the default governance semantics undefined. Consequently, a host that implements only the mandatory isolation primitives—which we define as a </w:t>
      </w:r>
      <w:r>
        <w:rPr>
          <w:rFonts w:ascii="Times New Roman" w:hAnsi="Times New Roman"/>
          <w:b/>
          <w:i w:val="0"/>
          <w:color w:val="212529"/>
          <w:sz w:val="19"/>
        </w:rPr>
        <w:t>specification-compliant baseline host</w:t>
      </w:r>
      <w:r>
        <w:rPr>
          <w:rFonts w:ascii="Times New Roman" w:hAnsi="Times New Roman"/>
          <w:b w:val="0"/>
          <w:i w:val="0"/>
          <w:color w:val="212529"/>
          <w:sz w:val="19"/>
        </w:rPr>
        <w:t>—dispatches these capabilities automatically upon request.</w:t>
      </w:r>
    </w:p>
    <w:p>
      <w:pPr>
        <w:keepNext/>
        <w:spacing w:before="160" w:after="40"/>
        <w:jc w:val="center"/>
      </w:pPr>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fig1_trust_boundary.png"/>
                    <pic:cNvPicPr/>
                  </pic:nvPicPr>
                  <pic:blipFill>
                    <a:blip r:embed="rId11"/>
                    <a:stretch>
                      <a:fillRect/>
                    </a:stretch>
                  </pic:blipFill>
                  <pic:spPr>
                    <a:xfrm>
                      <a:off x="0" y="0"/>
                      <a:ext cx="6217920" cy="3799840"/>
                    </a:xfrm>
                    <a:prstGeom prst="rect"/>
                  </pic:spPr>
                </pic:pic>
              </a:graphicData>
            </a:graphic>
          </wp:inline>
        </w:drawing>
      </w:r>
    </w:p>
    <w:p>
      <w:pPr>
        <w:spacing w:before="60" w:after="160"/>
        <w:jc w:val="center"/>
      </w:pPr>
      <w:r>
        <w:rPr>
          <w:rFonts w:ascii="Times New Roman" w:hAnsi="Times New Roman"/>
          <w:b w:val="0"/>
          <w:i/>
          <w:color w:val="475569"/>
          <w:sz w:val="18"/>
        </w:rPr>
        <w:t>Figure 1: Conceptual overview of the host client trust boundary, highlighting mandatory sandbox constraints and discretionary capability channels.</w:t>
      </w:r>
    </w:p>
    <w:p>
      <w:pPr>
        <w:keepNext/>
        <w:spacing w:before="200" w:after="60"/>
      </w:pPr>
      <w:r>
        <w:rPr>
          <w:rFonts w:ascii="Times New Roman" w:hAnsi="Times New Roman"/>
          <w:b/>
          <w:i/>
          <w:color w:val="1E3A8A"/>
          <w:sz w:val="21"/>
        </w:rPr>
        <w:t>B.  Motivation and Research Questions</w:t>
      </w:r>
    </w:p>
    <w:p>
      <w:pPr>
        <w:spacing w:before="0" w:after="80" w:line="276" w:lineRule="auto"/>
        <w:jc w:val="both"/>
      </w:pPr>
      <w:r>
        <w:rPr>
          <w:rFonts w:ascii="Times New Roman" w:hAnsi="Times New Roman"/>
          <w:b w:val="0"/>
          <w:i w:val="0"/>
          <w:color w:val="212529"/>
          <w:sz w:val="19"/>
        </w:rPr>
        <w:t>If an untrusted or compromised MCP server serves an interactive UI, what is the exact residual risk surface? Does standard iframe sandboxing protect the host against unauthorized exfiltration and context manipulation?</w:t>
      </w:r>
    </w:p>
    <w:p>
      <w:pPr>
        <w:spacing w:before="0" w:after="80" w:line="276" w:lineRule="auto"/>
        <w:jc w:val="both"/>
      </w:pPr>
      <w:r>
        <w:rPr>
          <w:rFonts w:ascii="Times New Roman" w:hAnsi="Times New Roman"/>
          <w:b w:val="0"/>
          <w:i w:val="0"/>
          <w:color w:val="212529"/>
          <w:sz w:val="19"/>
        </w:rPr>
        <w:t>This research investigates the boundary between technical isolation and host policy by formulating three concrete sub-problems:</w:t>
      </w:r>
    </w:p>
    <w:p>
      <w:pPr>
        <w:pStyle w:val="ListBullet"/>
        <w:spacing w:before="20" w:after="60" w:line="276" w:lineRule="auto"/>
      </w:pPr>
      <w:r>
        <w:rPr>
          <w:rFonts w:ascii="Times New Roman" w:hAnsi="Times New Roman"/>
          <w:b/>
          <w:i w:val="0"/>
          <w:color w:val="212529"/>
          <w:sz w:val="19"/>
        </w:rPr>
        <w:t>SP1:</w:t>
      </w:r>
      <w:r>
        <w:rPr>
          <w:rFonts w:ascii="Times New Roman" w:hAnsi="Times New Roman"/>
          <w:b w:val="0"/>
          <w:i w:val="0"/>
          <w:color w:val="212529"/>
          <w:sz w:val="19"/>
        </w:rPr>
        <w:t xml:space="preserve"> How can we empirically verify that a reference host strictly adheres to mandatory specification boundaries (CSP network gating and tool visibility)?</w:t>
      </w:r>
    </w:p>
    <w:p>
      <w:pPr>
        <w:pStyle w:val="ListBullet"/>
        <w:spacing w:before="20" w:after="60" w:line="276" w:lineRule="auto"/>
      </w:pPr>
      <w:r>
        <w:rPr>
          <w:rFonts w:ascii="Times New Roman" w:hAnsi="Times New Roman"/>
          <w:b/>
          <w:i w:val="0"/>
          <w:color w:val="212529"/>
          <w:sz w:val="19"/>
        </w:rPr>
        <w:t>SP2:</w:t>
      </w:r>
      <w:r>
        <w:rPr>
          <w:rFonts w:ascii="Times New Roman" w:hAnsi="Times New Roman"/>
          <w:b w:val="0"/>
          <w:i w:val="0"/>
          <w:color w:val="212529"/>
          <w:sz w:val="19"/>
        </w:rPr>
        <w:t xml:space="preserve"> To what extent can an untrusted MCP App exploit allowed host-mediated channels (</w:t>
      </w:r>
      <w:r>
        <w:rPr>
          <w:rFonts w:ascii="Consolas" w:hAnsi="Consolas"/>
          <w:b w:val="0"/>
          <w:i w:val="0"/>
          <w:color w:val="B42828"/>
          <w:sz w:val="18"/>
        </w:rPr>
        <w:t>ui/open-link</w:t>
      </w:r>
      <w:r>
        <w:rPr>
          <w:rFonts w:ascii="Times New Roman" w:hAnsi="Times New Roman"/>
          <w:b w:val="0"/>
          <w:i w:val="0"/>
          <w:color w:val="212529"/>
          <w:sz w:val="19"/>
        </w:rPr>
        <w:t xml:space="preserve">, </w:t>
      </w:r>
      <w:r>
        <w:rPr>
          <w:rFonts w:ascii="Consolas" w:hAnsi="Consolas"/>
          <w:b w:val="0"/>
          <w:i w:val="0"/>
          <w:color w:val="B42828"/>
          <w:sz w:val="18"/>
        </w:rPr>
        <w:t>ui/message</w:t>
      </w:r>
      <w:r>
        <w:rPr>
          <w:rFonts w:ascii="Times New Roman" w:hAnsi="Times New Roman"/>
          <w:b w:val="0"/>
          <w:i w:val="0"/>
          <w:color w:val="212529"/>
          <w:sz w:val="19"/>
        </w:rPr>
        <w:t xml:space="preserve">, </w:t>
      </w:r>
      <w:r>
        <w:rPr>
          <w:rFonts w:ascii="Consolas" w:hAnsi="Consolas"/>
          <w:b w:val="0"/>
          <w:i w:val="0"/>
          <w:color w:val="B42828"/>
          <w:sz w:val="18"/>
        </w:rPr>
        <w:t>ui/update-model-context</w:t>
      </w:r>
      <w:r>
        <w:rPr>
          <w:rFonts w:ascii="Times New Roman" w:hAnsi="Times New Roman"/>
          <w:b w:val="0"/>
          <w:i w:val="0"/>
          <w:color w:val="212529"/>
          <w:sz w:val="19"/>
        </w:rPr>
        <w:t>) to exfiltrate sensitive data or manipulate the model context without breaching the iframe sandbox?</w:t>
      </w:r>
    </w:p>
    <w:p>
      <w:pPr>
        <w:pStyle w:val="ListBullet"/>
        <w:spacing w:before="20" w:after="60" w:line="276" w:lineRule="auto"/>
      </w:pPr>
      <w:r>
        <w:rPr>
          <w:rFonts w:ascii="Times New Roman" w:hAnsi="Times New Roman"/>
          <w:b/>
          <w:i w:val="0"/>
          <w:color w:val="212529"/>
          <w:sz w:val="19"/>
        </w:rPr>
        <w:t>SP3:</w:t>
      </w:r>
      <w:r>
        <w:rPr>
          <w:rFonts w:ascii="Times New Roman" w:hAnsi="Times New Roman"/>
          <w:b w:val="0"/>
          <w:i w:val="0"/>
          <w:color w:val="212529"/>
          <w:sz w:val="19"/>
        </w:rPr>
        <w:t xml:space="preserve"> Can a lightweight, host-side policy layer mitigate this residual risk without disrupting legitimate application workflows or introducing perceptible latency overhead?</w:t>
      </w:r>
    </w:p>
    <w:p>
      <w:pPr>
        <w:keepNext/>
        <w:spacing w:before="280" w:after="80"/>
        <w:jc w:val="left"/>
      </w:pPr>
      <w:r>
        <w:rPr>
          <w:rFonts w:ascii="Times New Roman" w:hAnsi="Times New Roman"/>
          <w:b/>
          <w:color w:val="0F2C59"/>
          <w:sz w:val="23"/>
        </w:rPr>
        <w:t>II.  BACKGROUND AND RELATED WORK</w:t>
      </w:r>
    </w:p>
    <w:p>
      <w:pPr>
        <w:spacing w:before="0" w:after="80" w:line="276" w:lineRule="auto"/>
        <w:jc w:val="both"/>
      </w:pPr>
      <w:r>
        <w:rPr>
          <w:rFonts w:ascii="Times New Roman" w:hAnsi="Times New Roman"/>
          <w:b w:val="0"/>
          <w:i w:val="0"/>
          <w:color w:val="212529"/>
          <w:sz w:val="19"/>
        </w:rPr>
        <w:t>Security in tool-augmented LLM architectures has attracted extensive academic scrutiny. Research has predominantly examined risks stemming from external tool integration, unauthorized data access, and indirect prompt injection.</w:t>
      </w:r>
    </w:p>
    <w:p>
      <w:pPr>
        <w:keepNext/>
        <w:spacing w:before="200" w:after="60"/>
      </w:pPr>
      <w:r>
        <w:rPr>
          <w:rFonts w:ascii="Times New Roman" w:hAnsi="Times New Roman"/>
          <w:b/>
          <w:i/>
          <w:color w:val="1E3A8A"/>
          <w:sz w:val="21"/>
        </w:rPr>
        <w:t>A.  Security Threats in the Model Context Protocol</w:t>
      </w:r>
    </w:p>
    <w:p>
      <w:pPr>
        <w:spacing w:before="0" w:after="80" w:line="276" w:lineRule="auto"/>
        <w:jc w:val="both"/>
      </w:pPr>
      <w:r>
        <w:rPr>
          <w:rFonts w:ascii="Times New Roman" w:hAnsi="Times New Roman"/>
          <w:b w:val="0"/>
          <w:i w:val="0"/>
          <w:color w:val="212529"/>
          <w:sz w:val="19"/>
        </w:rPr>
        <w:t>Hou et al. (2025) conducted the first comprehensive survey of the Model Context Protocol, categorizing systemic vulnerabilities across server discovery, transport negotiation, and tool execution lifecycles. They highlighted that because LLMs lack intrinsic verification of external tool schemas, malicious or vulnerable servers can manipulate agent decisions through adversarial descriptions.</w:t>
      </w:r>
    </w:p>
    <w:p>
      <w:pPr>
        <w:spacing w:before="0" w:after="80" w:line="276" w:lineRule="auto"/>
        <w:jc w:val="both"/>
      </w:pPr>
      <w:r>
        <w:rPr>
          <w:rFonts w:ascii="Times New Roman" w:hAnsi="Times New Roman"/>
          <w:b w:val="0"/>
          <w:i w:val="0"/>
          <w:color w:val="212529"/>
          <w:sz w:val="19"/>
        </w:rPr>
        <w:t xml:space="preserve">Maloyan and Namiot (2026) published an empirical vulnerability analysis titled </w:t>
      </w:r>
      <w:r>
        <w:rPr>
          <w:rFonts w:ascii="Times New Roman" w:hAnsi="Times New Roman"/>
          <w:b w:val="0"/>
          <w:i/>
          <w:color w:val="212529"/>
          <w:sz w:val="19"/>
        </w:rPr>
        <w:t>Breaking the Protocol</w:t>
      </w:r>
      <w:r>
        <w:rPr>
          <w:rFonts w:ascii="Times New Roman" w:hAnsi="Times New Roman"/>
          <w:b w:val="0"/>
          <w:i w:val="0"/>
          <w:color w:val="212529"/>
          <w:sz w:val="19"/>
        </w:rPr>
        <w:t>, demonstrating that tool-integrated agents are susceptible to indirect prompt injection when server outputs contain embedded adversarial instructions. Similar findings were corroborated by Radosevich and Halloran (2025) in their safety audit of open-source MCP servers, which revealed extensive credential leakage and unauthorized tool chaining across developer implementations.</w:t>
      </w:r>
    </w:p>
    <w:p>
      <w:pPr>
        <w:keepNext/>
        <w:spacing w:before="200" w:after="60"/>
      </w:pPr>
      <w:r>
        <w:rPr>
          <w:rFonts w:ascii="Times New Roman" w:hAnsi="Times New Roman"/>
          <w:b/>
          <w:i/>
          <w:color w:val="1E3A8A"/>
          <w:sz w:val="21"/>
        </w:rPr>
        <w:t>B.  Execution Boundary Enforcement</w:t>
      </w:r>
    </w:p>
    <w:p>
      <w:pPr>
        <w:spacing w:before="0" w:after="80" w:line="276" w:lineRule="auto"/>
        <w:jc w:val="both"/>
      </w:pPr>
      <w:r>
        <w:rPr>
          <w:rFonts w:ascii="Times New Roman" w:hAnsi="Times New Roman"/>
          <w:b w:val="0"/>
          <w:i w:val="0"/>
          <w:color w:val="212529"/>
          <w:sz w:val="19"/>
        </w:rPr>
        <w:t>Prior efforts to contain tool-augmented agents have focused primarily on system-level operating system boundaries and benchmark environments:</w:t>
      </w:r>
    </w:p>
    <w:p>
      <w:pPr>
        <w:pStyle w:val="ListBullet"/>
        <w:spacing w:before="20" w:after="60" w:line="276" w:lineRule="auto"/>
      </w:pPr>
      <w:r>
        <w:rPr>
          <w:rFonts w:ascii="Times New Roman" w:hAnsi="Times New Roman"/>
          <w:b/>
          <w:i w:val="0"/>
          <w:color w:val="212529"/>
          <w:sz w:val="19"/>
        </w:rPr>
        <w:t>AgentBound (Bühler et al., 2026):</w:t>
      </w:r>
      <w:r>
        <w:rPr>
          <w:rFonts w:ascii="Times New Roman" w:hAnsi="Times New Roman"/>
          <w:b w:val="0"/>
          <w:i w:val="0"/>
          <w:color w:val="212529"/>
          <w:sz w:val="19"/>
        </w:rPr>
        <w:t xml:space="preserve"> Implemented system call interception, capability bounding, and process sandboxing to constrain autonomous code execution. While effective at the operating system layer, AgentBound operates beneath the application protocol layer and does not address web-based postMessage communications inside client applications.</w:t>
      </w:r>
    </w:p>
    <w:p>
      <w:pPr>
        <w:pStyle w:val="ListBullet"/>
        <w:spacing w:before="20" w:after="60" w:line="276" w:lineRule="auto"/>
      </w:pPr>
      <w:r>
        <w:rPr>
          <w:rFonts w:ascii="Times New Roman" w:hAnsi="Times New Roman"/>
          <w:b/>
          <w:i w:val="0"/>
          <w:color w:val="212529"/>
          <w:sz w:val="19"/>
        </w:rPr>
        <w:t>AgentDojo (Debenedetti et al., 2024):</w:t>
      </w:r>
      <w:r>
        <w:rPr>
          <w:rFonts w:ascii="Times New Roman" w:hAnsi="Times New Roman"/>
          <w:b w:val="0"/>
          <w:i w:val="0"/>
          <w:color w:val="212529"/>
          <w:sz w:val="19"/>
        </w:rPr>
        <w:t xml:space="preserve"> Provided a standardized evaluation framework measuring security defenses against prompt injection attacks while tracking legitimate utility preservation. We adopt AgentDojo's core philosophical premise: security mitigations are invalid if they systematically degrade legitimate functional workflows.</w:t>
      </w:r>
    </w:p>
    <w:p>
      <w:pPr>
        <w:pStyle w:val="ListBullet"/>
        <w:spacing w:before="20" w:after="60" w:line="276" w:lineRule="auto"/>
      </w:pPr>
      <w:r>
        <w:rPr>
          <w:rFonts w:ascii="Times New Roman" w:hAnsi="Times New Roman"/>
          <w:b/>
          <w:i w:val="0"/>
          <w:color w:val="212529"/>
          <w:sz w:val="19"/>
        </w:rPr>
        <w:t>Indirect Prompt Injection Literature (Greshake et al., 2023):</w:t>
      </w:r>
      <w:r>
        <w:rPr>
          <w:rFonts w:ascii="Times New Roman" w:hAnsi="Times New Roman"/>
          <w:b w:val="0"/>
          <w:i w:val="0"/>
          <w:color w:val="212529"/>
          <w:sz w:val="19"/>
        </w:rPr>
        <w:t xml:space="preserve"> Demonstrated that untrusted data ingested by an LLM can hijack the conversation flow. In MCP Apps, this vector is amplified because the embedded application possesses an explicit API (</w:t>
      </w:r>
      <w:r>
        <w:rPr>
          <w:rFonts w:ascii="Consolas" w:hAnsi="Consolas"/>
          <w:b w:val="0"/>
          <w:i w:val="0"/>
          <w:color w:val="B42828"/>
          <w:sz w:val="18"/>
        </w:rPr>
        <w:t>ui/update-model-context</w:t>
      </w:r>
      <w:r>
        <w:rPr>
          <w:rFonts w:ascii="Times New Roman" w:hAnsi="Times New Roman"/>
          <w:b w:val="0"/>
          <w:i w:val="0"/>
          <w:color w:val="212529"/>
          <w:sz w:val="19"/>
        </w:rPr>
        <w:t>) designed precisely to write data into the context window.</w:t>
      </w:r>
    </w:p>
    <w:p>
      <w:pPr>
        <w:keepNext/>
        <w:spacing w:before="200" w:after="60"/>
      </w:pPr>
      <w:r>
        <w:rPr>
          <w:rFonts w:ascii="Times New Roman" w:hAnsi="Times New Roman"/>
          <w:b/>
          <w:i/>
          <w:color w:val="1E3A8A"/>
          <w:sz w:val="21"/>
        </w:rPr>
        <w:t>C.  Research Gap</w:t>
      </w:r>
    </w:p>
    <w:p>
      <w:pPr>
        <w:spacing w:before="0" w:after="80" w:line="276" w:lineRule="auto"/>
        <w:jc w:val="both"/>
      </w:pPr>
      <w:r>
        <w:rPr>
          <w:rFonts w:ascii="Times New Roman" w:hAnsi="Times New Roman"/>
          <w:b w:val="0"/>
          <w:i w:val="0"/>
          <w:color w:val="212529"/>
          <w:sz w:val="19"/>
        </w:rPr>
        <w:t xml:space="preserve">While SEP-1865 (Salomon et al., 2026) and the official MCP Apps specification (Model Context Protocol, 2026b) detail the structural interface definitions for interactive UIs, they represent architectural specifications rather than empirical security evaluations. Prior literature has evaluated server-side tool risks (Hou et al., 2025) and model-level injection risks (Maloyan &amp; Namiot, 2026), but no empirical study has quantified the trust boundary of </w:t>
      </w:r>
      <w:r>
        <w:rPr>
          <w:rFonts w:ascii="Times New Roman" w:hAnsi="Times New Roman"/>
          <w:b/>
          <w:i w:val="0"/>
          <w:color w:val="212529"/>
          <w:sz w:val="19"/>
        </w:rPr>
        <w:t>host-mediated capabilities in MCP Apps</w:t>
      </w:r>
      <w:r>
        <w:rPr>
          <w:rFonts w:ascii="Times New Roman" w:hAnsi="Times New Roman"/>
          <w:b w:val="0"/>
          <w:i w:val="0"/>
          <w:color w:val="212529"/>
          <w:sz w:val="19"/>
        </w:rPr>
        <w:t>. This paper bridges that gap by implementing an automated, reproducible experimental testbed and providing quantitative evaluation data across baseline and hardened host configurations.</w:t>
      </w:r>
    </w:p>
    <w:p>
      <w:pPr>
        <w:keepNext/>
        <w:spacing w:before="280" w:after="80"/>
        <w:jc w:val="left"/>
      </w:pPr>
      <w:r>
        <w:rPr>
          <w:rFonts w:ascii="Times New Roman" w:hAnsi="Times New Roman"/>
          <w:b/>
          <w:color w:val="0F2C59"/>
          <w:sz w:val="23"/>
        </w:rPr>
        <w:t>III.  THREAT MODEL AND CAPABILITY ANALYSIS</w:t>
      </w:r>
    </w:p>
    <w:p>
      <w:pPr>
        <w:keepNext/>
        <w:spacing w:before="200" w:after="60"/>
      </w:pPr>
      <w:r>
        <w:rPr>
          <w:rFonts w:ascii="Times New Roman" w:hAnsi="Times New Roman"/>
          <w:b/>
          <w:i/>
          <w:color w:val="1E3A8A"/>
          <w:sz w:val="21"/>
        </w:rPr>
        <w:t>A.  Trust Assumptions</w:t>
      </w:r>
    </w:p>
    <w:p>
      <w:pPr>
        <w:spacing w:before="0" w:after="80" w:line="276" w:lineRule="auto"/>
        <w:jc w:val="both"/>
      </w:pPr>
      <w:r>
        <w:rPr>
          <w:rFonts w:ascii="Times New Roman" w:hAnsi="Times New Roman"/>
          <w:b w:val="0"/>
          <w:i w:val="0"/>
          <w:color w:val="212529"/>
          <w:sz w:val="19"/>
        </w:rPr>
        <w:t>We define a realistic, multi-party trust model reflective of production agent deployments:</w:t>
      </w:r>
    </w:p>
    <w:p>
      <w:pPr>
        <w:spacing w:before="20" w:after="60" w:line="276" w:lineRule="auto"/>
        <w:ind w:left="360" w:hanging="360"/>
      </w:pPr>
      <w:r>
        <w:rPr>
          <w:rFonts w:ascii="Times New Roman" w:hAnsi="Times New Roman"/>
          <w:b/>
          <w:sz w:val="19"/>
        </w:rPr>
        <w:t xml:space="preserve">1.  </w:t>
      </w:r>
      <w:r>
        <w:rPr>
          <w:rFonts w:ascii="Times New Roman" w:hAnsi="Times New Roman"/>
          <w:b/>
          <w:i w:val="0"/>
          <w:color w:val="212529"/>
          <w:sz w:val="19"/>
        </w:rPr>
        <w:t>The User &amp; Operating System:</w:t>
      </w:r>
      <w:r>
        <w:rPr>
          <w:rFonts w:ascii="Times New Roman" w:hAnsi="Times New Roman"/>
          <w:b w:val="0"/>
          <w:i w:val="0"/>
          <w:color w:val="212529"/>
          <w:sz w:val="19"/>
        </w:rPr>
        <w:t xml:space="preserve"> Fully trusted. The local machine executes a standard, uncompromised operating system and modern web browser engine (Chromium).</w:t>
      </w:r>
    </w:p>
    <w:p>
      <w:pPr>
        <w:spacing w:before="20" w:after="60" w:line="276" w:lineRule="auto"/>
        <w:ind w:left="360" w:hanging="360"/>
      </w:pPr>
      <w:r>
        <w:rPr>
          <w:rFonts w:ascii="Times New Roman" w:hAnsi="Times New Roman"/>
          <w:b/>
          <w:sz w:val="19"/>
        </w:rPr>
        <w:t xml:space="preserve">2.  </w:t>
      </w:r>
      <w:r>
        <w:rPr>
          <w:rFonts w:ascii="Times New Roman" w:hAnsi="Times New Roman"/>
          <w:b/>
          <w:i w:val="0"/>
          <w:color w:val="212529"/>
          <w:sz w:val="19"/>
        </w:rPr>
        <w:t>The Host Application:</w:t>
      </w:r>
      <w:r>
        <w:rPr>
          <w:rFonts w:ascii="Times New Roman" w:hAnsi="Times New Roman"/>
          <w:b w:val="0"/>
          <w:i w:val="0"/>
          <w:color w:val="212529"/>
          <w:sz w:val="19"/>
        </w:rPr>
        <w:t xml:space="preserve"> Trusted. The host client executes the LLM conversational interface, maintains agent state, and manages the lifecycle of embedded UI containers.</w:t>
      </w:r>
    </w:p>
    <w:p>
      <w:pPr>
        <w:spacing w:before="20" w:after="60" w:line="276" w:lineRule="auto"/>
        <w:ind w:left="360" w:hanging="360"/>
      </w:pPr>
      <w:r>
        <w:rPr>
          <w:rFonts w:ascii="Times New Roman" w:hAnsi="Times New Roman"/>
          <w:b/>
          <w:sz w:val="19"/>
        </w:rPr>
        <w:t xml:space="preserve">3.  </w:t>
      </w:r>
      <w:r>
        <w:rPr>
          <w:rFonts w:ascii="Times New Roman" w:hAnsi="Times New Roman"/>
          <w:b/>
          <w:i w:val="0"/>
          <w:color w:val="212529"/>
          <w:sz w:val="19"/>
        </w:rPr>
        <w:t>The LLM Backend:</w:t>
      </w:r>
      <w:r>
        <w:rPr>
          <w:rFonts w:ascii="Times New Roman" w:hAnsi="Times New Roman"/>
          <w:b w:val="0"/>
          <w:i w:val="0"/>
          <w:color w:val="212529"/>
          <w:sz w:val="19"/>
        </w:rPr>
        <w:t xml:space="preserve"> Semi-trusted. The model attempts to follow instructions faithfully but can be misled if poisoned data enters its context window.</w:t>
      </w:r>
    </w:p>
    <w:p>
      <w:pPr>
        <w:spacing w:before="20" w:after="60" w:line="276" w:lineRule="auto"/>
        <w:ind w:left="360" w:hanging="360"/>
      </w:pPr>
      <w:r>
        <w:rPr>
          <w:rFonts w:ascii="Times New Roman" w:hAnsi="Times New Roman"/>
          <w:b/>
          <w:sz w:val="19"/>
        </w:rPr>
        <w:t xml:space="preserve">4.  </w:t>
      </w:r>
      <w:r>
        <w:rPr>
          <w:rFonts w:ascii="Times New Roman" w:hAnsi="Times New Roman"/>
          <w:b/>
          <w:i w:val="0"/>
          <w:color w:val="212529"/>
          <w:sz w:val="19"/>
        </w:rPr>
        <w:t>The MCP Server &amp; MCP App UI:</w:t>
      </w:r>
      <w:r>
        <w:rPr>
          <w:rFonts w:ascii="Times New Roman" w:hAnsi="Times New Roman"/>
          <w:b w:val="0"/>
          <w:i w:val="0"/>
          <w:color w:val="212529"/>
          <w:sz w:val="19"/>
        </w:rPr>
        <w:t xml:space="preserve"> </w:t>
      </w:r>
      <w:r>
        <w:rPr>
          <w:rFonts w:ascii="Times New Roman" w:hAnsi="Times New Roman"/>
          <w:b/>
          <w:i w:val="0"/>
          <w:color w:val="212529"/>
          <w:sz w:val="19"/>
        </w:rPr>
        <w:t>Untrusted.</w:t>
      </w:r>
      <w:r>
        <w:rPr>
          <w:rFonts w:ascii="Times New Roman" w:hAnsi="Times New Roman"/>
          <w:b w:val="0"/>
          <w:i w:val="0"/>
          <w:color w:val="212529"/>
          <w:sz w:val="19"/>
        </w:rPr>
        <w:t xml:space="preserve"> The server may be authored by a third-party developer or compromised by an adversary. The attacker controls the server implementation, the tool metadata definitions, and the bundled JavaScript/HTML UI assets.</w:t>
      </w:r>
    </w:p>
    <w:p>
      <w:pPr>
        <w:keepNext/>
        <w:spacing w:before="200" w:after="60"/>
      </w:pPr>
      <w:r>
        <w:rPr>
          <w:rFonts w:ascii="Times New Roman" w:hAnsi="Times New Roman"/>
          <w:b/>
          <w:i/>
          <w:color w:val="1E3A8A"/>
          <w:sz w:val="21"/>
        </w:rPr>
        <w:t>B.  Attacker Capabilities and Objectives</w:t>
      </w:r>
    </w:p>
    <w:p>
      <w:pPr>
        <w:spacing w:before="0" w:after="80" w:line="276" w:lineRule="auto"/>
        <w:jc w:val="both"/>
      </w:pPr>
      <w:r>
        <w:rPr>
          <w:rFonts w:ascii="Times New Roman" w:hAnsi="Times New Roman"/>
          <w:b w:val="0"/>
          <w:i w:val="0"/>
          <w:color w:val="212529"/>
          <w:sz w:val="19"/>
        </w:rPr>
        <w:t>The adversary seeks to achieve one or more of the following goals without physical or shell access to the host machine:</w:t>
      </w:r>
    </w:p>
    <w:p>
      <w:pPr>
        <w:pStyle w:val="ListBullet"/>
        <w:spacing w:before="20" w:after="60" w:line="276" w:lineRule="auto"/>
      </w:pPr>
      <w:r>
        <w:rPr>
          <w:rFonts w:ascii="Times New Roman" w:hAnsi="Times New Roman"/>
          <w:b/>
          <w:i w:val="0"/>
          <w:color w:val="212529"/>
          <w:sz w:val="19"/>
        </w:rPr>
        <w:t>Confidentiality Breach (Data Exfiltration):</w:t>
      </w:r>
      <w:r>
        <w:rPr>
          <w:rFonts w:ascii="Times New Roman" w:hAnsi="Times New Roman"/>
          <w:b w:val="0"/>
          <w:i w:val="0"/>
          <w:color w:val="212529"/>
          <w:sz w:val="19"/>
        </w:rPr>
        <w:t xml:space="preserve"> Extract sensitive values residing in the host memory (modeled in our experiment by the synthetic constant </w:t>
      </w:r>
      <w:r>
        <w:rPr>
          <w:rFonts w:ascii="Consolas" w:hAnsi="Consolas"/>
          <w:b w:val="0"/>
          <w:i w:val="0"/>
          <w:color w:val="B42828"/>
          <w:sz w:val="18"/>
        </w:rPr>
        <w:t>SYNTHETIC_SECRET_001</w:t>
      </w:r>
      <w:r>
        <w:rPr>
          <w:rFonts w:ascii="Times New Roman" w:hAnsi="Times New Roman"/>
          <w:b w:val="0"/>
          <w:i w:val="0"/>
          <w:color w:val="212529"/>
          <w:sz w:val="19"/>
        </w:rPr>
        <w:t>).</w:t>
      </w:r>
    </w:p>
    <w:p>
      <w:pPr>
        <w:pStyle w:val="ListBullet"/>
        <w:spacing w:before="20" w:after="60" w:line="276" w:lineRule="auto"/>
      </w:pPr>
      <w:r>
        <w:rPr>
          <w:rFonts w:ascii="Times New Roman" w:hAnsi="Times New Roman"/>
          <w:b/>
          <w:i w:val="0"/>
          <w:color w:val="212529"/>
          <w:sz w:val="19"/>
        </w:rPr>
        <w:t>Integrity Breach (Context Poisoning / Prompt Hijacking):</w:t>
      </w:r>
      <w:r>
        <w:rPr>
          <w:rFonts w:ascii="Times New Roman" w:hAnsi="Times New Roman"/>
          <w:b w:val="0"/>
          <w:i w:val="0"/>
          <w:color w:val="212529"/>
          <w:sz w:val="19"/>
        </w:rPr>
        <w:t xml:space="preserve"> Inject unauthorized instructions into the active conversation history or model context window to manipulate subsequent agent reasoning.</w:t>
      </w:r>
    </w:p>
    <w:p>
      <w:pPr>
        <w:pStyle w:val="ListBullet"/>
        <w:spacing w:before="20" w:after="60" w:line="276" w:lineRule="auto"/>
      </w:pPr>
      <w:r>
        <w:rPr>
          <w:rFonts w:ascii="Times New Roman" w:hAnsi="Times New Roman"/>
          <w:b/>
          <w:i w:val="0"/>
          <w:color w:val="212529"/>
          <w:sz w:val="19"/>
        </w:rPr>
        <w:t>Impersonation (Trust-Boundary Spoofing):</w:t>
      </w:r>
      <w:r>
        <w:rPr>
          <w:rFonts w:ascii="Times New Roman" w:hAnsi="Times New Roman"/>
          <w:b w:val="0"/>
          <w:i w:val="0"/>
          <w:color w:val="212529"/>
          <w:sz w:val="19"/>
        </w:rPr>
        <w:t xml:space="preserve"> Mimic host UI elements to trick the user into believing an untrusted dialogue originates from the trusted host platform.</w:t>
      </w:r>
    </w:p>
    <w:p>
      <w:pPr>
        <w:keepNext/>
        <w:spacing w:before="200" w:after="60"/>
      </w:pPr>
      <w:r>
        <w:rPr>
          <w:rFonts w:ascii="Times New Roman" w:hAnsi="Times New Roman"/>
          <w:b/>
          <w:i/>
          <w:color w:val="1E3A8A"/>
          <w:sz w:val="21"/>
        </w:rPr>
        <w:t>C.  Scope and Out-of-Scope Boundaries</w:t>
      </w:r>
    </w:p>
    <w:p>
      <w:pPr>
        <w:spacing w:before="0" w:after="80" w:line="276" w:lineRule="auto"/>
        <w:jc w:val="both"/>
      </w:pPr>
      <w:r>
        <w:rPr>
          <w:rFonts w:ascii="Times New Roman" w:hAnsi="Times New Roman"/>
          <w:b w:val="0"/>
          <w:i w:val="0"/>
          <w:color w:val="212529"/>
          <w:sz w:val="19"/>
        </w:rPr>
        <w:t>In adherence to responsible research practices (detailed in Section 7):</w:t>
      </w:r>
    </w:p>
    <w:p>
      <w:pPr>
        <w:pStyle w:val="ListBullet"/>
        <w:spacing w:before="20" w:after="60" w:line="276" w:lineRule="auto"/>
      </w:pPr>
      <w:r>
        <w:rPr>
          <w:rFonts w:ascii="Times New Roman" w:hAnsi="Times New Roman"/>
          <w:b/>
          <w:i w:val="0"/>
          <w:color w:val="212529"/>
          <w:sz w:val="19"/>
        </w:rPr>
        <w:t>In Scope:</w:t>
      </w:r>
      <w:r>
        <w:rPr>
          <w:rFonts w:ascii="Times New Roman" w:hAnsi="Times New Roman"/>
          <w:b w:val="0"/>
          <w:i w:val="0"/>
          <w:color w:val="212529"/>
          <w:sz w:val="19"/>
        </w:rPr>
        <w:t xml:space="preserve"> Protocol-level capability abuse, postMessage RPC manipulation, CSP egress evaluation, tool visibility metadata enforcement, and host consent mechanics.</w:t>
      </w:r>
    </w:p>
    <w:p>
      <w:pPr>
        <w:pStyle w:val="ListBullet"/>
        <w:spacing w:before="20" w:after="60" w:line="276" w:lineRule="auto"/>
      </w:pPr>
      <w:r>
        <w:rPr>
          <w:rFonts w:ascii="Times New Roman" w:hAnsi="Times New Roman"/>
          <w:b/>
          <w:i w:val="0"/>
          <w:color w:val="212529"/>
          <w:sz w:val="19"/>
        </w:rPr>
        <w:t>Out of Scope:</w:t>
      </w:r>
      <w:r>
        <w:rPr>
          <w:rFonts w:ascii="Times New Roman" w:hAnsi="Times New Roman"/>
          <w:b w:val="0"/>
          <w:i w:val="0"/>
          <w:color w:val="212529"/>
          <w:sz w:val="19"/>
        </w:rPr>
        <w:t xml:space="preserve"> Zero-day browser vulnerabilities, kernel sandbox escapes, local operating system privilege escalation, network-level man-in-the-middle (MITM) attacks on TLS, and human social engineering trials.</w:t>
      </w:r>
    </w:p>
    <w:p>
      <w:pPr>
        <w:keepNext/>
        <w:spacing w:before="280" w:after="80"/>
        <w:jc w:val="left"/>
      </w:pPr>
      <w:r>
        <w:rPr>
          <w:rFonts w:ascii="Times New Roman" w:hAnsi="Times New Roman"/>
          <w:b/>
          <w:color w:val="0F2C59"/>
          <w:sz w:val="23"/>
        </w:rPr>
        <w:t>IV.  SYSTEM ARCHITECTURE &amp; PROPOSED POLICY LAYER</w:t>
      </w:r>
    </w:p>
    <w:p>
      <w:pPr>
        <w:spacing w:before="0" w:after="80" w:line="276" w:lineRule="auto"/>
        <w:jc w:val="both"/>
      </w:pPr>
      <w:r>
        <w:rPr>
          <w:rFonts w:ascii="Times New Roman" w:hAnsi="Times New Roman"/>
          <w:b w:val="0"/>
          <w:i w:val="0"/>
          <w:color w:val="212529"/>
          <w:sz w:val="19"/>
        </w:rPr>
        <w:t xml:space="preserve">To resolve the governance gap identified in the specification, we architected a modular, host-side policy enforcement engine integrated directly into the host's </w:t>
      </w:r>
      <w:r>
        <w:rPr>
          <w:rFonts w:ascii="Consolas" w:hAnsi="Consolas"/>
          <w:b w:val="0"/>
          <w:i w:val="0"/>
          <w:color w:val="B42828"/>
          <w:sz w:val="18"/>
        </w:rPr>
        <w:t>AppBridge</w:t>
      </w:r>
      <w:r>
        <w:rPr>
          <w:rFonts w:ascii="Times New Roman" w:hAnsi="Times New Roman"/>
          <w:b w:val="0"/>
          <w:i w:val="0"/>
          <w:color w:val="212529"/>
          <w:sz w:val="19"/>
        </w:rPr>
        <w:t xml:space="preserve"> lifecycle.</w:t>
      </w:r>
    </w:p>
    <w:p>
      <w:pPr>
        <w:keepNext/>
        <w:spacing w:before="160" w:after="40"/>
        <w:jc w:val="center"/>
      </w:pPr>
      <w:r>
        <w:drawing>
          <wp:inline xmlns:a="http://schemas.openxmlformats.org/drawingml/2006/main" xmlns:pic="http://schemas.openxmlformats.org/drawingml/2006/picture">
            <wp:extent cx="6217920" cy="3821430"/>
            <wp:docPr id="2" name="Picture 2"/>
            <wp:cNvGraphicFramePr>
              <a:graphicFrameLocks noChangeAspect="1"/>
            </wp:cNvGraphicFramePr>
            <a:graphic>
              <a:graphicData uri="http://schemas.openxmlformats.org/drawingml/2006/picture">
                <pic:pic>
                  <pic:nvPicPr>
                    <pic:cNvPr id="0" name="fig2_policy_engine.png"/>
                    <pic:cNvPicPr/>
                  </pic:nvPicPr>
                  <pic:blipFill>
                    <a:blip r:embed="rId12"/>
                    <a:stretch>
                      <a:fillRect/>
                    </a:stretch>
                  </pic:blipFill>
                  <pic:spPr>
                    <a:xfrm>
                      <a:off x="0" y="0"/>
                      <a:ext cx="6217920" cy="3821430"/>
                    </a:xfrm>
                    <a:prstGeom prst="rect"/>
                  </pic:spPr>
                </pic:pic>
              </a:graphicData>
            </a:graphic>
          </wp:inline>
        </w:drawing>
      </w:r>
    </w:p>
    <w:p>
      <w:pPr>
        <w:spacing w:before="60" w:after="160"/>
        <w:jc w:val="center"/>
      </w:pPr>
      <w:r>
        <w:rPr>
          <w:rFonts w:ascii="Times New Roman" w:hAnsi="Times New Roman"/>
          <w:b w:val="0"/>
          <w:i/>
          <w:color w:val="475569"/>
          <w:sz w:val="18"/>
        </w:rPr>
        <w:t>Figure 2: Modular architecture of the proposed host-side policy enforcement engine.</w:t>
      </w:r>
    </w:p>
    <w:p>
      <w:pPr>
        <w:keepNext/>
        <w:spacing w:before="200" w:after="60"/>
      </w:pPr>
      <w:r>
        <w:rPr>
          <w:rFonts w:ascii="Times New Roman" w:hAnsi="Times New Roman"/>
          <w:b/>
          <w:i/>
          <w:color w:val="1E3A8A"/>
          <w:sz w:val="21"/>
        </w:rPr>
        <w:t>A.  Rule 1: Protocol Scheme Validation for External Links</w:t>
      </w:r>
    </w:p>
    <w:p>
      <w:pPr>
        <w:spacing w:before="0" w:after="80" w:line="276" w:lineRule="auto"/>
        <w:jc w:val="both"/>
      </w:pPr>
      <w:r>
        <w:rPr>
          <w:rFonts w:ascii="Times New Roman" w:hAnsi="Times New Roman"/>
          <w:b w:val="0"/>
          <w:i w:val="0"/>
          <w:color w:val="212529"/>
          <w:sz w:val="19"/>
        </w:rPr>
        <w:t xml:space="preserve">When an embedded app invokes </w:t>
      </w:r>
      <w:r>
        <w:rPr>
          <w:rFonts w:ascii="Consolas" w:hAnsi="Consolas"/>
          <w:b w:val="0"/>
          <w:i w:val="0"/>
          <w:color w:val="B42828"/>
          <w:sz w:val="18"/>
        </w:rPr>
        <w:t>app.openLink({ url )</w:t>
      </w:r>
      <w:r>
        <w:rPr>
          <w:rFonts w:ascii="Times New Roman" w:hAnsi="Times New Roman"/>
          <w:b w:val="0"/>
          <w:i w:val="0"/>
          <w:color w:val="212529"/>
          <w:sz w:val="19"/>
        </w:rPr>
        <w:t xml:space="preserve">, the host intercepts the request before passing it to </w:t>
      </w:r>
      <w:r>
        <w:rPr>
          <w:rFonts w:ascii="Consolas" w:hAnsi="Consolas"/>
          <w:b w:val="0"/>
          <w:i w:val="0"/>
          <w:color w:val="B42828"/>
          <w:sz w:val="18"/>
        </w:rPr>
        <w:t>window.open()</w:t>
      </w:r>
      <w:r>
        <w:rPr>
          <w:rFonts w:ascii="Times New Roman" w:hAnsi="Times New Roman"/>
          <w:b w:val="0"/>
          <w:i w:val="0"/>
          <w:color w:val="212529"/>
          <w:sz w:val="19"/>
        </w:rPr>
        <w:t>. The policy verifies:</w:t>
      </w:r>
    </w:p>
    <w:p>
      <w:pPr>
        <w:spacing w:before="0" w:after="80" w:line="276" w:lineRule="auto"/>
        <w:jc w:val="both"/>
      </w:pPr>
      <w:r>
        <w:rPr>
          <w:rFonts w:ascii="Times New Roman" w:hAnsi="Times New Roman"/>
          <w:b w:val="0"/>
          <w:i w:val="0"/>
          <w:color w:val="212529"/>
          <w:sz w:val="19"/>
        </w:rPr>
        <w:t>$\Scheme(url) \∈ {\"http:", "https:"$</w:t>
      </w:r>
    </w:p>
    <w:p>
      <w:pPr>
        <w:spacing w:before="0" w:after="80" w:line="276" w:lineRule="auto"/>
        <w:jc w:val="both"/>
      </w:pPr>
      <w:r>
        <w:rPr>
          <w:rFonts w:ascii="Times New Roman" w:hAnsi="Times New Roman"/>
          <w:b w:val="0"/>
          <w:i w:val="0"/>
          <w:color w:val="212529"/>
          <w:sz w:val="19"/>
        </w:rPr>
        <w:t xml:space="preserve">Malformed URIs, </w:t>
      </w:r>
      <w:r>
        <w:rPr>
          <w:rFonts w:ascii="Consolas" w:hAnsi="Consolas"/>
          <w:b w:val="0"/>
          <w:i w:val="0"/>
          <w:color w:val="B42828"/>
          <w:sz w:val="18"/>
        </w:rPr>
        <w:t>javascript:</w:t>
      </w:r>
      <w:r>
        <w:rPr>
          <w:rFonts w:ascii="Times New Roman" w:hAnsi="Times New Roman"/>
          <w:b w:val="0"/>
          <w:i w:val="0"/>
          <w:color w:val="212529"/>
          <w:sz w:val="19"/>
        </w:rPr>
        <w:t xml:space="preserve"> pseudoprotocols, and raw filesystem links (</w:t>
      </w:r>
      <w:r>
        <w:rPr>
          <w:rFonts w:ascii="Consolas" w:hAnsi="Consolas"/>
          <w:b w:val="0"/>
          <w:i w:val="0"/>
          <w:color w:val="B42828"/>
          <w:sz w:val="18"/>
        </w:rPr>
        <w:t>file://</w:t>
      </w:r>
      <w:r>
        <w:rPr>
          <w:rFonts w:ascii="Times New Roman" w:hAnsi="Times New Roman"/>
          <w:b w:val="0"/>
          <w:i w:val="0"/>
          <w:color w:val="212529"/>
          <w:sz w:val="19"/>
        </w:rPr>
        <w:t>) are immediately rejected. If scheme validation passes, execution pauses until an explicit user consent prompt is resolved.</w:t>
      </w:r>
    </w:p>
    <w:p>
      <w:pPr>
        <w:keepNext/>
        <w:spacing w:before="200" w:after="60"/>
      </w:pPr>
      <w:r>
        <w:rPr>
          <w:rFonts w:ascii="Times New Roman" w:hAnsi="Times New Roman"/>
          <w:b/>
          <w:i/>
          <w:color w:val="1E3A8A"/>
          <w:sz w:val="21"/>
        </w:rPr>
        <w:t>B.  Rule 2: Message &amp; Model-Context Governance</w:t>
      </w:r>
    </w:p>
    <w:p>
      <w:pPr>
        <w:spacing w:before="0" w:after="80" w:line="276" w:lineRule="auto"/>
        <w:jc w:val="both"/>
      </w:pPr>
      <w:r>
        <w:rPr>
          <w:rFonts w:ascii="Times New Roman" w:hAnsi="Times New Roman"/>
          <w:b w:val="0"/>
          <w:i w:val="0"/>
          <w:color w:val="212529"/>
          <w:sz w:val="19"/>
        </w:rPr>
        <w:t>When an app attempts conversational injection (</w:t>
      </w:r>
      <w:r>
        <w:rPr>
          <w:rFonts w:ascii="Consolas" w:hAnsi="Consolas"/>
          <w:b w:val="0"/>
          <w:i w:val="0"/>
          <w:color w:val="B42828"/>
          <w:sz w:val="18"/>
        </w:rPr>
        <w:t>ui/message</w:t>
      </w:r>
      <w:r>
        <w:rPr>
          <w:rFonts w:ascii="Times New Roman" w:hAnsi="Times New Roman"/>
          <w:b w:val="0"/>
          <w:i w:val="0"/>
          <w:color w:val="212529"/>
          <w:sz w:val="19"/>
        </w:rPr>
        <w:t>) or context modification (</w:t>
      </w:r>
      <w:r>
        <w:rPr>
          <w:rFonts w:ascii="Consolas" w:hAnsi="Consolas"/>
          <w:b w:val="0"/>
          <w:i w:val="0"/>
          <w:color w:val="B42828"/>
          <w:sz w:val="18"/>
        </w:rPr>
        <w:t>ui/update-model-context</w:t>
      </w:r>
      <w:r>
        <w:rPr>
          <w:rFonts w:ascii="Times New Roman" w:hAnsi="Times New Roman"/>
          <w:b w:val="0"/>
          <w:i w:val="0"/>
          <w:color w:val="212529"/>
          <w:sz w:val="19"/>
        </w:rPr>
        <w:t>), the host calculates the byte length of the encoded JSON payload:</w:t>
      </w:r>
    </w:p>
    <w:p>
      <w:pPr>
        <w:spacing w:before="0" w:after="80" w:line="276" w:lineRule="auto"/>
        <w:jc w:val="both"/>
      </w:pPr>
      <w:r>
        <w:rPr>
          <w:rFonts w:ascii="Times New Roman" w:hAnsi="Times New Roman"/>
          <w:b w:val="0"/>
          <w:i w:val="0"/>
          <w:color w:val="212529"/>
          <w:sz w:val="19"/>
        </w:rPr>
        <w:t>$\Size(\params) = \ByteLength(\TextEncoder(\JSON.stringify(\params))) \≤ 4096\ bytes$</w:t>
      </w:r>
    </w:p>
    <w:p>
      <w:pPr>
        <w:spacing w:before="0" w:after="80" w:line="276" w:lineRule="auto"/>
        <w:jc w:val="both"/>
      </w:pPr>
      <w:r>
        <w:rPr>
          <w:rFonts w:ascii="Times New Roman" w:hAnsi="Times New Roman"/>
          <w:b w:val="0"/>
          <w:i w:val="0"/>
          <w:color w:val="212529"/>
          <w:sz w:val="19"/>
        </w:rPr>
        <w:t>Payloads exceeding 4 KB are rejected with an explicit policy denial error to prevent buffer exhaustion and token-context denial-of-service. Payloads within bounds are submitted to the user consent subsystem.</w:t>
      </w:r>
    </w:p>
    <w:p>
      <w:pPr>
        <w:keepNext/>
        <w:spacing w:before="200" w:after="60"/>
      </w:pPr>
      <w:r>
        <w:rPr>
          <w:rFonts w:ascii="Times New Roman" w:hAnsi="Times New Roman"/>
          <w:b/>
          <w:i/>
          <w:color w:val="1E3A8A"/>
          <w:sz w:val="21"/>
        </w:rPr>
        <w:t>C.  Rule 3: Visual Trust Boundary Marker (Source Badge)</w:t>
      </w:r>
    </w:p>
    <w:p>
      <w:pPr>
        <w:spacing w:before="0" w:after="80" w:line="276" w:lineRule="auto"/>
        <w:jc w:val="both"/>
      </w:pPr>
      <w:r>
        <w:rPr>
          <w:rFonts w:ascii="Times New Roman" w:hAnsi="Times New Roman"/>
          <w:b w:val="0"/>
          <w:i w:val="0"/>
          <w:color w:val="212529"/>
          <w:sz w:val="19"/>
        </w:rPr>
        <w:t>To eliminate visual impersonation, the host React rendering pipeline attaches a persistent, non-closable banner (</w:t>
      </w:r>
      <w:r>
        <w:rPr>
          <w:rFonts w:ascii="Consolas" w:hAnsi="Consolas"/>
          <w:b w:val="0"/>
          <w:i w:val="0"/>
          <w:color w:val="B42828"/>
          <w:sz w:val="18"/>
        </w:rPr>
        <w:t>[data-testid="source-badge"]</w:t>
      </w:r>
      <w:r>
        <w:rPr>
          <w:rFonts w:ascii="Times New Roman" w:hAnsi="Times New Roman"/>
          <w:b w:val="0"/>
          <w:i w:val="0"/>
          <w:color w:val="212529"/>
          <w:sz w:val="19"/>
        </w:rPr>
        <w:t>) above the iframe container:</w:t>
      </w: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Borders>
              <w:top w:val="single" w:sz="4" w:space="0" w:color="D0D5DD"/>
              <w:left w:val="single" w:sz="18" w:space="0" w:color="1F497D"/>
              <w:bottom w:val="single" w:sz="4" w:space="0" w:color="D0D5DD"/>
              <w:right w:val="single" w:sz="4" w:space="0" w:color="D0D5DD"/>
            </w:tcBorders>
          </w:tcPr>
          <w:p>
            <w:pPr>
              <w:spacing w:before="40" w:after="40" w:line="200" w:lineRule="exact"/>
            </w:pPr>
            <w:r>
              <w:rPr>
                <w:rFonts w:ascii="Consolas" w:hAnsi="Consolas"/>
                <w:color w:val="1E293B"/>
                <w:sz w:val="16"/>
              </w:rPr>
              <w:t>&lt;div data-testid="source-badge" className="source-badge"&gt;</w:t>
              <w:br/>
              <w:t xml:space="preserve">  &lt;span&gt;⚠ &lt;strong&gt;External Server UI.&lt;/strong&gt; Rendered by an untrusted MCP server.&lt;/span&gt;</w:t>
              <w:br/>
              <w:t>&lt;/div&gt;</w:t>
            </w:r>
          </w:p>
        </w:tc>
      </w:tr>
    </w:tbl>
    <w:p>
      <w:pPr>
        <w:spacing w:before="0" w:after="80" w:line="276" w:lineRule="auto"/>
        <w:jc w:val="both"/>
      </w:pPr>
      <w:r>
        <w:rPr>
          <w:rFonts w:ascii="Times New Roman" w:hAnsi="Times New Roman"/>
          <w:b w:val="0"/>
          <w:i w:val="0"/>
          <w:color w:val="212529"/>
          <w:sz w:val="19"/>
        </w:rPr>
        <w:t>Because this marker is rendered outside the iframe's DOM tree, the embedded app cannot hide, obscure, or alter it.</w:t>
      </w:r>
    </w:p>
    <w:p>
      <w:pPr>
        <w:keepNext/>
        <w:spacing w:before="200" w:after="60"/>
      </w:pPr>
      <w:r>
        <w:rPr>
          <w:rFonts w:ascii="Times New Roman" w:hAnsi="Times New Roman"/>
          <w:b/>
          <w:i/>
          <w:color w:val="1E3A8A"/>
          <w:sz w:val="21"/>
        </w:rPr>
        <w:t>D.  Rule 4: Structured, Non-Blocking Audit Telemetry</w:t>
      </w:r>
    </w:p>
    <w:p>
      <w:pPr>
        <w:spacing w:before="0" w:after="80" w:line="276" w:lineRule="auto"/>
        <w:jc w:val="both"/>
      </w:pPr>
      <w:r>
        <w:rPr>
          <w:rFonts w:ascii="Times New Roman" w:hAnsi="Times New Roman"/>
          <w:b w:val="0"/>
          <w:i w:val="0"/>
          <w:color w:val="212529"/>
          <w:sz w:val="19"/>
        </w:rPr>
        <w:t>Every policy decision is recorded as an immutable, structured event (</w:t>
      </w:r>
      <w:r>
        <w:rPr>
          <w:rFonts w:ascii="Consolas" w:hAnsi="Consolas"/>
          <w:b w:val="0"/>
          <w:i w:val="0"/>
          <w:color w:val="B42828"/>
          <w:sz w:val="18"/>
        </w:rPr>
        <w:t>PolicyEvent</w:t>
      </w:r>
      <w:r>
        <w:rPr>
          <w:rFonts w:ascii="Times New Roman" w:hAnsi="Times New Roman"/>
          <w:b w:val="0"/>
          <w:i w:val="0"/>
          <w:color w:val="212529"/>
          <w:sz w:val="19"/>
        </w:rPr>
        <w:t>) containing the timestamp, channel name, decision (</w:t>
      </w:r>
      <w:r>
        <w:rPr>
          <w:rFonts w:ascii="Consolas" w:hAnsi="Consolas"/>
          <w:b w:val="0"/>
          <w:i w:val="0"/>
          <w:color w:val="B42828"/>
          <w:sz w:val="18"/>
        </w:rPr>
        <w:t>allow</w:t>
      </w:r>
      <w:r>
        <w:rPr>
          <w:rFonts w:ascii="Times New Roman" w:hAnsi="Times New Roman"/>
          <w:b w:val="0"/>
          <w:i w:val="0"/>
          <w:color w:val="212529"/>
          <w:sz w:val="19"/>
        </w:rPr>
        <w:t xml:space="preserve"> or </w:t>
      </w:r>
      <w:r>
        <w:rPr>
          <w:rFonts w:ascii="Consolas" w:hAnsi="Consolas"/>
          <w:b w:val="0"/>
          <w:i w:val="0"/>
          <w:color w:val="B42828"/>
          <w:sz w:val="18"/>
        </w:rPr>
        <w:t>deny</w:t>
      </w:r>
      <w:r>
        <w:rPr>
          <w:rFonts w:ascii="Times New Roman" w:hAnsi="Times New Roman"/>
          <w:b w:val="0"/>
          <w:i w:val="0"/>
          <w:color w:val="212529"/>
          <w:sz w:val="19"/>
        </w:rPr>
        <w:t>), justification, consent state, and in-engine execution time (t_policy). Audit events are dispatched asynchronously via HTTP POST to the local audit collector:</w:t>
      </w: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Borders>
              <w:top w:val="single" w:sz="4" w:space="0" w:color="D0D5DD"/>
              <w:left w:val="single" w:sz="18" w:space="0" w:color="1F497D"/>
              <w:bottom w:val="single" w:sz="4" w:space="0" w:color="D0D5DD"/>
              <w:right w:val="single" w:sz="4" w:space="0" w:color="D0D5DD"/>
            </w:tcBorders>
          </w:tcPr>
          <w:p>
            <w:pPr>
              <w:spacing w:before="40" w:after="40" w:line="200" w:lineRule="exact"/>
            </w:pPr>
            <w:r>
              <w:rPr>
                <w:rFonts w:ascii="Consolas" w:hAnsi="Consolas"/>
                <w:color w:val="1E293B"/>
                <w:sz w:val="16"/>
              </w:rPr>
              <w:t>const ev: PolicyEvent = { runId, mode, seq, ts, channel, decision, reason, consented, tPolicyMs };</w:t>
              <w:br/>
              <w:t>fetch("http://localhost:3001/audit", { method: "POST", headers: { "Content-Type": "application/json" }, body: JSON.stringify(ev) }).catch(() =&gt; {});</w:t>
            </w:r>
          </w:p>
        </w:tc>
      </w:tr>
    </w:tbl>
    <w:p>
      <w:pPr>
        <w:spacing w:before="0" w:after="80" w:line="276" w:lineRule="auto"/>
        <w:jc w:val="both"/>
      </w:pPr>
      <w:r>
        <w:rPr>
          <w:rFonts w:ascii="Times New Roman" w:hAnsi="Times New Roman"/>
          <w:b w:val="0"/>
          <w:i w:val="0"/>
          <w:color w:val="212529"/>
          <w:sz w:val="19"/>
        </w:rPr>
        <w:t xml:space="preserve">Because the promise is unawaited, audit transmission imposes </w:t>
      </w:r>
      <w:r>
        <w:rPr>
          <w:rFonts w:ascii="Times New Roman" w:hAnsi="Times New Roman"/>
          <w:b/>
          <w:i w:val="0"/>
          <w:color w:val="212529"/>
          <w:sz w:val="19"/>
        </w:rPr>
        <w:t>zero blocking overhead</w:t>
      </w:r>
      <w:r>
        <w:rPr>
          <w:rFonts w:ascii="Times New Roman" w:hAnsi="Times New Roman"/>
          <w:b w:val="0"/>
          <w:i w:val="0"/>
          <w:color w:val="212529"/>
          <w:sz w:val="19"/>
        </w:rPr>
        <w:t xml:space="preserve"> on the host UI thread.</w:t>
      </w:r>
    </w:p>
    <w:p>
      <w:pPr>
        <w:keepNext/>
        <w:spacing w:before="200" w:after="60"/>
      </w:pPr>
      <w:r>
        <w:rPr>
          <w:rFonts w:ascii="Times New Roman" w:hAnsi="Times New Roman"/>
          <w:b/>
          <w:i/>
          <w:color w:val="1E3A8A"/>
          <w:sz w:val="21"/>
        </w:rPr>
        <w:t>E.  Mandatory Pre-requisite: Fail-Closed Tool Visibility Gate</w:t>
      </w:r>
    </w:p>
    <w:p>
      <w:pPr>
        <w:spacing w:before="0" w:after="80" w:line="276" w:lineRule="auto"/>
        <w:jc w:val="both"/>
      </w:pPr>
      <w:r>
        <w:rPr>
          <w:rFonts w:ascii="Times New Roman" w:hAnsi="Times New Roman"/>
          <w:b w:val="0"/>
          <w:i w:val="0"/>
          <w:color w:val="212529"/>
          <w:sz w:val="19"/>
        </w:rPr>
        <w:t xml:space="preserve">In addition to host-mediated capabilities, the specification states: </w:t>
      </w:r>
      <w:r>
        <w:rPr>
          <w:rFonts w:ascii="Times New Roman" w:hAnsi="Times New Roman"/>
          <w:b w:val="0"/>
          <w:i/>
          <w:color w:val="212529"/>
          <w:sz w:val="19"/>
        </w:rPr>
        <w:t>"Host MUST reject tools/call requests from apps for tools that don't include 'app' in visibility."</w:t>
      </w:r>
      <w:r>
        <w:rPr>
          <w:rFonts w:ascii="Times New Roman" w:hAnsi="Times New Roman"/>
          <w:b w:val="0"/>
          <w:i w:val="0"/>
          <w:color w:val="212529"/>
          <w:sz w:val="19"/>
        </w:rPr>
        <w:t xml:space="preserve"> To guarantee that baseline evaluation strictly reflects specification compliance rather than an SDK deficiency, we implemented a fail-closed tool visibility wrapper:</w:t>
      </w: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Borders>
              <w:top w:val="single" w:sz="4" w:space="0" w:color="D0D5DD"/>
              <w:left w:val="single" w:sz="18" w:space="0" w:color="1F497D"/>
              <w:bottom w:val="single" w:sz="4" w:space="0" w:color="D0D5DD"/>
              <w:right w:val="single" w:sz="4" w:space="0" w:color="D0D5DD"/>
            </w:tcBorders>
          </w:tcPr>
          <w:p>
            <w:pPr>
              <w:spacing w:before="40" w:after="40" w:line="200" w:lineRule="exact"/>
            </w:pPr>
            <w:r>
              <w:rPr>
                <w:rFonts w:ascii="Consolas" w:hAnsi="Consolas"/>
                <w:color w:val="1E293B"/>
                <w:sz w:val="16"/>
              </w:rPr>
              <w:t>export function gateToolVisibility(name: string): PolicyDecision {</w:t>
              <w:br/>
              <w:t xml:space="preserve">  if (!serverToolsForGate) {</w:t>
              <w:br/>
              <w:t xml:space="preserve">    return { allowed: false, reason: "fail-closed: tools metadata uninitialized", consented: null, elapsedMs: 0 };</w:t>
              <w:br/>
              <w:t xml:space="preserve">  }</w:t>
              <w:br/>
              <w:t xml:space="preserve">  const tool = serverToolsForGate.get(name);</w:t>
              <w:br/>
              <w:t xml:space="preserve">  if (!tool) return { allowed: false, reason: "unknown tool", consented: null, elapsedMs: 0 };</w:t>
              <w:br/>
              <w:t xml:space="preserve">  const visibility = tool._meta?.ui?.visibility;</w:t>
              <w:br/>
              <w:t xml:space="preserve">  const hasApp = !visibility || visibility.includes("app");</w:t>
              <w:br/>
              <w:t xml:space="preserve">  return { allowed: hasApp, reason: hasApp ? "tool visible" : "model-only visibility", consented: null, elapsedMs: 0 };</w:t>
              <w:br/>
              <w:t>}</w:t>
            </w:r>
          </w:p>
        </w:tc>
      </w:tr>
    </w:tbl>
    <w:p>
      <w:pPr>
        <w:keepNext/>
        <w:spacing w:before="280" w:after="80"/>
        <w:jc w:val="left"/>
      </w:pPr>
      <w:r>
        <w:rPr>
          <w:rFonts w:ascii="Times New Roman" w:hAnsi="Times New Roman"/>
          <w:b/>
          <w:color w:val="0F2C59"/>
          <w:sz w:val="23"/>
        </w:rPr>
        <w:t>V.  EXPERIMENTAL TESTBED &amp; METHODOLOGY</w:t>
      </w:r>
    </w:p>
    <w:p>
      <w:pPr>
        <w:keepNext/>
        <w:spacing w:before="200" w:after="60"/>
      </w:pPr>
      <w:r>
        <w:rPr>
          <w:rFonts w:ascii="Times New Roman" w:hAnsi="Times New Roman"/>
          <w:b/>
          <w:i/>
          <w:color w:val="1E3A8A"/>
          <w:sz w:val="21"/>
        </w:rPr>
        <w:t>A.  Testbed Architecture</w:t>
      </w:r>
    </w:p>
    <w:p>
      <w:pPr>
        <w:spacing w:before="0" w:after="80" w:line="276" w:lineRule="auto"/>
        <w:jc w:val="both"/>
      </w:pPr>
      <w:r>
        <w:rPr>
          <w:rFonts w:ascii="Times New Roman" w:hAnsi="Times New Roman"/>
          <w:b w:val="0"/>
          <w:i w:val="0"/>
          <w:color w:val="212529"/>
          <w:sz w:val="19"/>
        </w:rPr>
        <w:t>We implemented a fully automated, local testbed deployed across four dedicated network ports on a single Linux workstation:</w:t>
      </w:r>
    </w:p>
    <w:p>
      <w:pPr>
        <w:spacing w:before="20" w:after="60" w:line="276" w:lineRule="auto"/>
        <w:ind w:left="360" w:hanging="360"/>
      </w:pPr>
      <w:r>
        <w:rPr>
          <w:rFonts w:ascii="Times New Roman" w:hAnsi="Times New Roman"/>
          <w:b/>
          <w:sz w:val="19"/>
        </w:rPr>
        <w:t xml:space="preserve">1.  </w:t>
      </w:r>
      <w:r>
        <w:rPr>
          <w:rFonts w:ascii="Times New Roman" w:hAnsi="Times New Roman"/>
          <w:b/>
          <w:i w:val="0"/>
          <w:color w:val="212529"/>
          <w:sz w:val="19"/>
        </w:rPr>
        <w:t>MCP Server (`localhost:3001`):</w:t>
      </w:r>
      <w:r>
        <w:rPr>
          <w:rFonts w:ascii="Times New Roman" w:hAnsi="Times New Roman"/>
          <w:b w:val="0"/>
          <w:i w:val="0"/>
          <w:color w:val="212529"/>
          <w:sz w:val="19"/>
        </w:rPr>
        <w:t xml:space="preserve"> An Express-based MCP server providing Streamable HTTP transport and serving four tools:</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get-weather</w:t>
      </w:r>
      <w:r>
        <w:rPr>
          <w:rFonts w:ascii="Times New Roman" w:hAnsi="Times New Roman"/>
          <w:b w:val="0"/>
          <w:i w:val="0"/>
          <w:color w:val="212529"/>
          <w:sz w:val="19"/>
        </w:rPr>
        <w:t>: Legitimate tool with application visibility (</w:t>
      </w:r>
      <w:r>
        <w:rPr>
          <w:rFonts w:ascii="Consolas" w:hAnsi="Consolas"/>
          <w:b w:val="0"/>
          <w:i w:val="0"/>
          <w:color w:val="B42828"/>
          <w:sz w:val="18"/>
        </w:rPr>
        <w:t>["model", "app"]</w:t>
      </w:r>
      <w:r>
        <w:rPr>
          <w:rFonts w:ascii="Times New Roman" w:hAnsi="Times New Roman"/>
          <w:b w:val="0"/>
          <w:i w:val="0"/>
          <w:color w:val="212529"/>
          <w:sz w:val="19"/>
        </w:rPr>
        <w:t>), rendering a benign weather dashboard.</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get-time</w:t>
      </w:r>
      <w:r>
        <w:rPr>
          <w:rFonts w:ascii="Times New Roman" w:hAnsi="Times New Roman"/>
          <w:b w:val="0"/>
          <w:i w:val="0"/>
          <w:color w:val="212529"/>
          <w:sz w:val="19"/>
        </w:rPr>
        <w:t>: Benign utility tool returning an ISO timestamp, callable by all applications (used for baseline performance testing).</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read-secret</w:t>
      </w:r>
      <w:r>
        <w:rPr>
          <w:rFonts w:ascii="Times New Roman" w:hAnsi="Times New Roman"/>
          <w:b w:val="0"/>
          <w:i w:val="0"/>
          <w:color w:val="212529"/>
          <w:sz w:val="19"/>
        </w:rPr>
        <w:t>: Sensitive tool configured with model-only visibility (</w:t>
      </w:r>
      <w:r>
        <w:rPr>
          <w:rFonts w:ascii="Consolas" w:hAnsi="Consolas"/>
          <w:b w:val="0"/>
          <w:i w:val="0"/>
          <w:color w:val="B42828"/>
          <w:sz w:val="18"/>
        </w:rPr>
        <w:t>visibility: ["model"]</w:t>
      </w:r>
      <w:r>
        <w:rPr>
          <w:rFonts w:ascii="Times New Roman" w:hAnsi="Times New Roman"/>
          <w:b w:val="0"/>
          <w:i w:val="0"/>
          <w:color w:val="212529"/>
          <w:sz w:val="19"/>
        </w:rPr>
        <w:t xml:space="preserve">), containing </w:t>
      </w:r>
      <w:r>
        <w:rPr>
          <w:rFonts w:ascii="Consolas" w:hAnsi="Consolas"/>
          <w:b w:val="0"/>
          <w:i w:val="0"/>
          <w:color w:val="B42828"/>
          <w:sz w:val="18"/>
        </w:rPr>
        <w:t>SYNTHETIC_SECRET_001</w:t>
      </w:r>
      <w:r>
        <w:rPr>
          <w:rFonts w:ascii="Times New Roman" w:hAnsi="Times New Roman"/>
          <w:b w:val="0"/>
          <w:i w:val="0"/>
          <w:color w:val="212529"/>
          <w:sz w:val="19"/>
        </w:rPr>
        <w:t>.</w:t>
      </w:r>
    </w:p>
    <w:p>
      <w:pPr>
        <w:spacing w:before="0" w:after="80" w:line="276" w:lineRule="auto"/>
        <w:jc w:val="both"/>
      </w:pPr>
      <w:r>
        <w:rPr>
          <w:rFonts w:ascii="Times New Roman" w:hAnsi="Times New Roman"/>
          <w:b w:val="0"/>
          <w:i w:val="0"/>
          <w:color w:val="212529"/>
          <w:sz w:val="19"/>
        </w:rPr>
        <w:t xml:space="preserve">   - </w:t>
      </w:r>
      <w:r>
        <w:rPr>
          <w:rFonts w:ascii="Consolas" w:hAnsi="Consolas"/>
          <w:b w:val="0"/>
          <w:i w:val="0"/>
          <w:color w:val="B42828"/>
          <w:sz w:val="18"/>
        </w:rPr>
        <w:t>show-offer</w:t>
      </w:r>
      <w:r>
        <w:rPr>
          <w:rFonts w:ascii="Times New Roman" w:hAnsi="Times New Roman"/>
          <w:b w:val="0"/>
          <w:i w:val="0"/>
          <w:color w:val="212529"/>
          <w:sz w:val="19"/>
        </w:rPr>
        <w:t>: Tool serving the untrusted attack console UI.</w:t>
      </w:r>
    </w:p>
    <w:p>
      <w:pPr>
        <w:spacing w:before="20" w:after="60" w:line="276" w:lineRule="auto"/>
        <w:ind w:left="360" w:hanging="360"/>
      </w:pPr>
      <w:r>
        <w:rPr>
          <w:rFonts w:ascii="Times New Roman" w:hAnsi="Times New Roman"/>
          <w:b/>
          <w:sz w:val="19"/>
        </w:rPr>
        <w:t xml:space="preserve">2.  </w:t>
      </w:r>
      <w:r>
        <w:rPr>
          <w:rFonts w:ascii="Times New Roman" w:hAnsi="Times New Roman"/>
          <w:b/>
          <w:i w:val="0"/>
          <w:color w:val="212529"/>
          <w:sz w:val="19"/>
        </w:rPr>
        <w:t>Exfiltration Receiver (`localhost:9999`):</w:t>
      </w:r>
      <w:r>
        <w:rPr>
          <w:rFonts w:ascii="Times New Roman" w:hAnsi="Times New Roman"/>
          <w:b w:val="0"/>
          <w:i w:val="0"/>
          <w:color w:val="212529"/>
          <w:sz w:val="19"/>
        </w:rPr>
        <w:t xml:space="preserve"> An independent HTTP listener with an in-memory hit counter and append-only disk log (</w:t>
      </w:r>
      <w:r>
        <w:rPr>
          <w:rFonts w:ascii="Consolas" w:hAnsi="Consolas"/>
          <w:b w:val="0"/>
          <w:i w:val="0"/>
          <w:color w:val="B42828"/>
          <w:sz w:val="18"/>
        </w:rPr>
        <w:t>receiver-hits.jsonl</w:t>
      </w:r>
      <w:r>
        <w:rPr>
          <w:rFonts w:ascii="Times New Roman" w:hAnsi="Times New Roman"/>
          <w:b w:val="0"/>
          <w:i w:val="0"/>
          <w:color w:val="212529"/>
          <w:sz w:val="19"/>
        </w:rPr>
        <w:t xml:space="preserve">), exposing </w:t>
      </w:r>
      <w:r>
        <w:rPr>
          <w:rFonts w:ascii="Consolas" w:hAnsi="Consolas"/>
          <w:b w:val="0"/>
          <w:i w:val="0"/>
          <w:color w:val="B42828"/>
          <w:sz w:val="18"/>
        </w:rPr>
        <w:t>/exfil</w:t>
      </w:r>
      <w:r>
        <w:rPr>
          <w:rFonts w:ascii="Times New Roman" w:hAnsi="Times New Roman"/>
          <w:b w:val="0"/>
          <w:i w:val="0"/>
          <w:color w:val="212529"/>
          <w:sz w:val="19"/>
        </w:rPr>
        <w:t xml:space="preserve"> to log exfiltration events and </w:t>
      </w:r>
      <w:r>
        <w:rPr>
          <w:rFonts w:ascii="Consolas" w:hAnsi="Consolas"/>
          <w:b w:val="0"/>
          <w:i w:val="0"/>
          <w:color w:val="B42828"/>
          <w:sz w:val="18"/>
        </w:rPr>
        <w:t>/reset</w:t>
      </w:r>
      <w:r>
        <w:rPr>
          <w:rFonts w:ascii="Times New Roman" w:hAnsi="Times New Roman"/>
          <w:b w:val="0"/>
          <w:i w:val="0"/>
          <w:color w:val="212529"/>
          <w:sz w:val="19"/>
        </w:rPr>
        <w:t xml:space="preserve"> to clear state between runs. </w:t>
      </w:r>
      <w:r>
        <w:rPr>
          <w:rFonts w:ascii="Times New Roman" w:hAnsi="Times New Roman"/>
          <w:b w:val="0"/>
          <w:i/>
          <w:color w:val="212529"/>
          <w:sz w:val="19"/>
        </w:rPr>
        <w:t>(Note on telemetry: because the test runner issues `POST /reset` before each test run, `receiver-hits.jsonl` on disk reflects the post-reset state of the final benchmark run, while the per-run event files record the verified hit state captured prior to reset.)</w:t>
      </w:r>
    </w:p>
    <w:p>
      <w:pPr>
        <w:spacing w:before="20" w:after="60" w:line="276" w:lineRule="auto"/>
        <w:ind w:left="360" w:hanging="360"/>
      </w:pPr>
      <w:r>
        <w:rPr>
          <w:rFonts w:ascii="Times New Roman" w:hAnsi="Times New Roman"/>
          <w:b/>
          <w:sz w:val="19"/>
        </w:rPr>
        <w:t xml:space="preserve">3.  </w:t>
      </w:r>
      <w:r>
        <w:rPr>
          <w:rFonts w:ascii="Times New Roman" w:hAnsi="Times New Roman"/>
          <w:b/>
          <w:i w:val="0"/>
          <w:color w:val="212529"/>
          <w:sz w:val="19"/>
        </w:rPr>
        <w:t>Host Application (`localhost:8090`):</w:t>
      </w:r>
      <w:r>
        <w:rPr>
          <w:rFonts w:ascii="Times New Roman" w:hAnsi="Times New Roman"/>
          <w:b w:val="0"/>
          <w:i w:val="0"/>
          <w:color w:val="212529"/>
          <w:sz w:val="19"/>
        </w:rPr>
        <w:t xml:space="preserve"> Vite + React application providing conversational message logs, context displays, and the policy enforcement engine.</w:t>
      </w:r>
    </w:p>
    <w:p>
      <w:pPr>
        <w:spacing w:before="20" w:after="60" w:line="276" w:lineRule="auto"/>
        <w:ind w:left="360" w:hanging="360"/>
      </w:pPr>
      <w:r>
        <w:rPr>
          <w:rFonts w:ascii="Times New Roman" w:hAnsi="Times New Roman"/>
          <w:b/>
          <w:sz w:val="19"/>
        </w:rPr>
        <w:t xml:space="preserve">4.  </w:t>
      </w:r>
      <w:r>
        <w:rPr>
          <w:rFonts w:ascii="Times New Roman" w:hAnsi="Times New Roman"/>
          <w:b/>
          <w:i w:val="0"/>
          <w:color w:val="212529"/>
          <w:sz w:val="19"/>
        </w:rPr>
        <w:t>Sandbox Proxy (`localhost:8091`):</w:t>
      </w:r>
      <w:r>
        <w:rPr>
          <w:rFonts w:ascii="Times New Roman" w:hAnsi="Times New Roman"/>
          <w:b w:val="0"/>
          <w:i w:val="0"/>
          <w:color w:val="212529"/>
          <w:sz w:val="19"/>
        </w:rPr>
        <w:t xml:space="preserve"> Isolated origin serving </w:t>
      </w:r>
      <w:r>
        <w:rPr>
          <w:rFonts w:ascii="Consolas" w:hAnsi="Consolas"/>
          <w:b w:val="0"/>
          <w:i w:val="0"/>
          <w:color w:val="B42828"/>
          <w:sz w:val="18"/>
        </w:rPr>
        <w:t>sandbox.html</w:t>
      </w:r>
      <w:r>
        <w:rPr>
          <w:rFonts w:ascii="Times New Roman" w:hAnsi="Times New Roman"/>
          <w:b w:val="0"/>
          <w:i w:val="0"/>
          <w:color w:val="212529"/>
          <w:sz w:val="19"/>
        </w:rPr>
        <w:t xml:space="preserve"> to instantiate the inner untrusted iframe. In accordance with SEP-1865, the iframe enforces </w:t>
      </w:r>
      <w:r>
        <w:rPr>
          <w:rFonts w:ascii="Consolas" w:hAnsi="Consolas"/>
          <w:b w:val="0"/>
          <w:i w:val="0"/>
          <w:color w:val="B42828"/>
          <w:sz w:val="18"/>
        </w:rPr>
        <w:t>sandbox="allow-scripts allow-same-origin allow-forms"</w:t>
      </w:r>
      <w:r>
        <w:rPr>
          <w:rFonts w:ascii="Times New Roman" w:hAnsi="Times New Roman"/>
          <w:b w:val="0"/>
          <w:i w:val="0"/>
          <w:color w:val="212529"/>
          <w:sz w:val="19"/>
        </w:rPr>
        <w:t xml:space="preserve">; the </w:t>
      </w:r>
      <w:r>
        <w:rPr>
          <w:rFonts w:ascii="Consolas" w:hAnsi="Consolas"/>
          <w:b w:val="0"/>
          <w:i w:val="0"/>
          <w:color w:val="B42828"/>
          <w:sz w:val="18"/>
        </w:rPr>
        <w:t>allow-forms</w:t>
      </w:r>
      <w:r>
        <w:rPr>
          <w:rFonts w:ascii="Times New Roman" w:hAnsi="Times New Roman"/>
          <w:b w:val="0"/>
          <w:i w:val="0"/>
          <w:color w:val="212529"/>
          <w:sz w:val="19"/>
        </w:rPr>
        <w:t xml:space="preserve"> permission is specifically required to support interactive controls (such as search inputs and submit buttons) in legitimate MCP Apps without breaking user interaction.</w:t>
      </w:r>
    </w:p>
    <w:p>
      <w:pPr>
        <w:keepNext/>
        <w:spacing w:before="160" w:after="40"/>
        <w:jc w:val="center"/>
      </w:pPr>
      <w:r>
        <w:drawing>
          <wp:inline xmlns:a="http://schemas.openxmlformats.org/drawingml/2006/main" xmlns:pic="http://schemas.openxmlformats.org/drawingml/2006/picture">
            <wp:extent cx="6217920" cy="3799840"/>
            <wp:docPr id="3" name="Picture 3"/>
            <wp:cNvGraphicFramePr>
              <a:graphicFrameLocks noChangeAspect="1"/>
            </wp:cNvGraphicFramePr>
            <a:graphic>
              <a:graphicData uri="http://schemas.openxmlformats.org/drawingml/2006/picture">
                <pic:pic>
                  <pic:nvPicPr>
                    <pic:cNvPr id="0" name="fig3_topology.png"/>
                    <pic:cNvPicPr/>
                  </pic:nvPicPr>
                  <pic:blipFill>
                    <a:blip r:embed="rId13"/>
                    <a:stretch>
                      <a:fillRect/>
                    </a:stretch>
                  </pic:blipFill>
                  <pic:spPr>
                    <a:xfrm>
                      <a:off x="0" y="0"/>
                      <a:ext cx="6217920" cy="3799840"/>
                    </a:xfrm>
                    <a:prstGeom prst="rect"/>
                  </pic:spPr>
                </pic:pic>
              </a:graphicData>
            </a:graphic>
          </wp:inline>
        </w:drawing>
      </w:r>
    </w:p>
    <w:p>
      <w:pPr>
        <w:spacing w:before="60" w:after="160"/>
        <w:jc w:val="center"/>
      </w:pPr>
      <w:r>
        <w:rPr>
          <w:rFonts w:ascii="Times New Roman" w:hAnsi="Times New Roman"/>
          <w:b w:val="0"/>
          <w:i/>
          <w:color w:val="475569"/>
          <w:sz w:val="18"/>
        </w:rPr>
        <w:t>Figure 3: Laboratory testbed network topology across four isolated local ports (:8090, :8091, :3001, :9999).</w:t>
      </w:r>
    </w:p>
    <w:p>
      <w:pPr>
        <w:keepNext/>
        <w:spacing w:before="200" w:after="60"/>
      </w:pPr>
      <w:r>
        <w:rPr>
          <w:rFonts w:ascii="Times New Roman" w:hAnsi="Times New Roman"/>
          <w:b/>
          <w:i/>
          <w:color w:val="1E3A8A"/>
          <w:sz w:val="21"/>
        </w:rPr>
        <w:t>B.  Test Matrix and Execution Methodology (Cases T1 through T7)</w:t>
      </w:r>
    </w:p>
    <w:p>
      <w:pPr>
        <w:spacing w:before="0" w:after="80" w:line="276" w:lineRule="auto"/>
        <w:jc w:val="both"/>
      </w:pPr>
      <w:r>
        <w:rPr>
          <w:rFonts w:ascii="Times New Roman" w:hAnsi="Times New Roman"/>
          <w:b w:val="0"/>
          <w:i w:val="0"/>
          <w:color w:val="212529"/>
          <w:sz w:val="19"/>
        </w:rPr>
        <w:t>Each automated run provisions a clean browser context in headless Chromium and drives the following eight test scenarios. Crucially, to mitigate temporal confounding factors—such as CPU thermal throttling over extended test durations, background OS scheduling variations, and V8 engine garbage collection spikes—the 30 performance benchmarking runs were executed in an interleaved, alternating sequence (</w:t>
      </w:r>
      <w:r>
        <w:rPr>
          <w:rFonts w:ascii="Consolas" w:hAnsi="Consolas"/>
          <w:b w:val="0"/>
          <w:i w:val="0"/>
          <w:color w:val="B42828"/>
          <w:sz w:val="18"/>
        </w:rPr>
        <w:t>baseline-1</w:t>
      </w:r>
      <w:r>
        <w:rPr>
          <w:rFonts w:ascii="Times New Roman" w:hAnsi="Times New Roman"/>
          <w:b w:val="0"/>
          <w:i w:val="0"/>
          <w:color w:val="212529"/>
          <w:sz w:val="19"/>
        </w:rPr>
        <w:t xml:space="preserve">, </w:t>
      </w:r>
      <w:r>
        <w:rPr>
          <w:rFonts w:ascii="Consolas" w:hAnsi="Consolas"/>
          <w:b w:val="0"/>
          <w:i w:val="0"/>
          <w:color w:val="B42828"/>
          <w:sz w:val="18"/>
        </w:rPr>
        <w:t>treatment-1</w:t>
      </w:r>
      <w:r>
        <w:rPr>
          <w:rFonts w:ascii="Times New Roman" w:hAnsi="Times New Roman"/>
          <w:b w:val="0"/>
          <w:i w:val="0"/>
          <w:color w:val="212529"/>
          <w:sz w:val="19"/>
        </w:rPr>
        <w:t xml:space="preserve">, </w:t>
      </w:r>
      <w:r>
        <w:rPr>
          <w:rFonts w:ascii="Consolas" w:hAnsi="Consolas"/>
          <w:b w:val="0"/>
          <w:i w:val="0"/>
          <w:color w:val="B42828"/>
          <w:sz w:val="18"/>
        </w:rPr>
        <w:t>baseline-2</w:t>
      </w:r>
      <w:r>
        <w:rPr>
          <w:rFonts w:ascii="Times New Roman" w:hAnsi="Times New Roman"/>
          <w:b w:val="0"/>
          <w:i w:val="0"/>
          <w:color w:val="212529"/>
          <w:sz w:val="19"/>
        </w:rPr>
        <w:t xml:space="preserve">, </w:t>
      </w:r>
      <w:r>
        <w:rPr>
          <w:rFonts w:ascii="Consolas" w:hAnsi="Consolas"/>
          <w:b w:val="0"/>
          <w:i w:val="0"/>
          <w:color w:val="B42828"/>
          <w:sz w:val="18"/>
        </w:rPr>
        <w:t>treatment-2</w:t>
      </w:r>
      <w:r>
        <w:rPr>
          <w:rFonts w:ascii="Times New Roman" w:hAnsi="Times New Roman"/>
          <w:b w:val="0"/>
          <w:i w:val="0"/>
          <w:color w:val="212529"/>
          <w:sz w:val="19"/>
        </w:rPr>
        <w:t>, ...) rather than batching baseline and treatment runs separately.</w:t>
      </w:r>
    </w:p>
    <w:p>
      <w:pPr>
        <w:spacing w:before="160" w:after="60"/>
        <w:jc w:val="center"/>
      </w:pPr>
      <w:r>
        <w:rPr>
          <w:rFonts w:ascii="Times New Roman" w:hAnsi="Times New Roman"/>
          <w:b/>
          <w:i w:val="0"/>
          <w:color w:val="0F2C59"/>
          <w:sz w:val="19"/>
        </w:rPr>
        <w:t>Table 1:</w:t>
      </w:r>
      <w:r>
        <w:rPr>
          <w:rFonts w:ascii="Times New Roman" w:hAnsi="Times New Roman"/>
          <w:b/>
          <w:i w:val="0"/>
          <w:color w:val="0F2C59"/>
          <w:sz w:val="19"/>
        </w:rPr>
        <w:t xml:space="preserve"> Experimental evaluation matrix across test scenarios T1 through T7.</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680"/>
        <w:gridCol w:w="1680"/>
        <w:gridCol w:w="1680"/>
        <w:gridCol w:w="1680"/>
        <w:gridCol w:w="1680"/>
        <w:gridCol w:w="1680"/>
      </w:tblGrid>
      <w:tr>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Case ID</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Channel Tested</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Target Action</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Baseline Expected</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Treatment (Deny) Expected</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Treatment (Allow) Expected</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T1</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tools/call</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Legitimate weather data fetch</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allow</w:t>
            </w:r>
            <w:r>
              <w:rPr>
                <w:rFonts w:ascii="Times New Roman" w:hAnsi="Times New Roman"/>
                <w:b w:val="0"/>
                <w:i w:val="0"/>
                <w:color w:val="212529"/>
                <w:sz w:val="17"/>
              </w:rPr>
              <w:t xml:space="preserve"> (displays °C)</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allow</w:t>
            </w:r>
            <w:r>
              <w:rPr>
                <w:rFonts w:ascii="Times New Roman" w:hAnsi="Times New Roman"/>
                <w:b w:val="0"/>
                <w:i w:val="0"/>
                <w:color w:val="212529"/>
                <w:sz w:val="17"/>
              </w:rPr>
              <w:t xml:space="preserve"> (displays °C)</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allow</w:t>
            </w:r>
            <w:r>
              <w:rPr>
                <w:rFonts w:ascii="Times New Roman" w:hAnsi="Times New Roman"/>
                <w:b w:val="0"/>
                <w:i w:val="0"/>
                <w:color w:val="212529"/>
                <w:sz w:val="17"/>
              </w:rPr>
              <w:t xml:space="preserve"> (displays °C)</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T2</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tools/call</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 xml:space="preserve">Invoke hidden </w:t>
            </w:r>
            <w:r>
              <w:rPr>
                <w:rFonts w:ascii="Consolas" w:hAnsi="Consolas"/>
                <w:b w:val="0"/>
                <w:i w:val="0"/>
                <w:color w:val="B42828"/>
                <w:sz w:val="16"/>
              </w:rPr>
              <w:t>read-secret</w:t>
            </w:r>
            <w:r>
              <w:rPr>
                <w:rFonts w:ascii="Times New Roman" w:hAnsi="Times New Roman"/>
                <w:b w:val="0"/>
                <w:i w:val="0"/>
                <w:color w:val="212529"/>
                <w:sz w:val="17"/>
              </w:rPr>
              <w:t xml:space="preserve"> tool</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w:t>
            </w:r>
            <w:r>
              <w:rPr>
                <w:rFonts w:ascii="Consolas" w:hAnsi="Consolas"/>
                <w:b w:val="0"/>
                <w:i w:val="0"/>
                <w:color w:val="B42828"/>
                <w:sz w:val="16"/>
              </w:rPr>
              <w:t>-32603: visibility</w:t>
            </w:r>
            <w:r>
              <w:rPr>
                <w:rFonts w:ascii="Times New Roman" w:hAnsi="Times New Roman"/>
                <w:b w:val="0"/>
                <w:i w:val="0"/>
                <w:color w:val="212529"/>
                <w:sz w:val="17"/>
              </w:rPr>
              <w: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w:t>
            </w:r>
            <w:r>
              <w:rPr>
                <w:rFonts w:ascii="Consolas" w:hAnsi="Consolas"/>
                <w:b w:val="0"/>
                <w:i w:val="0"/>
                <w:color w:val="B42828"/>
                <w:sz w:val="16"/>
              </w:rPr>
              <w:t>-32603</w:t>
            </w:r>
            <w:r>
              <w:rPr>
                <w:rFonts w:ascii="Times New Roman" w:hAnsi="Times New Roman"/>
                <w:b w:val="0"/>
                <w:i w:val="0"/>
                <w:color w:val="212529"/>
                <w:sz w:val="17"/>
              </w:rPr>
              <w: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w:t>
            </w:r>
            <w:r>
              <w:rPr>
                <w:rFonts w:ascii="Consolas" w:hAnsi="Consolas"/>
                <w:b w:val="0"/>
                <w:i w:val="0"/>
                <w:color w:val="B42828"/>
                <w:sz w:val="16"/>
              </w:rPr>
              <w:t>-32603</w:t>
            </w:r>
            <w:r>
              <w:rPr>
                <w:rFonts w:ascii="Times New Roman" w:hAnsi="Times New Roman"/>
                <w:b w:val="0"/>
                <w:i w:val="0"/>
                <w:color w:val="212529"/>
                <w:sz w:val="17"/>
              </w:rPr>
              <w:t>)</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T3</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Network Egress</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fetch()</w:t>
            </w:r>
            <w:r>
              <w:rPr>
                <w:rFonts w:ascii="Times New Roman" w:hAnsi="Times New Roman"/>
                <w:b w:val="0"/>
                <w:i w:val="0"/>
                <w:color w:val="212529"/>
                <w:sz w:val="17"/>
              </w:rPr>
              <w:t xml:space="preserve"> to </w:t>
            </w:r>
            <w:r>
              <w:rPr>
                <w:rFonts w:ascii="Consolas" w:hAnsi="Consolas"/>
                <w:b w:val="0"/>
                <w:i w:val="0"/>
                <w:color w:val="B42828"/>
                <w:sz w:val="16"/>
              </w:rPr>
              <w:t>:9999/exfil</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by browser CSP</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by CSP</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by CSP</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T4</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ui/open-link</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 xml:space="preserve">Trigger link to </w:t>
            </w:r>
            <w:r>
              <w:rPr>
                <w:rFonts w:ascii="Consolas" w:hAnsi="Consolas"/>
                <w:b w:val="0"/>
                <w:i w:val="0"/>
                <w:color w:val="B42828"/>
                <w:sz w:val="16"/>
              </w:rPr>
              <w:t>:9999/exfil?value=SECRET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EXECUTED</w:t>
            </w:r>
            <w:r>
              <w:rPr>
                <w:rFonts w:ascii="Times New Roman" w:hAnsi="Times New Roman"/>
                <w:b w:val="0"/>
                <w:i w:val="0"/>
                <w:color w:val="212529"/>
                <w:sz w:val="17"/>
              </w:rPr>
              <w:t xml:space="preserve"> (popup / hit)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w:t>
            </w:r>
            <w:r>
              <w:rPr>
                <w:rFonts w:ascii="Consolas" w:hAnsi="Consolas"/>
                <w:b w:val="0"/>
                <w:i w:val="0"/>
                <w:color w:val="B42828"/>
                <w:sz w:val="16"/>
              </w:rPr>
              <w:t>user denied</w:t>
            </w:r>
            <w:r>
              <w:rPr>
                <w:rFonts w:ascii="Times New Roman" w:hAnsi="Times New Roman"/>
                <w:b w:val="0"/>
                <w:i w:val="0"/>
                <w:color w:val="212529"/>
                <w:sz w:val="17"/>
              </w:rPr>
              <w: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EXECUTED</w:t>
            </w:r>
            <w:r>
              <w:rPr>
                <w:rFonts w:ascii="Times New Roman" w:hAnsi="Times New Roman"/>
                <w:b w:val="0"/>
                <w:i w:val="0"/>
                <w:color w:val="212529"/>
                <w:sz w:val="17"/>
              </w:rPr>
              <w:t xml:space="preserve"> (user approved)</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T5a</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ui/message</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Inject synthetic chat message</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EXECUTED</w:t>
            </w:r>
            <w:r>
              <w:rPr>
                <w:rFonts w:ascii="Times New Roman" w:hAnsi="Times New Roman"/>
                <w:b w:val="0"/>
                <w:i w:val="0"/>
                <w:color w:val="212529"/>
                <w:sz w:val="17"/>
              </w:rPr>
              <w:t xml:space="preserve"> (message added)</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w:t>
            </w:r>
            <w:r>
              <w:rPr>
                <w:rFonts w:ascii="Consolas" w:hAnsi="Consolas"/>
                <w:b w:val="0"/>
                <w:i w:val="0"/>
                <w:color w:val="B42828"/>
                <w:sz w:val="16"/>
              </w:rPr>
              <w:t>user denied</w:t>
            </w:r>
            <w:r>
              <w:rPr>
                <w:rFonts w:ascii="Times New Roman" w:hAnsi="Times New Roman"/>
                <w:b w:val="0"/>
                <w:i w:val="0"/>
                <w:color w:val="212529"/>
                <w:sz w:val="17"/>
              </w:rPr>
              <w:t>)</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EXECUTED</w:t>
            </w:r>
            <w:r>
              <w:rPr>
                <w:rFonts w:ascii="Times New Roman" w:hAnsi="Times New Roman"/>
                <w:b w:val="0"/>
                <w:i w:val="0"/>
                <w:color w:val="212529"/>
                <w:sz w:val="17"/>
              </w:rPr>
              <w:t xml:space="preserve"> (user approved)</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T5b</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ui/context</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Poison model context window</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EXECUTED</w:t>
            </w:r>
            <w:r>
              <w:rPr>
                <w:rFonts w:ascii="Times New Roman" w:hAnsi="Times New Roman"/>
                <w:b w:val="0"/>
                <w:i w:val="0"/>
                <w:color w:val="212529"/>
                <w:sz w:val="17"/>
              </w:rPr>
              <w:t xml:space="preserve"> (context modified)</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BLOCKED</w:t>
            </w:r>
            <w:r>
              <w:rPr>
                <w:rFonts w:ascii="Times New Roman" w:hAnsi="Times New Roman"/>
                <w:b w:val="0"/>
                <w:i w:val="0"/>
                <w:color w:val="212529"/>
                <w:sz w:val="17"/>
              </w:rPr>
              <w:t xml:space="preserve"> (</w:t>
            </w:r>
            <w:r>
              <w:rPr>
                <w:rFonts w:ascii="Consolas" w:hAnsi="Consolas"/>
                <w:b w:val="0"/>
                <w:i w:val="0"/>
                <w:color w:val="B42828"/>
                <w:sz w:val="16"/>
              </w:rPr>
              <w:t>user denied</w:t>
            </w:r>
            <w:r>
              <w:rPr>
                <w:rFonts w:ascii="Times New Roman" w:hAnsi="Times New Roman"/>
                <w:b w:val="0"/>
                <w:i w:val="0"/>
                <w:color w:val="212529"/>
                <w:sz w:val="17"/>
              </w:rPr>
              <w: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EXECUTED</w:t>
            </w:r>
            <w:r>
              <w:rPr>
                <w:rFonts w:ascii="Times New Roman" w:hAnsi="Times New Roman"/>
                <w:b w:val="0"/>
                <w:i w:val="0"/>
                <w:color w:val="212529"/>
                <w:sz w:val="17"/>
              </w:rPr>
              <w:t xml:space="preserve"> (user approved)</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T6</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UI Provenance</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Detect visual source badge</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Absent</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Present</w:t>
            </w:r>
            <w:r>
              <w:rPr>
                <w:rFonts w:ascii="Times New Roman" w:hAnsi="Times New Roman"/>
                <w:b w:val="0"/>
                <w:i w:val="0"/>
                <w:color w:val="212529"/>
                <w:sz w:val="17"/>
              </w:rPr>
              <w:t xml:space="preserve"> (</w:t>
            </w:r>
            <w:r>
              <w:rPr>
                <w:rFonts w:ascii="Consolas" w:hAnsi="Consolas"/>
                <w:b w:val="0"/>
                <w:i w:val="0"/>
                <w:color w:val="B42828"/>
                <w:sz w:val="16"/>
              </w:rPr>
              <w:t>SourceBadge</w:t>
            </w:r>
            <w:r>
              <w:rPr>
                <w:rFonts w:ascii="Times New Roman" w:hAnsi="Times New Roman"/>
                <w:b w:val="0"/>
                <w:i w:val="0"/>
                <w:color w:val="212529"/>
                <w:sz w:val="17"/>
              </w:rPr>
              <w:t>)</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Present</w:t>
            </w:r>
            <w:r>
              <w:rPr>
                <w:rFonts w:ascii="Times New Roman" w:hAnsi="Times New Roman"/>
                <w:b w:val="0"/>
                <w:i w:val="0"/>
                <w:color w:val="212529"/>
                <w:sz w:val="17"/>
              </w:rPr>
              <w:t xml:space="preserve"> (</w:t>
            </w:r>
            <w:r>
              <w:rPr>
                <w:rFonts w:ascii="Consolas" w:hAnsi="Consolas"/>
                <w:b w:val="0"/>
                <w:i w:val="0"/>
                <w:color w:val="B42828"/>
                <w:sz w:val="16"/>
              </w:rPr>
              <w:t>SourceBadge</w:t>
            </w:r>
            <w:r>
              <w:rPr>
                <w:rFonts w:ascii="Times New Roman" w:hAnsi="Times New Roman"/>
                <w:b w:val="0"/>
                <w:i w:val="0"/>
                <w:color w:val="212529"/>
                <w:sz w:val="17"/>
              </w:rPr>
              <w:t>)</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T7</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tools/call</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 xml:space="preserve">Benign </w:t>
            </w:r>
            <w:r>
              <w:rPr>
                <w:rFonts w:ascii="Consolas" w:hAnsi="Consolas"/>
                <w:b w:val="0"/>
                <w:i w:val="0"/>
                <w:color w:val="B42828"/>
                <w:sz w:val="16"/>
              </w:rPr>
              <w:t>get-time</w:t>
            </w:r>
            <w:r>
              <w:rPr>
                <w:rFonts w:ascii="Times New Roman" w:hAnsi="Times New Roman"/>
                <w:b w:val="0"/>
                <w:i w:val="0"/>
                <w:color w:val="212529"/>
                <w:sz w:val="17"/>
              </w:rPr>
              <w:t xml:space="preserve"> (6 latency samples)</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allow</w:t>
            </w:r>
            <w:r>
              <w:rPr>
                <w:rFonts w:ascii="Times New Roman" w:hAnsi="Times New Roman"/>
                <w:b w:val="0"/>
                <w:i w:val="0"/>
                <w:color w:val="212529"/>
                <w:sz w:val="17"/>
              </w:rPr>
              <w:t xml:space="preserve"> (measure latency)</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allow</w:t>
            </w:r>
            <w:r>
              <w:rPr>
                <w:rFonts w:ascii="Times New Roman" w:hAnsi="Times New Roman"/>
                <w:b w:val="0"/>
                <w:i w:val="0"/>
                <w:color w:val="212529"/>
                <w:sz w:val="17"/>
              </w:rPr>
              <w:t xml:space="preserve"> (measure latency)</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allow</w:t>
            </w:r>
            <w:r>
              <w:rPr>
                <w:rFonts w:ascii="Times New Roman" w:hAnsi="Times New Roman"/>
                <w:b w:val="0"/>
                <w:i w:val="0"/>
                <w:color w:val="212529"/>
                <w:sz w:val="17"/>
              </w:rPr>
              <w:t xml:space="preserve"> (measure latency)</w:t>
            </w:r>
          </w:p>
        </w:tc>
      </w:tr>
    </w:tbl>
    <w:p>
      <w:pPr>
        <w:spacing w:after="80"/>
      </w:pPr>
    </w:p>
    <w:p>
      <w:pPr>
        <w:keepNext/>
        <w:spacing w:before="200" w:after="60"/>
      </w:pPr>
      <w:r>
        <w:rPr>
          <w:rFonts w:ascii="Times New Roman" w:hAnsi="Times New Roman"/>
          <w:b/>
          <w:i/>
          <w:color w:val="1E3A8A"/>
          <w:sz w:val="21"/>
        </w:rPr>
        <w:t>C.  Formal Research Hypotheses</w:t>
      </w:r>
    </w:p>
    <w:p>
      <w:pPr>
        <w:pStyle w:val="ListBullet"/>
        <w:spacing w:before="20" w:after="60" w:line="276" w:lineRule="auto"/>
      </w:pPr>
      <w:r>
        <w:rPr>
          <w:rFonts w:ascii="Times New Roman" w:hAnsi="Times New Roman"/>
          <w:b/>
          <w:i w:val="0"/>
          <w:color w:val="212529"/>
          <w:sz w:val="19"/>
        </w:rPr>
        <w:t>Hypothesis 1 (Specification Compliance):</w:t>
      </w:r>
      <w:r>
        <w:rPr>
          <w:rFonts w:ascii="Times New Roman" w:hAnsi="Times New Roman"/>
          <w:b w:val="0"/>
          <w:i w:val="0"/>
          <w:color w:val="212529"/>
          <w:sz w:val="19"/>
        </w:rPr>
        <w:t xml:space="preserve"> Both baseline and treatment hosts will reject 100% of test cases violating mandatory specification requirements (model-only tool visibility and CSP network constraints), while allowing legitimate compliant cases.</w:t>
      </w:r>
    </w:p>
    <w:p>
      <w:pPr>
        <w:pStyle w:val="ListBullet"/>
        <w:spacing w:before="20" w:after="60" w:line="276" w:lineRule="auto"/>
      </w:pPr>
      <w:r>
        <w:rPr>
          <w:rFonts w:ascii="Times New Roman" w:hAnsi="Times New Roman"/>
          <w:b/>
          <w:i w:val="0"/>
          <w:color w:val="212529"/>
          <w:sz w:val="19"/>
        </w:rPr>
        <w:t>Hypothesis 2 (Residual Risk Mitigation):</w:t>
      </w:r>
      <w:r>
        <w:rPr>
          <w:rFonts w:ascii="Times New Roman" w:hAnsi="Times New Roman"/>
          <w:b w:val="0"/>
          <w:i w:val="0"/>
          <w:color w:val="212529"/>
          <w:sz w:val="19"/>
        </w:rPr>
        <w:t xml:space="preserve"> The proposed policy layer will reduce sensitive host-mediated actions executed without explicit user consent to zero, and prevent the delivery of </w:t>
      </w:r>
      <w:r>
        <w:rPr>
          <w:rFonts w:ascii="Consolas" w:hAnsi="Consolas"/>
          <w:b w:val="0"/>
          <w:i w:val="0"/>
          <w:color w:val="B42828"/>
          <w:sz w:val="18"/>
        </w:rPr>
        <w:t>SYNTHETIC_SECRET_001</w:t>
      </w:r>
      <w:r>
        <w:rPr>
          <w:rFonts w:ascii="Times New Roman" w:hAnsi="Times New Roman"/>
          <w:b w:val="0"/>
          <w:i w:val="0"/>
          <w:color w:val="212529"/>
          <w:sz w:val="19"/>
        </w:rPr>
        <w:t xml:space="preserve"> across non-sanctioned channels, while preserving legitimate utility under user approval.</w:t>
      </w:r>
    </w:p>
    <w:p>
      <w:pPr>
        <w:pStyle w:val="ListBullet"/>
        <w:spacing w:before="20" w:after="60" w:line="276" w:lineRule="auto"/>
      </w:pPr>
      <w:r>
        <w:rPr>
          <w:rFonts w:ascii="Times New Roman" w:hAnsi="Times New Roman"/>
          <w:b/>
          <w:i w:val="0"/>
          <w:color w:val="212529"/>
          <w:sz w:val="19"/>
        </w:rPr>
        <w:t>Hypothesis 3 (Operational Overhead):</w:t>
      </w:r>
      <w:r>
        <w:rPr>
          <w:rFonts w:ascii="Times New Roman" w:hAnsi="Times New Roman"/>
          <w:b w:val="0"/>
          <w:i w:val="0"/>
          <w:color w:val="212529"/>
          <w:sz w:val="19"/>
        </w:rPr>
        <w:t xml:space="preserve"> The policy enforcement layer will preserve all predefined legitimate functional operations, and the median added local processing latency overhead will not exceed </w:t>
      </w:r>
      <w:r>
        <w:rPr>
          <w:rFonts w:ascii="Times New Roman" w:hAnsi="Times New Roman"/>
          <w:b/>
          <w:i w:val="0"/>
          <w:color w:val="212529"/>
          <w:sz w:val="19"/>
        </w:rPr>
        <w:t>20 ms</w:t>
      </w:r>
      <w:r>
        <w:rPr>
          <w:rFonts w:ascii="Times New Roman" w:hAnsi="Times New Roman"/>
          <w:b w:val="0"/>
          <w:i w:val="0"/>
          <w:color w:val="212529"/>
          <w:sz w:val="19"/>
        </w:rPr>
        <w:t>.</w:t>
      </w:r>
    </w:p>
    <w:p>
      <w:pPr>
        <w:spacing w:before="0" w:after="80" w:line="276" w:lineRule="auto"/>
        <w:jc w:val="both"/>
      </w:pPr>
      <w:r>
        <w:rPr>
          <w:rFonts w:ascii="Times New Roman" w:hAnsi="Times New Roman"/>
          <w:b w:val="0"/>
          <w:i w:val="0"/>
          <w:color w:val="212529"/>
          <w:sz w:val="19"/>
        </w:rPr>
        <w:t xml:space="preserve">  </w:t>
      </w:r>
      <w:r>
        <w:rPr>
          <w:rFonts w:ascii="Times New Roman" w:hAnsi="Times New Roman"/>
          <w:b w:val="0"/>
          <w:i/>
          <w:color w:val="212529"/>
          <w:sz w:val="19"/>
        </w:rPr>
        <w:t xml:space="preserve"> </w:t>
      </w:r>
      <w:r>
        <w:rPr>
          <w:rFonts w:ascii="Times New Roman" w:hAnsi="Times New Roman"/>
          <w:b w:val="0"/>
          <w:i w:val="0"/>
          <w:color w:val="212529"/>
          <w:sz w:val="19"/>
        </w:rPr>
        <w:t>Operational Justification for the 20 ms Budget:* In conversational agent architectures, typical local tool round-trip latencies range from 300 ms to 1500 ms (measured at a baseline median of 327.4 ms in our environment). An operational ceiling of 20 ms represents less than 6.1% of baseline execution round-trip time, ensuring that policy mediation remains imperceptible to human users and introduces no disruption to real-time LLM token streaming pipelines.</w:t>
      </w:r>
    </w:p>
    <w:p>
      <w:pPr>
        <w:keepNext/>
        <w:spacing w:before="280" w:after="80"/>
        <w:jc w:val="left"/>
      </w:pPr>
      <w:r>
        <w:rPr>
          <w:rFonts w:ascii="Times New Roman" w:hAnsi="Times New Roman"/>
          <w:b/>
          <w:color w:val="0F2C59"/>
          <w:sz w:val="23"/>
        </w:rPr>
        <w:t>VI.  EMPIRICAL EVALUATION AND RESULTS</w:t>
      </w:r>
    </w:p>
    <w:p>
      <w:pPr>
        <w:spacing w:before="0" w:after="80" w:line="276" w:lineRule="auto"/>
        <w:jc w:val="both"/>
      </w:pPr>
      <w:r>
        <w:rPr>
          <w:rFonts w:ascii="Times New Roman" w:hAnsi="Times New Roman"/>
          <w:b w:val="0"/>
          <w:i w:val="0"/>
          <w:color w:val="212529"/>
          <w:sz w:val="19"/>
        </w:rPr>
        <w:t xml:space="preserve">The evaluation protocol comprised </w:t>
      </w:r>
      <w:r>
        <w:rPr>
          <w:rFonts w:ascii="Times New Roman" w:hAnsi="Times New Roman"/>
          <w:b/>
          <w:i w:val="0"/>
          <w:color w:val="212529"/>
          <w:sz w:val="19"/>
        </w:rPr>
        <w:t>41 automated experimental runs</w:t>
      </w:r>
      <w:r>
        <w:rPr>
          <w:rFonts w:ascii="Times New Roman" w:hAnsi="Times New Roman"/>
          <w:b w:val="0"/>
          <w:i w:val="0"/>
          <w:color w:val="212529"/>
          <w:sz w:val="19"/>
        </w:rPr>
        <w:t>:</w:t>
      </w:r>
    </w:p>
    <w:p>
      <w:pPr>
        <w:pStyle w:val="ListBullet"/>
        <w:spacing w:before="20" w:after="60" w:line="276" w:lineRule="auto"/>
      </w:pPr>
      <w:r>
        <w:rPr>
          <w:rFonts w:ascii="Times New Roman" w:hAnsi="Times New Roman"/>
          <w:b w:val="0"/>
          <w:i w:val="0"/>
          <w:color w:val="212529"/>
          <w:sz w:val="19"/>
        </w:rPr>
        <w:t>5 Functional Baseline runs (</w:t>
      </w:r>
      <w:r>
        <w:rPr>
          <w:rFonts w:ascii="Consolas" w:hAnsi="Consolas"/>
          <w:b w:val="0"/>
          <w:i w:val="0"/>
          <w:color w:val="B42828"/>
          <w:sz w:val="18"/>
        </w:rPr>
        <w:t>func-baseline-1</w:t>
      </w:r>
      <w:r>
        <w:rPr>
          <w:rFonts w:ascii="Times New Roman" w:hAnsi="Times New Roman"/>
          <w:b w:val="0"/>
          <w:i w:val="0"/>
          <w:color w:val="212529"/>
          <w:sz w:val="19"/>
        </w:rPr>
        <w:t xml:space="preserve"> to </w:t>
      </w:r>
      <w:r>
        <w:rPr>
          <w:rFonts w:ascii="Consolas" w:hAnsi="Consolas"/>
          <w:b w:val="0"/>
          <w:i w:val="0"/>
          <w:color w:val="B42828"/>
          <w:sz w:val="18"/>
        </w:rPr>
        <w:t>5</w:t>
      </w:r>
      <w:r>
        <w:rPr>
          <w:rFonts w:ascii="Times New Roman" w:hAnsi="Times New Roman"/>
          <w:b w:val="0"/>
          <w:i w:val="0"/>
          <w:color w:val="212529"/>
          <w:sz w:val="19"/>
        </w:rPr>
        <w:t>)</w:t>
      </w:r>
    </w:p>
    <w:p>
      <w:pPr>
        <w:pStyle w:val="ListBullet"/>
        <w:spacing w:before="20" w:after="60" w:line="276" w:lineRule="auto"/>
      </w:pPr>
      <w:r>
        <w:rPr>
          <w:rFonts w:ascii="Times New Roman" w:hAnsi="Times New Roman"/>
          <w:b w:val="0"/>
          <w:i w:val="0"/>
          <w:color w:val="212529"/>
          <w:sz w:val="19"/>
        </w:rPr>
        <w:t>5 Functional Treatment runs with default denial (</w:t>
      </w:r>
      <w:r>
        <w:rPr>
          <w:rFonts w:ascii="Consolas" w:hAnsi="Consolas"/>
          <w:b w:val="0"/>
          <w:i w:val="0"/>
          <w:color w:val="B42828"/>
          <w:sz w:val="18"/>
        </w:rPr>
        <w:t>func-treatment-1</w:t>
      </w:r>
      <w:r>
        <w:rPr>
          <w:rFonts w:ascii="Times New Roman" w:hAnsi="Times New Roman"/>
          <w:b w:val="0"/>
          <w:i w:val="0"/>
          <w:color w:val="212529"/>
          <w:sz w:val="19"/>
        </w:rPr>
        <w:t xml:space="preserve"> to </w:t>
      </w:r>
      <w:r>
        <w:rPr>
          <w:rFonts w:ascii="Consolas" w:hAnsi="Consolas"/>
          <w:b w:val="0"/>
          <w:i w:val="0"/>
          <w:color w:val="B42828"/>
          <w:sz w:val="18"/>
        </w:rPr>
        <w:t>5</w:t>
      </w:r>
      <w:r>
        <w:rPr>
          <w:rFonts w:ascii="Times New Roman" w:hAnsi="Times New Roman"/>
          <w:b w:val="0"/>
          <w:i w:val="0"/>
          <w:color w:val="212529"/>
          <w:sz w:val="19"/>
        </w:rPr>
        <w:t>)</w:t>
      </w:r>
    </w:p>
    <w:p>
      <w:pPr>
        <w:pStyle w:val="ListBullet"/>
        <w:spacing w:before="20" w:after="60" w:line="276" w:lineRule="auto"/>
      </w:pPr>
      <w:r>
        <w:rPr>
          <w:rFonts w:ascii="Times New Roman" w:hAnsi="Times New Roman"/>
          <w:b w:val="0"/>
          <w:i w:val="0"/>
          <w:color w:val="212529"/>
          <w:sz w:val="19"/>
        </w:rPr>
        <w:t>1 Functional Treatment run with simulated approval (</w:t>
      </w:r>
      <w:r>
        <w:rPr>
          <w:rFonts w:ascii="Consolas" w:hAnsi="Consolas"/>
          <w:b w:val="0"/>
          <w:i w:val="0"/>
          <w:color w:val="B42828"/>
          <w:sz w:val="18"/>
        </w:rPr>
        <w:t>func-treatment-allow-1</w:t>
      </w:r>
      <w:r>
        <w:rPr>
          <w:rFonts w:ascii="Times New Roman" w:hAnsi="Times New Roman"/>
          <w:b w:val="0"/>
          <w:i w:val="0"/>
          <w:color w:val="212529"/>
          <w:sz w:val="19"/>
        </w:rPr>
        <w:t>)</w:t>
      </w:r>
    </w:p>
    <w:p>
      <w:pPr>
        <w:pStyle w:val="ListBullet"/>
        <w:spacing w:before="20" w:after="60" w:line="276" w:lineRule="auto"/>
      </w:pPr>
      <w:r>
        <w:rPr>
          <w:rFonts w:ascii="Times New Roman" w:hAnsi="Times New Roman"/>
          <w:b w:val="0"/>
          <w:i w:val="0"/>
          <w:color w:val="212529"/>
          <w:sz w:val="19"/>
        </w:rPr>
        <w:t xml:space="preserve">30 Alternating Performance runs (15 Baseline, 15 Treatment), yielding </w:t>
      </w:r>
      <w:r>
        <w:rPr>
          <w:rFonts w:ascii="Times New Roman" w:hAnsi="Times New Roman"/>
          <w:b/>
          <w:i w:val="0"/>
          <w:color w:val="212529"/>
          <w:sz w:val="19"/>
        </w:rPr>
        <w:t>180 individual latency measurements</w:t>
      </w:r>
      <w:r>
        <w:rPr>
          <w:rFonts w:ascii="Times New Roman" w:hAnsi="Times New Roman"/>
          <w:b w:val="0"/>
          <w:i w:val="0"/>
          <w:color w:val="212529"/>
          <w:sz w:val="19"/>
        </w:rPr>
        <w:t xml:space="preserve"> (n=90 per mode).</w:t>
      </w:r>
    </w:p>
    <w:p>
      <w:pPr>
        <w:keepNext/>
        <w:spacing w:before="200" w:after="60"/>
      </w:pPr>
      <w:r>
        <w:rPr>
          <w:rFonts w:ascii="Times New Roman" w:hAnsi="Times New Roman"/>
          <w:b/>
          <w:i/>
          <w:color w:val="1E3A8A"/>
          <w:sz w:val="21"/>
        </w:rPr>
        <w:t>A.  Headline Results Summary</w:t>
      </w:r>
    </w:p>
    <w:p>
      <w:pPr>
        <w:spacing w:before="160" w:after="60"/>
        <w:jc w:val="center"/>
      </w:pPr>
      <w:r>
        <w:rPr>
          <w:rFonts w:ascii="Times New Roman" w:hAnsi="Times New Roman"/>
          <w:b/>
          <w:i w:val="0"/>
          <w:color w:val="0F2C59"/>
          <w:sz w:val="19"/>
        </w:rPr>
        <w:t>Table 2:</w:t>
      </w:r>
      <w:r>
        <w:rPr>
          <w:rFonts w:ascii="Times New Roman" w:hAnsi="Times New Roman"/>
          <w:b/>
          <w:i w:val="0"/>
          <w:color w:val="0F2C59"/>
          <w:sz w:val="19"/>
        </w:rPr>
        <w:t xml:space="preserve"> Headline experimental results across 41 runs and formal research hypothesis verdicts.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680"/>
        <w:gridCol w:w="1680"/>
        <w:gridCol w:w="1680"/>
        <w:gridCol w:w="1680"/>
        <w:gridCol w:w="1680"/>
        <w:gridCol w:w="1680"/>
      </w:tblGrid>
      <w:tr>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Evaluation Metric</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Baseline Host</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Treatment (Deny)</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Treatment (Allow)</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Delta / Outcome</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Hypothesis Status</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H1: Hidden Tool Violations (T2)</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0 / 5 leaks</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0 / 5 leaks</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0 / 1 leaks</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0 / 10 total leaks</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H1 ACCEPT</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H1: CSP Network Egress (T3)</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0 / 5 leaks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0 / 5 leaks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0 / 1 leaks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0 / 10 total leaks</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H1 ACCEPT</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H2: Unapproved Sensitive Actions</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15 / 15 executed</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0 / 15 executed</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N/A</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100% reduction</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H2 ACCEPT</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H2: Secret Delivered via Chat/Context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10 / 10 delivered</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0 / 10 delivered</w:t>
            </w:r>
          </w:p>
        </w:tc>
        <w:tc>
          <w:tcPr>
            <w:tcW w:type="dxa" w:w="1680"/>
            <w:shd w:fill="F8FAFC"/>
            <w:tcMar>
              <w:top w:w="70" w:type="dxa"/>
              <w:bottom w:w="70" w:type="dxa"/>
              <w:left w:w="100" w:type="dxa"/>
              <w:right w:w="100" w:type="dxa"/>
            </w:tcMar>
          </w:tcPr>
          <w:p>
            <w:pPr>
              <w:spacing w:after="0"/>
              <w:jc w:val="center"/>
            </w:pPr>
            <w:r>
              <w:rPr>
                <w:rFonts w:ascii="Times New Roman" w:hAnsi="Times New Roman"/>
                <w:b w:val="0"/>
                <w:i w:val="0"/>
                <w:color w:val="212529"/>
                <w:sz w:val="17"/>
              </w:rPr>
              <w:t>N/A</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100% prevented</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H2 ACCEPT</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H2: Utility Preservation (Consented)</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N/A</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N/A</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3 / 3 executed</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100% utility (n=1)</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H2 ACCEPT</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H3: End-to-End Latency (Median)</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327.4 ms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318.3 ms</w:t>
            </w:r>
          </w:p>
        </w:tc>
        <w:tc>
          <w:tcPr>
            <w:tcW w:type="dxa" w:w="1680"/>
            <w:shd w:fill="F8FAFC"/>
            <w:tcMar>
              <w:top w:w="70" w:type="dxa"/>
              <w:bottom w:w="70" w:type="dxa"/>
              <w:left w:w="100" w:type="dxa"/>
              <w:right w:w="100" w:type="dxa"/>
            </w:tcMar>
          </w:tcPr>
          <w:p>
            <w:pPr>
              <w:spacing w:after="0"/>
              <w:jc w:val="center"/>
            </w:pPr>
            <w:r>
              <w:rPr>
                <w:rFonts w:ascii="Times New Roman" w:hAnsi="Times New Roman"/>
                <w:b w:val="0"/>
                <w:i w:val="0"/>
                <w:color w:val="212529"/>
                <w:sz w:val="17"/>
              </w:rPr>
              <w:t>N/A</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-9.1 ms</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H3 ACCEPT</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H3: End-to-End Latency (95th %ile)</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471.0 ms</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474.3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N/A</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+3.3 ms</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H3 ACCEPT</w:t>
            </w:r>
          </w:p>
        </w:tc>
      </w:tr>
      <w:tr>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H3: Pure In-Engine Policy Latency</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0.0 ms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 0.1 ms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 0.1 ms</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Med ≤ 0.1 ms, Max 1.6 ms</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H3 ACCEPT</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Borders>
              <w:top w:val="single" w:sz="4" w:space="0" w:color="D0D5DD"/>
              <w:left w:val="single" w:sz="18" w:space="0" w:color="1F497D"/>
              <w:bottom w:val="single" w:sz="4" w:space="0" w:color="D0D5DD"/>
              <w:right w:val="single" w:sz="4" w:space="0" w:color="D0D5DD"/>
            </w:tcBorders>
          </w:tcPr>
          <w:p>
            <w:pPr>
              <w:spacing w:before="40" w:after="40" w:line="200" w:lineRule="exact"/>
            </w:pPr>
            <w:r>
              <w:rPr>
                <w:rFonts w:ascii="Consolas" w:hAnsi="Consolas"/>
                <w:color w:val="1E293B"/>
                <w:sz w:val="16"/>
              </w:rPr>
              <w:t>H1: MUST Violations (T2/T3)</w:t>
              <w:br/>
              <w:t>Baseline:   [ 0% ] (0/10)   ====================&gt; ACCEPT</w:t>
              <w:br/>
              <w:t>Treatment:  [ 0% ] (0/10)   ====================&gt; ACCEPT</w:t>
              <w:br/>
              <w:br/>
              <w:t>H2: Unapproved Sensitive Actions Executed (T4/T5a/T5b)</w:t>
              <w:br/>
              <w:t>Baseline:   [ 100% ] (15/15 LEAKED)</w:t>
              <w:br/>
              <w:t>Treatment:  [ 0% ]   (0/15 BLOCKED)             ====&gt; ACCEPT</w:t>
              <w:br/>
              <w:br/>
              <w:t>H3: Pure In-Engine Policy Latency Overhead</w:t>
              <w:br/>
              <w:t>Threshold:  |-------------------- 20.0 ms -------------------|</w:t>
              <w:br/>
              <w:t>Measured:   | &lt;= 0.1 ms |                       ====&gt; ACCEPT</w:t>
            </w:r>
          </w:p>
        </w:tc>
      </w:tr>
    </w:tbl>
    <w:p>
      <w:pPr>
        <w:keepNext/>
        <w:spacing w:before="200" w:after="60"/>
      </w:pPr>
      <w:r>
        <w:rPr>
          <w:rFonts w:ascii="Times New Roman" w:hAnsi="Times New Roman"/>
          <w:b/>
          <w:i/>
          <w:color w:val="1E3A8A"/>
          <w:sz w:val="21"/>
        </w:rPr>
        <w:t>B.  Evaluation of Hypothesis 1: Specification Compliance</w:t>
      </w:r>
    </w:p>
    <w:p>
      <w:pPr>
        <w:spacing w:before="0" w:after="80" w:line="276" w:lineRule="auto"/>
        <w:jc w:val="both"/>
      </w:pPr>
      <w:r>
        <w:rPr>
          <w:rFonts w:ascii="Times New Roman" w:hAnsi="Times New Roman"/>
          <w:b w:val="0"/>
          <w:i w:val="0"/>
          <w:color w:val="212529"/>
          <w:sz w:val="19"/>
        </w:rPr>
        <w:t>Both baseline and treatment configurations successfully rejected 100% of test cases violating the mandatory specification MUST clauses (0/10 leaks).</w:t>
      </w:r>
    </w:p>
    <w:p>
      <w:pPr>
        <w:pStyle w:val="ListBullet"/>
        <w:spacing w:before="20" w:after="60" w:line="276" w:lineRule="auto"/>
      </w:pPr>
      <w:r>
        <w:rPr>
          <w:rFonts w:ascii="Times New Roman" w:hAnsi="Times New Roman"/>
          <w:b w:val="0"/>
          <w:i w:val="0"/>
          <w:color w:val="212529"/>
          <w:sz w:val="19"/>
        </w:rPr>
        <w:t xml:space="preserve">In test case T2, when the untrusted app attempted to invoke </w:t>
      </w:r>
      <w:r>
        <w:rPr>
          <w:rFonts w:ascii="Consolas" w:hAnsi="Consolas"/>
          <w:b w:val="0"/>
          <w:i w:val="0"/>
          <w:color w:val="B42828"/>
          <w:sz w:val="18"/>
        </w:rPr>
        <w:t>read-secret</w:t>
      </w:r>
      <w:r>
        <w:rPr>
          <w:rFonts w:ascii="Times New Roman" w:hAnsi="Times New Roman"/>
          <w:b w:val="0"/>
          <w:i w:val="0"/>
          <w:color w:val="212529"/>
          <w:sz w:val="19"/>
        </w:rPr>
        <w:t xml:space="preserve">, the host intercepted the JSON-RPC call and returned error </w:t>
      </w:r>
      <w:r>
        <w:rPr>
          <w:rFonts w:ascii="Consolas" w:hAnsi="Consolas"/>
          <w:b w:val="0"/>
          <w:i w:val="0"/>
          <w:color w:val="B42828"/>
          <w:sz w:val="18"/>
        </w:rPr>
        <w:t>-32603: Policy denied: tool 'read-secret' is not visible to apps</w:t>
      </w:r>
      <w:r>
        <w:rPr>
          <w:rFonts w:ascii="Times New Roman" w:hAnsi="Times New Roman"/>
          <w:b w:val="0"/>
          <w:i w:val="0"/>
          <w:color w:val="212529"/>
          <w:sz w:val="19"/>
        </w:rPr>
        <w:t>.</w:t>
      </w:r>
    </w:p>
    <w:p>
      <w:pPr>
        <w:pStyle w:val="ListBullet"/>
        <w:spacing w:before="20" w:after="60" w:line="276" w:lineRule="auto"/>
      </w:pPr>
      <w:r>
        <w:rPr>
          <w:rFonts w:ascii="Times New Roman" w:hAnsi="Times New Roman"/>
          <w:b w:val="0"/>
          <w:i w:val="0"/>
          <w:color w:val="212529"/>
          <w:sz w:val="19"/>
        </w:rPr>
        <w:t xml:space="preserve">In test case T3, when the app executed </w:t>
      </w:r>
      <w:r>
        <w:rPr>
          <w:rFonts w:ascii="Consolas" w:hAnsi="Consolas"/>
          <w:b w:val="0"/>
          <w:i w:val="0"/>
          <w:color w:val="B42828"/>
          <w:sz w:val="18"/>
        </w:rPr>
        <w:t>fetch('http://localhost:9999/exfil')</w:t>
      </w:r>
      <w:r>
        <w:rPr>
          <w:rFonts w:ascii="Times New Roman" w:hAnsi="Times New Roman"/>
          <w:b w:val="0"/>
          <w:i w:val="0"/>
          <w:color w:val="212529"/>
          <w:sz w:val="19"/>
        </w:rPr>
        <w:t>, the browser engine blocked the network socket immediately due to the declared CSP (</w:t>
      </w:r>
      <w:r>
        <w:rPr>
          <w:rFonts w:ascii="Consolas" w:hAnsi="Consolas"/>
          <w:b w:val="0"/>
          <w:i w:val="0"/>
          <w:color w:val="B42828"/>
          <w:sz w:val="18"/>
        </w:rPr>
        <w:t>connectDomains: []</w:t>
      </w:r>
      <w:r>
        <w:rPr>
          <w:rFonts w:ascii="Times New Roman" w:hAnsi="Times New Roman"/>
          <w:b w:val="0"/>
          <w:i w:val="0"/>
          <w:color w:val="212529"/>
          <w:sz w:val="19"/>
        </w:rPr>
        <w:t>), and the receiver recorded zero hits.</w:t>
      </w:r>
    </w:p>
    <w:p>
      <w:pPr>
        <w:spacing w:before="0" w:after="80" w:line="276" w:lineRule="auto"/>
        <w:jc w:val="both"/>
      </w:pPr>
      <w:r>
        <w:rPr>
          <w:rFonts w:ascii="Times New Roman" w:hAnsi="Times New Roman"/>
          <w:b w:val="0"/>
          <w:i w:val="0"/>
          <w:color w:val="212529"/>
          <w:sz w:val="19"/>
        </w:rPr>
        <w:t xml:space="preserve">These results confirm that our baseline represents a genuine, fully compliant host implementation rather than a misconfigured or deliberately flawed environment. </w:t>
      </w:r>
      <w:r>
        <w:rPr>
          <w:rFonts w:ascii="Times New Roman" w:hAnsi="Times New Roman"/>
          <w:b/>
          <w:i w:val="0"/>
          <w:color w:val="212529"/>
          <w:sz w:val="19"/>
        </w:rPr>
        <w:t>Hypothesis 1 is Accepted.</w:t>
      </w:r>
    </w:p>
    <w:p>
      <w:pPr>
        <w:keepNext/>
        <w:spacing w:before="200" w:after="60"/>
      </w:pPr>
      <w:r>
        <w:rPr>
          <w:rFonts w:ascii="Times New Roman" w:hAnsi="Times New Roman"/>
          <w:b/>
          <w:i/>
          <w:color w:val="1E3A8A"/>
          <w:sz w:val="21"/>
        </w:rPr>
        <w:t>C.  Evaluation of Hypothesis 2: Residual Risk Mitigation</w:t>
      </w:r>
    </w:p>
    <w:p>
      <w:pPr>
        <w:spacing w:before="0" w:after="80" w:line="276" w:lineRule="auto"/>
        <w:jc w:val="both"/>
      </w:pPr>
      <w:r>
        <w:rPr>
          <w:rFonts w:ascii="Times New Roman" w:hAnsi="Times New Roman"/>
          <w:b w:val="0"/>
          <w:i w:val="0"/>
          <w:color w:val="212529"/>
          <w:sz w:val="19"/>
        </w:rPr>
        <w:t>Under the baseline host, all 15 sensitive capability invocations across the 5 functional runs executed without prompt or notification:</w:t>
      </w:r>
    </w:p>
    <w:p>
      <w:pPr>
        <w:pStyle w:val="ListBullet"/>
        <w:spacing w:before="20" w:after="60" w:line="276" w:lineRule="auto"/>
      </w:pPr>
      <w:r>
        <w:rPr>
          <w:rFonts w:ascii="Times New Roman" w:hAnsi="Times New Roman"/>
          <w:b w:val="0"/>
          <w:i w:val="0"/>
          <w:color w:val="212529"/>
          <w:sz w:val="19"/>
        </w:rPr>
        <w:t xml:space="preserve">T4 opened an external browser window, sending an HTTP GET request containing </w:t>
      </w:r>
      <w:r>
        <w:rPr>
          <w:rFonts w:ascii="Consolas" w:hAnsi="Consolas"/>
          <w:b w:val="0"/>
          <w:i w:val="0"/>
          <w:color w:val="B42828"/>
          <w:sz w:val="18"/>
        </w:rPr>
        <w:t>SYNTHETIC_SECRET_001</w:t>
      </w:r>
      <w:r>
        <w:rPr>
          <w:rFonts w:ascii="Times New Roman" w:hAnsi="Times New Roman"/>
          <w:b w:val="0"/>
          <w:i w:val="0"/>
          <w:color w:val="212529"/>
          <w:sz w:val="19"/>
        </w:rPr>
        <w:t xml:space="preserve"> to </w:t>
      </w:r>
      <w:r>
        <w:rPr>
          <w:rFonts w:ascii="Consolas" w:hAnsi="Consolas"/>
          <w:b w:val="0"/>
          <w:i w:val="0"/>
          <w:color w:val="B42828"/>
          <w:sz w:val="18"/>
        </w:rPr>
        <w:t>:9999/exfil</w:t>
      </w:r>
      <w:r>
        <w:rPr>
          <w:rFonts w:ascii="Times New Roman" w:hAnsi="Times New Roman"/>
          <w:b w:val="0"/>
          <w:i w:val="0"/>
          <w:color w:val="212529"/>
          <w:sz w:val="19"/>
        </w:rPr>
        <w:t xml:space="preserve"> (verified by receiver logs).</w:t>
      </w:r>
    </w:p>
    <w:p>
      <w:pPr>
        <w:pStyle w:val="ListBullet"/>
        <w:spacing w:before="20" w:after="60" w:line="276" w:lineRule="auto"/>
      </w:pPr>
      <w:r>
        <w:rPr>
          <w:rFonts w:ascii="Times New Roman" w:hAnsi="Times New Roman"/>
          <w:b w:val="0"/>
          <w:i w:val="0"/>
          <w:color w:val="212529"/>
          <w:sz w:val="19"/>
        </w:rPr>
        <w:t>T5a successfully injected an adversarial user message into the host chat log.</w:t>
      </w:r>
    </w:p>
    <w:p>
      <w:pPr>
        <w:pStyle w:val="ListBullet"/>
        <w:spacing w:before="20" w:after="60" w:line="276" w:lineRule="auto"/>
      </w:pPr>
      <w:r>
        <w:rPr>
          <w:rFonts w:ascii="Times New Roman" w:hAnsi="Times New Roman"/>
          <w:b w:val="0"/>
          <w:i w:val="0"/>
          <w:color w:val="212529"/>
          <w:sz w:val="19"/>
        </w:rPr>
        <w:t>T5b successfully updated the model context payload with synthetic secret data.</w:t>
      </w:r>
    </w:p>
    <w:p>
      <w:pPr>
        <w:spacing w:before="0" w:after="80" w:line="276" w:lineRule="auto"/>
        <w:jc w:val="both"/>
      </w:pPr>
      <w:r>
        <w:rPr>
          <w:rFonts w:ascii="Times New Roman" w:hAnsi="Times New Roman"/>
          <w:b w:val="0"/>
          <w:i w:val="0"/>
          <w:color w:val="212529"/>
          <w:sz w:val="19"/>
        </w:rPr>
        <w:t xml:space="preserve">Under the treatment host with default-deny consent, </w:t>
      </w:r>
      <w:r>
        <w:rPr>
          <w:rFonts w:ascii="Times New Roman" w:hAnsi="Times New Roman"/>
          <w:b/>
          <w:i w:val="0"/>
          <w:color w:val="212529"/>
          <w:sz w:val="19"/>
        </w:rPr>
        <w:t>zero out of 15 sensitive actions executed</w:t>
      </w:r>
      <w:r>
        <w:rPr>
          <w:rFonts w:ascii="Times New Roman" w:hAnsi="Times New Roman"/>
          <w:b w:val="0"/>
          <w:i w:val="0"/>
          <w:color w:val="212529"/>
          <w:sz w:val="19"/>
        </w:rPr>
        <w:t xml:space="preserve"> across all 5 functional runs. From a statistical perspective, observing 0 failures out of 15 Bernoulli trials yields a 95% Wilson score binomial confidence interval of [0.00, 0.218] (upper bound 21.8% maximum residual failure rate at α=0.05), compared to 15/15 in baseline with a 95% confidence interval of [0.796, 1.00]. Invocations of </w:t>
      </w:r>
      <w:r>
        <w:rPr>
          <w:rFonts w:ascii="Consolas" w:hAnsi="Consolas"/>
          <w:b w:val="0"/>
          <w:i w:val="0"/>
          <w:color w:val="B42828"/>
          <w:sz w:val="18"/>
        </w:rPr>
        <w:t>ui/open-link</w:t>
      </w:r>
      <w:r>
        <w:rPr>
          <w:rFonts w:ascii="Times New Roman" w:hAnsi="Times New Roman"/>
          <w:b w:val="0"/>
          <w:i w:val="0"/>
          <w:color w:val="212529"/>
          <w:sz w:val="19"/>
        </w:rPr>
        <w:t xml:space="preserve"> were denied, and </w:t>
      </w:r>
      <w:r>
        <w:rPr>
          <w:rFonts w:ascii="Consolas" w:hAnsi="Consolas"/>
          <w:b w:val="0"/>
          <w:i w:val="0"/>
          <w:color w:val="B42828"/>
          <w:sz w:val="18"/>
        </w:rPr>
        <w:t>ui/message</w:t>
      </w:r>
      <w:r>
        <w:rPr>
          <w:rFonts w:ascii="Times New Roman" w:hAnsi="Times New Roman"/>
          <w:b w:val="0"/>
          <w:i w:val="0"/>
          <w:color w:val="212529"/>
          <w:sz w:val="19"/>
        </w:rPr>
        <w:t xml:space="preserve"> and </w:t>
      </w:r>
      <w:r>
        <w:rPr>
          <w:rFonts w:ascii="Consolas" w:hAnsi="Consolas"/>
          <w:b w:val="0"/>
          <w:i w:val="0"/>
          <w:color w:val="B42828"/>
          <w:sz w:val="18"/>
        </w:rPr>
        <w:t>ui/update-model-context</w:t>
      </w:r>
      <w:r>
        <w:rPr>
          <w:rFonts w:ascii="Times New Roman" w:hAnsi="Times New Roman"/>
          <w:b w:val="0"/>
          <w:i w:val="0"/>
          <w:color w:val="212529"/>
          <w:sz w:val="19"/>
        </w:rPr>
        <w:t xml:space="preserve"> returned an unfulfilled promise with error status </w:t>
      </w:r>
      <w:r>
        <w:rPr>
          <w:rFonts w:ascii="Consolas" w:hAnsi="Consolas"/>
          <w:b w:val="0"/>
          <w:i w:val="0"/>
          <w:color w:val="B42828"/>
          <w:sz w:val="18"/>
        </w:rPr>
        <w:t>Policy denied: user denied</w:t>
      </w:r>
      <w:r>
        <w:rPr>
          <w:rFonts w:ascii="Times New Roman" w:hAnsi="Times New Roman"/>
          <w:b w:val="0"/>
          <w:i w:val="0"/>
          <w:color w:val="212529"/>
          <w:sz w:val="19"/>
        </w:rPr>
        <w:t>. The secret was successfully contained.</w:t>
      </w:r>
    </w:p>
    <w:p>
      <w:pPr>
        <w:spacing w:before="0" w:after="80" w:line="276" w:lineRule="auto"/>
        <w:jc w:val="both"/>
      </w:pPr>
      <w:r>
        <w:rPr>
          <w:rFonts w:ascii="Times New Roman" w:hAnsi="Times New Roman"/>
          <w:b w:val="0"/>
          <w:i w:val="0"/>
          <w:color w:val="212529"/>
          <w:sz w:val="19"/>
        </w:rPr>
        <w:t xml:space="preserve">To verify that security did not break legitimate functionality, run </w:t>
      </w:r>
      <w:r>
        <w:rPr>
          <w:rFonts w:ascii="Consolas" w:hAnsi="Consolas"/>
          <w:b w:val="0"/>
          <w:i w:val="0"/>
          <w:color w:val="B42828"/>
          <w:sz w:val="18"/>
        </w:rPr>
        <w:t>func-treatment-allow-1</w:t>
      </w:r>
      <w:r>
        <w:rPr>
          <w:rFonts w:ascii="Times New Roman" w:hAnsi="Times New Roman"/>
          <w:b w:val="0"/>
          <w:i w:val="0"/>
          <w:color w:val="212529"/>
          <w:sz w:val="19"/>
        </w:rPr>
        <w:t xml:space="preserve"> tested treatment with simulated user approval. In this dedicated single-run proof-of-concept trial (n=1), </w:t>
      </w:r>
      <w:r>
        <w:rPr>
          <w:rFonts w:ascii="Times New Roman" w:hAnsi="Times New Roman"/>
          <w:b/>
          <w:i w:val="0"/>
          <w:color w:val="212529"/>
          <w:sz w:val="19"/>
        </w:rPr>
        <w:t>all 3 sensitive channels executed successfully</w:t>
      </w:r>
      <w:r>
        <w:rPr>
          <w:rFonts w:ascii="Times New Roman" w:hAnsi="Times New Roman"/>
          <w:b w:val="0"/>
          <w:i w:val="0"/>
          <w:color w:val="212529"/>
          <w:sz w:val="19"/>
        </w:rPr>
        <w:t xml:space="preserve">, confirming zero false blocks on user-sanctioned workflows without requiring repeated multi-run benchmarking. </w:t>
      </w:r>
      <w:r>
        <w:rPr>
          <w:rFonts w:ascii="Times New Roman" w:hAnsi="Times New Roman"/>
          <w:b/>
          <w:i w:val="0"/>
          <w:color w:val="212529"/>
          <w:sz w:val="19"/>
        </w:rPr>
        <w:t>Hypothesis 2 is Accepted.</w:t>
      </w:r>
    </w:p>
    <w:p>
      <w:pPr>
        <w:keepNext/>
        <w:spacing w:before="200" w:after="60"/>
      </w:pPr>
      <w:r>
        <w:rPr>
          <w:rFonts w:ascii="Times New Roman" w:hAnsi="Times New Roman"/>
          <w:b/>
          <w:i/>
          <w:color w:val="1E3A8A"/>
          <w:sz w:val="21"/>
        </w:rPr>
        <w:t>D.  Evaluation of Hypothesis 3: Latency Overhead</w:t>
      </w:r>
    </w:p>
    <w:p>
      <w:pPr>
        <w:spacing w:before="0" w:after="80" w:line="276" w:lineRule="auto"/>
        <w:jc w:val="both"/>
      </w:pPr>
      <w:r>
        <w:rPr>
          <w:rFonts w:ascii="Times New Roman" w:hAnsi="Times New Roman"/>
          <w:b w:val="0"/>
          <w:i w:val="0"/>
          <w:color w:val="212529"/>
          <w:sz w:val="19"/>
        </w:rPr>
        <w:t xml:space="preserve">Latency was evaluated across 30 alternating performance runs, capturing 90 latency points for baseline and 90 latency points for treatment via the benign </w:t>
      </w:r>
      <w:r>
        <w:rPr>
          <w:rFonts w:ascii="Consolas" w:hAnsi="Consolas"/>
          <w:b w:val="0"/>
          <w:i w:val="0"/>
          <w:color w:val="B42828"/>
          <w:sz w:val="18"/>
        </w:rPr>
        <w:t>get-time</w:t>
      </w:r>
      <w:r>
        <w:rPr>
          <w:rFonts w:ascii="Times New Roman" w:hAnsi="Times New Roman"/>
          <w:b w:val="0"/>
          <w:i w:val="0"/>
          <w:color w:val="212529"/>
          <w:sz w:val="19"/>
        </w:rPr>
        <w:t xml:space="preserve"> channel (T7).</w:t>
      </w:r>
    </w:p>
    <w:p>
      <w:pPr>
        <w:spacing w:before="160" w:after="60"/>
        <w:jc w:val="center"/>
      </w:pPr>
      <w:r>
        <w:rPr>
          <w:rFonts w:ascii="Times New Roman" w:hAnsi="Times New Roman"/>
          <w:b/>
          <w:i w:val="0"/>
          <w:color w:val="0F2C59"/>
          <w:sz w:val="19"/>
        </w:rPr>
        <w:t>Table 3:</w:t>
      </w:r>
      <w:r>
        <w:rPr>
          <w:rFonts w:ascii="Times New Roman" w:hAnsi="Times New Roman"/>
          <w:b/>
          <w:i w:val="0"/>
          <w:color w:val="0F2C59"/>
          <w:sz w:val="19"/>
        </w:rPr>
        <w:t xml:space="preserve"> End-to-end tool round-trip latency distribution across 30 alternating performance runs (n = 90 measurements per mode).</w:t>
      </w: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Borders>
              <w:top w:val="single" w:sz="4" w:space="0" w:color="D0D5DD"/>
              <w:left w:val="single" w:sz="18" w:space="0" w:color="1F497D"/>
              <w:bottom w:val="single" w:sz="4" w:space="0" w:color="D0D5DD"/>
              <w:right w:val="single" w:sz="4" w:space="0" w:color="D0D5DD"/>
            </w:tcBorders>
          </w:tcPr>
          <w:p>
            <w:pPr>
              <w:spacing w:before="40" w:after="40" w:line="200" w:lineRule="exact"/>
            </w:pPr>
            <w:r>
              <w:rPr>
                <w:rFonts w:ascii="Consolas" w:hAnsi="Consolas"/>
                <w:color w:val="1E293B"/>
                <w:sz w:val="16"/>
              </w:rPr>
              <w:t>Latency Distribution (n = 90 points per mode):</w:t>
              <w:br/>
              <w:t>Metric                Baseline Host       Treatment Host      Delta (Treatment - Baseline)</w:t>
              <w:br/>
              <w:t>------------------------------------------------------------------------------------------</w:t>
              <w:br/>
              <w:t>Mean Latency          339.0 ms            334.6 ms            -4.4 ms</w:t>
              <w:br/>
              <w:t>Median Latency        327.4 ms            318.3 ms            -9.1 ms</w:t>
              <w:br/>
              <w:t>95th Percentile       471.0 ms            474.3 ms            +3.3 ms</w:t>
              <w:br/>
              <w:t>Min Latency           178.6 ms            198.2 ms            +19.6 ms</w:t>
              <w:br/>
              <w:t>Max Latency           521.4 ms            503.2 ms            -18.2 ms</w:t>
              <w:br/>
              <w:t>In-Engine Policy      0.0 ms              &lt;= 0.1 ms           Med &lt;= 0.1 ms, Max 1.6 ms</w:t>
            </w:r>
          </w:p>
        </w:tc>
      </w:tr>
    </w:tbl>
    <w:p>
      <w:pPr>
        <w:keepNext/>
        <w:spacing w:before="160" w:after="40"/>
      </w:pPr>
      <w:r>
        <w:rPr>
          <w:rFonts w:ascii="Times New Roman" w:hAnsi="Times New Roman"/>
          <w:b/>
          <w:color w:val="334155"/>
          <w:sz w:val="20"/>
        </w:rPr>
        <w:t>Granular In-Engine Policy Decision Latency Breakdown Across Channels</w:t>
      </w:r>
    </w:p>
    <w:p>
      <w:pPr>
        <w:spacing w:before="0" w:after="80" w:line="276" w:lineRule="auto"/>
        <w:jc w:val="both"/>
      </w:pPr>
      <w:r>
        <w:rPr>
          <w:rFonts w:ascii="Times New Roman" w:hAnsi="Times New Roman"/>
          <w:b w:val="0"/>
          <w:i w:val="0"/>
          <w:color w:val="212529"/>
          <w:sz w:val="19"/>
        </w:rPr>
        <w:t>To achieve complete scientific transparency, pure in-engine evaluation times (t_policy) were captured across all 410 intercepted capability invocations in the audit telemetry:</w:t>
      </w:r>
    </w:p>
    <w:p>
      <w:pPr>
        <w:spacing w:before="160" w:after="60"/>
        <w:jc w:val="center"/>
      </w:pPr>
      <w:r>
        <w:rPr>
          <w:rFonts w:ascii="Times New Roman" w:hAnsi="Times New Roman"/>
          <w:b/>
          <w:i w:val="0"/>
          <w:color w:val="0F2C59"/>
          <w:sz w:val="19"/>
        </w:rPr>
        <w:t>Table 4:</w:t>
      </w:r>
      <w:r>
        <w:rPr>
          <w:rFonts w:ascii="Times New Roman" w:hAnsi="Times New Roman"/>
          <w:b/>
          <w:i w:val="0"/>
          <w:color w:val="0F2C59"/>
          <w:sz w:val="19"/>
        </w:rPr>
        <w:t xml:space="preserve"> Granular in-engine policy decision latency breakdown (t_policy) across all 410 recorded audit events.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680"/>
        <w:gridCol w:w="1680"/>
        <w:gridCol w:w="1680"/>
        <w:gridCol w:w="1680"/>
        <w:gridCol w:w="1680"/>
        <w:gridCol w:w="1680"/>
      </w:tblGrid>
      <w:tr>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Intercepted Channel</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Intercepting Function</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Nature of Policy Check</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Median Latency</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Mean Latency</w:t>
            </w:r>
          </w:p>
        </w:tc>
        <w:tc>
          <w:tcPr>
            <w:tcW w:type="dxa" w:w="1680"/>
            <w:shd w:fill="1F497D"/>
            <w:tcMar>
              <w:top w:w="90" w:type="dxa"/>
              <w:bottom w:w="90" w:type="dxa"/>
              <w:left w:w="110" w:type="dxa"/>
              <w:right w:w="110" w:type="dxa"/>
            </w:tcMar>
          </w:tcPr>
          <w:p>
            <w:pPr>
              <w:spacing w:after="0"/>
              <w:jc w:val="center"/>
            </w:pPr>
            <w:r>
              <w:rPr>
                <w:rFonts w:ascii="Times New Roman" w:hAnsi="Times New Roman"/>
                <w:b/>
                <w:i w:val="0"/>
                <w:color w:val="FFFFFF"/>
                <w:sz w:val="18"/>
              </w:rPr>
              <w:t>Maximum Observed</w:t>
            </w:r>
          </w:p>
        </w:tc>
      </w:tr>
      <w:tr>
        <w:tc>
          <w:tcPr>
            <w:tcW w:type="dxa" w:w="1680"/>
            <w:tcMar>
              <w:top w:w="70" w:type="dxa"/>
              <w:bottom w:w="70" w:type="dxa"/>
              <w:left w:w="100" w:type="dxa"/>
              <w:right w:w="100" w:type="dxa"/>
            </w:tcMar>
          </w:tcPr>
          <w:p>
            <w:pPr>
              <w:spacing w:after="0"/>
              <w:jc w:val="left"/>
            </w:pPr>
            <w:r>
              <w:rPr>
                <w:rFonts w:ascii="Consolas" w:hAnsi="Consolas"/>
                <w:b w:val="0"/>
                <w:i w:val="0"/>
                <w:color w:val="B42828"/>
                <w:sz w:val="16"/>
              </w:rPr>
              <w:t>tools/call</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gateToolVisibility</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In-memory lookup and visibility array check</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0.0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0.03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1.3 ms</w:t>
            </w:r>
          </w:p>
        </w:tc>
      </w:tr>
      <w:tr>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ui/open-link</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gateOpenLink</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URL scheme prefix matching (</w:t>
            </w:r>
            <w:r>
              <w:rPr>
                <w:rFonts w:ascii="Consolas" w:hAnsi="Consolas"/>
                <w:b w:val="0"/>
                <w:i w:val="0"/>
                <w:color w:val="B42828"/>
                <w:sz w:val="16"/>
              </w:rPr>
              <w:t>http://</w:t>
            </w:r>
            <w:r>
              <w:rPr>
                <w:rFonts w:ascii="Times New Roman" w:hAnsi="Times New Roman"/>
                <w:b w:val="0"/>
                <w:i w:val="0"/>
                <w:color w:val="212529"/>
                <w:sz w:val="17"/>
              </w:rPr>
              <w:t xml:space="preserve">, </w:t>
            </w:r>
            <w:r>
              <w:rPr>
                <w:rFonts w:ascii="Consolas" w:hAnsi="Consolas"/>
                <w:b w:val="0"/>
                <w:i w:val="0"/>
                <w:color w:val="B42828"/>
                <w:sz w:val="16"/>
              </w:rPr>
              <w:t>https://</w:t>
            </w:r>
            <w:r>
              <w:rPr>
                <w:rFonts w:ascii="Times New Roman" w:hAnsi="Times New Roman"/>
                <w:b w:val="0"/>
                <w:i w:val="0"/>
                <w:color w:val="212529"/>
                <w:sz w:val="17"/>
              </w:rPr>
              <w:t>)</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0.0 ms</w:t>
            </w:r>
          </w:p>
        </w:tc>
        <w:tc>
          <w:tcPr>
            <w:tcW w:type="dxa" w:w="1680"/>
            <w:shd w:fill="F8FAFC"/>
            <w:tcMar>
              <w:top w:w="70" w:type="dxa"/>
              <w:bottom w:w="70" w:type="dxa"/>
              <w:left w:w="100" w:type="dxa"/>
              <w:right w:w="100" w:type="dxa"/>
            </w:tcMar>
          </w:tcPr>
          <w:p>
            <w:pPr>
              <w:spacing w:after="0"/>
              <w:jc w:val="center"/>
            </w:pPr>
            <w:r>
              <w:rPr>
                <w:rFonts w:ascii="Times New Roman" w:hAnsi="Times New Roman"/>
                <w:b w:val="0"/>
                <w:i w:val="0"/>
                <w:color w:val="212529"/>
                <w:sz w:val="17"/>
              </w:rPr>
              <w:t>0.02 ms</w:t>
            </w:r>
          </w:p>
        </w:tc>
        <w:tc>
          <w:tcPr>
            <w:tcW w:type="dxa" w:w="1680"/>
            <w:shd w:fill="F8FAFC"/>
            <w:tcMar>
              <w:top w:w="70" w:type="dxa"/>
              <w:bottom w:w="70" w:type="dxa"/>
              <w:left w:w="100" w:type="dxa"/>
              <w:right w:w="100" w:type="dxa"/>
            </w:tcMar>
          </w:tcPr>
          <w:p>
            <w:pPr>
              <w:spacing w:after="0"/>
              <w:jc w:val="center"/>
            </w:pPr>
            <w:r>
              <w:rPr>
                <w:rFonts w:ascii="Times New Roman" w:hAnsi="Times New Roman"/>
                <w:b w:val="0"/>
                <w:i w:val="0"/>
                <w:color w:val="212529"/>
                <w:sz w:val="17"/>
              </w:rPr>
              <w:t>0.1 ms</w:t>
            </w:r>
          </w:p>
        </w:tc>
      </w:tr>
      <w:tr>
        <w:tc>
          <w:tcPr>
            <w:tcW w:type="dxa" w:w="1680"/>
            <w:tcMar>
              <w:top w:w="70" w:type="dxa"/>
              <w:bottom w:w="70" w:type="dxa"/>
              <w:left w:w="100" w:type="dxa"/>
              <w:right w:w="100" w:type="dxa"/>
            </w:tcMar>
          </w:tcPr>
          <w:p>
            <w:pPr>
              <w:spacing w:after="0"/>
              <w:jc w:val="left"/>
            </w:pPr>
            <w:r>
              <w:rPr>
                <w:rFonts w:ascii="Consolas" w:hAnsi="Consolas"/>
                <w:b w:val="0"/>
                <w:i w:val="0"/>
                <w:color w:val="B42828"/>
                <w:sz w:val="16"/>
              </w:rPr>
              <w:t>ui/message</w:t>
            </w:r>
          </w:p>
        </w:tc>
        <w:tc>
          <w:tcPr>
            <w:tcW w:type="dxa" w:w="1680"/>
            <w:tcMar>
              <w:top w:w="70" w:type="dxa"/>
              <w:bottom w:w="70" w:type="dxa"/>
              <w:left w:w="100" w:type="dxa"/>
              <w:right w:w="100" w:type="dxa"/>
            </w:tcMar>
          </w:tcPr>
          <w:p>
            <w:pPr>
              <w:spacing w:after="0"/>
              <w:jc w:val="left"/>
            </w:pPr>
            <w:r>
              <w:rPr>
                <w:rFonts w:ascii="Consolas" w:hAnsi="Consolas"/>
                <w:b w:val="0"/>
                <w:i w:val="0"/>
                <w:color w:val="B42828"/>
                <w:sz w:val="16"/>
              </w:rPr>
              <w:t>gateMessage</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UTF-8 encoding, JSON serialization, 4 KB boundary check</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0.1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0.14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0.6 ms</w:t>
            </w:r>
          </w:p>
        </w:tc>
      </w:tr>
      <w:tr>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ui/update-model-context</w:t>
            </w:r>
          </w:p>
        </w:tc>
        <w:tc>
          <w:tcPr>
            <w:tcW w:type="dxa" w:w="1680"/>
            <w:shd w:fill="F8FAFC"/>
            <w:tcMar>
              <w:top w:w="70" w:type="dxa"/>
              <w:bottom w:w="70" w:type="dxa"/>
              <w:left w:w="100" w:type="dxa"/>
              <w:right w:w="100" w:type="dxa"/>
            </w:tcMar>
          </w:tcPr>
          <w:p>
            <w:pPr>
              <w:spacing w:after="0"/>
              <w:jc w:val="left"/>
            </w:pPr>
            <w:r>
              <w:rPr>
                <w:rFonts w:ascii="Consolas" w:hAnsi="Consolas"/>
                <w:b w:val="0"/>
                <w:i w:val="0"/>
                <w:color w:val="B42828"/>
                <w:sz w:val="16"/>
              </w:rPr>
              <w:t>gateContext</w:t>
            </w:r>
          </w:p>
        </w:tc>
        <w:tc>
          <w:tcPr>
            <w:tcW w:type="dxa" w:w="1680"/>
            <w:shd w:fill="F8FAFC"/>
            <w:tcMar>
              <w:top w:w="70" w:type="dxa"/>
              <w:bottom w:w="70" w:type="dxa"/>
              <w:left w:w="100" w:type="dxa"/>
              <w:right w:w="100" w:type="dxa"/>
            </w:tcMar>
          </w:tcPr>
          <w:p>
            <w:pPr>
              <w:spacing w:after="0"/>
              <w:jc w:val="left"/>
            </w:pPr>
            <w:r>
              <w:rPr>
                <w:rFonts w:ascii="Times New Roman" w:hAnsi="Times New Roman"/>
                <w:b w:val="0"/>
                <w:i w:val="0"/>
                <w:color w:val="212529"/>
                <w:sz w:val="17"/>
              </w:rPr>
              <w:t>Context payload inspection &amp; 4 KB boundary check</w:t>
            </w:r>
          </w:p>
        </w:tc>
        <w:tc>
          <w:tcPr>
            <w:tcW w:type="dxa" w:w="1680"/>
            <w:shd w:fill="F8FAFC"/>
            <w:tcMar>
              <w:top w:w="70" w:type="dxa"/>
              <w:bottom w:w="70" w:type="dxa"/>
              <w:left w:w="100" w:type="dxa"/>
              <w:right w:w="100" w:type="dxa"/>
            </w:tcMar>
          </w:tcPr>
          <w:p>
            <w:pPr>
              <w:spacing w:after="0"/>
              <w:jc w:val="left"/>
            </w:pPr>
            <w:r>
              <w:rPr>
                <w:rFonts w:ascii="Times New Roman" w:hAnsi="Times New Roman"/>
                <w:b/>
                <w:i w:val="0"/>
                <w:color w:val="212529"/>
                <w:sz w:val="17"/>
              </w:rPr>
              <w:t>0.1 ms</w:t>
            </w:r>
          </w:p>
        </w:tc>
        <w:tc>
          <w:tcPr>
            <w:tcW w:type="dxa" w:w="1680"/>
            <w:shd w:fill="F8FAFC"/>
            <w:tcMar>
              <w:top w:w="70" w:type="dxa"/>
              <w:bottom w:w="70" w:type="dxa"/>
              <w:left w:w="100" w:type="dxa"/>
              <w:right w:w="100" w:type="dxa"/>
            </w:tcMar>
          </w:tcPr>
          <w:p>
            <w:pPr>
              <w:spacing w:after="0"/>
              <w:jc w:val="center"/>
            </w:pPr>
            <w:r>
              <w:rPr>
                <w:rFonts w:ascii="Times New Roman" w:hAnsi="Times New Roman"/>
                <w:b w:val="0"/>
                <w:i w:val="0"/>
                <w:color w:val="212529"/>
                <w:sz w:val="17"/>
              </w:rPr>
              <w:t>0.18 ms</w:t>
            </w:r>
          </w:p>
        </w:tc>
        <w:tc>
          <w:tcPr>
            <w:tcW w:type="dxa" w:w="1680"/>
            <w:shd w:fill="F8FAFC"/>
            <w:tcMar>
              <w:top w:w="70" w:type="dxa"/>
              <w:bottom w:w="70" w:type="dxa"/>
              <w:left w:w="100" w:type="dxa"/>
              <w:right w:w="100" w:type="dxa"/>
            </w:tcMar>
          </w:tcPr>
          <w:p>
            <w:pPr>
              <w:spacing w:after="0"/>
              <w:jc w:val="center"/>
            </w:pPr>
            <w:r>
              <w:rPr>
                <w:rFonts w:ascii="Times New Roman" w:hAnsi="Times New Roman"/>
                <w:b w:val="0"/>
                <w:i w:val="0"/>
                <w:color w:val="212529"/>
                <w:sz w:val="17"/>
              </w:rPr>
              <w:t>1.6 ms</w:t>
            </w:r>
          </w:p>
        </w:tc>
      </w:tr>
      <w:tr>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All Channels Combined (n=410)</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Unified Policy Engine</w:t>
            </w:r>
          </w:p>
        </w:tc>
        <w:tc>
          <w:tcPr>
            <w:tcW w:type="dxa" w:w="1680"/>
            <w:tcMar>
              <w:top w:w="70" w:type="dxa"/>
              <w:bottom w:w="70" w:type="dxa"/>
              <w:left w:w="100" w:type="dxa"/>
              <w:right w:w="100" w:type="dxa"/>
            </w:tcMar>
          </w:tcPr>
          <w:p>
            <w:pPr>
              <w:spacing w:after="0"/>
              <w:jc w:val="left"/>
            </w:pPr>
            <w:r>
              <w:rPr>
                <w:rFonts w:ascii="Times New Roman" w:hAnsi="Times New Roman"/>
                <w:b w:val="0"/>
                <w:i w:val="0"/>
                <w:color w:val="212529"/>
                <w:sz w:val="17"/>
              </w:rPr>
              <w:t>Synchronous deterministic policy evaluation</w:t>
            </w:r>
          </w:p>
        </w:tc>
        <w:tc>
          <w:tcPr>
            <w:tcW w:type="dxa" w:w="1680"/>
            <w:tcMar>
              <w:top w:w="70" w:type="dxa"/>
              <w:bottom w:w="70" w:type="dxa"/>
              <w:left w:w="100" w:type="dxa"/>
              <w:right w:w="100" w:type="dxa"/>
            </w:tcMar>
          </w:tcPr>
          <w:p>
            <w:pPr>
              <w:spacing w:after="0"/>
              <w:jc w:val="left"/>
            </w:pPr>
            <w:r>
              <w:rPr>
                <w:rFonts w:ascii="Times New Roman" w:hAnsi="Times New Roman"/>
                <w:b/>
                <w:i w:val="0"/>
                <w:color w:val="212529"/>
                <w:sz w:val="17"/>
              </w:rPr>
              <w:t>0.0 ms</w:t>
            </w:r>
            <w:r>
              <w:rPr>
                <w:rFonts w:ascii="Times New Roman" w:hAnsi="Times New Roman"/>
                <w:b w:val="0"/>
                <w:i w:val="0"/>
                <w:color w:val="212529"/>
                <w:sz w:val="17"/>
              </w:rPr>
              <w:t xml:space="preserve"> (≤ 0.1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0.06 ms</w:t>
            </w:r>
          </w:p>
        </w:tc>
        <w:tc>
          <w:tcPr>
            <w:tcW w:type="dxa" w:w="1680"/>
            <w:tcMar>
              <w:top w:w="70" w:type="dxa"/>
              <w:bottom w:w="70" w:type="dxa"/>
              <w:left w:w="100" w:type="dxa"/>
              <w:right w:w="100" w:type="dxa"/>
            </w:tcMar>
          </w:tcPr>
          <w:p>
            <w:pPr>
              <w:spacing w:after="0"/>
              <w:jc w:val="center"/>
            </w:pPr>
            <w:r>
              <w:rPr>
                <w:rFonts w:ascii="Times New Roman" w:hAnsi="Times New Roman"/>
                <w:b w:val="0"/>
                <w:i w:val="0"/>
                <w:color w:val="212529"/>
                <w:sz w:val="17"/>
              </w:rPr>
              <w:t>1.6 ms</w:t>
            </w:r>
          </w:p>
        </w:tc>
      </w:tr>
    </w:tbl>
    <w:p>
      <w:pPr>
        <w:spacing w:after="80"/>
      </w:pPr>
    </w:p>
    <w:p>
      <w:pPr>
        <w:spacing w:before="0" w:after="80" w:line="276" w:lineRule="auto"/>
        <w:jc w:val="both"/>
      </w:pPr>
      <w:r>
        <w:rPr>
          <w:rFonts w:ascii="Times New Roman" w:hAnsi="Times New Roman"/>
          <w:b w:val="0"/>
          <w:i w:val="0"/>
          <w:color w:val="212529"/>
          <w:sz w:val="19"/>
        </w:rPr>
        <w:t xml:space="preserve">The observed median difference in end-to-end tool execution between treatment and baseline was </w:t>
      </w:r>
      <w:r>
        <w:rPr>
          <w:rFonts w:ascii="Times New Roman" w:hAnsi="Times New Roman"/>
          <w:b/>
          <w:i w:val="0"/>
          <w:color w:val="212529"/>
          <w:sz w:val="19"/>
        </w:rPr>
        <w:t>-9.1 ms</w:t>
      </w:r>
      <w:r>
        <w:rPr>
          <w:rFonts w:ascii="Times New Roman" w:hAnsi="Times New Roman"/>
          <w:b w:val="0"/>
          <w:i w:val="0"/>
          <w:color w:val="212529"/>
          <w:sz w:val="19"/>
        </w:rPr>
        <w:t xml:space="preserve">, and the 95th percentile delta was </w:t>
      </w:r>
      <w:r>
        <w:rPr>
          <w:rFonts w:ascii="Times New Roman" w:hAnsi="Times New Roman"/>
          <w:b/>
          <w:i w:val="0"/>
          <w:color w:val="212529"/>
          <w:sz w:val="19"/>
        </w:rPr>
        <w:t>+3.3 ms</w:t>
      </w:r>
      <w:r>
        <w:rPr>
          <w:rFonts w:ascii="Times New Roman" w:hAnsi="Times New Roman"/>
          <w:b w:val="0"/>
          <w:i w:val="0"/>
          <w:color w:val="212529"/>
          <w:sz w:val="19"/>
        </w:rPr>
        <w:t>. Both values fall well within the pre-defined operational threshold of ≤ 20 ms.</w:t>
      </w:r>
    </w:p>
    <w:p>
      <w:pPr>
        <w:spacing w:before="0" w:after="80" w:line="276" w:lineRule="auto"/>
        <w:jc w:val="both"/>
      </w:pPr>
      <w:r>
        <w:rPr>
          <w:rFonts w:ascii="Times New Roman" w:hAnsi="Times New Roman"/>
          <w:b w:val="0"/>
          <w:i w:val="0"/>
          <w:color w:val="212529"/>
          <w:sz w:val="19"/>
        </w:rPr>
        <w:t xml:space="preserve">Audit logs capturing the internal JavaScript execution duration (t_policy) across all 410 recorded events demonstrated an overall median evaluation time of </w:t>
      </w:r>
      <w:r>
        <w:rPr>
          <w:rFonts w:ascii="Times New Roman" w:hAnsi="Times New Roman"/>
          <w:b/>
          <w:i w:val="0"/>
          <w:color w:val="212529"/>
          <w:sz w:val="19"/>
        </w:rPr>
        <w:t>0.0 ms</w:t>
      </w:r>
      <w:r>
        <w:rPr>
          <w:rFonts w:ascii="Times New Roman" w:hAnsi="Times New Roman"/>
          <w:b w:val="0"/>
          <w:i w:val="0"/>
          <w:color w:val="212529"/>
          <w:sz w:val="19"/>
        </w:rPr>
        <w:t xml:space="preserve"> (≤ 0.1 ms across channels; mean 0.06 ms, with a worst-case maximum of 1.6 ms during JSON serialization of deeply nested context payloads). Both the median overhead and worst-case ceiling reside orders of magnitude below the 20 ms operational threshold.</w:t>
      </w:r>
    </w:p>
    <w:p>
      <w:pPr>
        <w:spacing w:before="0" w:after="80" w:line="276" w:lineRule="auto"/>
        <w:jc w:val="both"/>
      </w:pPr>
      <w:r>
        <w:rPr>
          <w:rFonts w:ascii="Times New Roman" w:hAnsi="Times New Roman"/>
          <w:b w:val="0"/>
          <w:i w:val="0"/>
          <w:color w:val="212529"/>
          <w:sz w:val="19"/>
        </w:rPr>
        <w:t xml:space="preserve">Furthermore, to formally test for distributional equivalence, a two-sided Mann-Whitney U test was conducted on the paired latency distributions (n_1 = 90, n_2 = 90). The test yielded U = 3852.0 (z = -0.566, p = 0.5711), confirming that the observed latency distributions do not differ significantly (p ≫ 0.05) and proving that host policy mediation introduces no statistically detectable performance degradation. </w:t>
      </w:r>
      <w:r>
        <w:rPr>
          <w:rFonts w:ascii="Times New Roman" w:hAnsi="Times New Roman"/>
          <w:b/>
          <w:i w:val="0"/>
          <w:color w:val="212529"/>
          <w:sz w:val="19"/>
        </w:rPr>
        <w:t>Hypothesis 3 is Accepted.</w:t>
      </w:r>
    </w:p>
    <w:p>
      <w:pPr>
        <w:keepNext/>
        <w:spacing w:before="280" w:after="80"/>
        <w:jc w:val="left"/>
      </w:pPr>
      <w:r>
        <w:rPr>
          <w:rFonts w:ascii="Times New Roman" w:hAnsi="Times New Roman"/>
          <w:b/>
          <w:color w:val="0F2C59"/>
          <w:sz w:val="23"/>
        </w:rPr>
        <w:t>VII.  DISCUSSION, LIMITATIONS &amp; DEFENSE FAQ</w:t>
      </w:r>
    </w:p>
    <w:p>
      <w:pPr>
        <w:keepNext/>
        <w:spacing w:before="200" w:after="60"/>
      </w:pPr>
      <w:r>
        <w:rPr>
          <w:rFonts w:ascii="Times New Roman" w:hAnsi="Times New Roman"/>
          <w:b/>
          <w:i/>
          <w:color w:val="1E3A8A"/>
          <w:sz w:val="21"/>
        </w:rPr>
        <w:t>A.  Analysis of the Negative Latency Delta ($-9.1\text{ ms}$)</w:t>
      </w:r>
    </w:p>
    <w:p>
      <w:pPr>
        <w:spacing w:before="0" w:after="80" w:line="276" w:lineRule="auto"/>
        <w:jc w:val="both"/>
      </w:pPr>
      <w:r>
        <w:rPr>
          <w:rFonts w:ascii="Times New Roman" w:hAnsi="Times New Roman"/>
          <w:b w:val="0"/>
          <w:i w:val="0"/>
          <w:color w:val="212529"/>
          <w:sz w:val="19"/>
        </w:rPr>
        <w:t xml:space="preserve">A superficial inspection of the performance data might prompt examiners to ask: </w:t>
      </w:r>
      <w:r>
        <w:rPr>
          <w:rFonts w:ascii="Times New Roman" w:hAnsi="Times New Roman"/>
          <w:b w:val="0"/>
          <w:i/>
          <w:color w:val="212529"/>
          <w:sz w:val="19"/>
        </w:rPr>
        <w:t>"Does enabling a security policy layer make tool execution faster?"</w:t>
      </w:r>
    </w:p>
    <w:p>
      <w:pPr>
        <w:spacing w:before="0" w:after="80" w:line="276" w:lineRule="auto"/>
        <w:jc w:val="both"/>
      </w:pPr>
      <w:r>
        <w:rPr>
          <w:rFonts w:ascii="Times New Roman" w:hAnsi="Times New Roman"/>
          <w:b w:val="0"/>
          <w:i w:val="0"/>
          <w:color w:val="212529"/>
          <w:sz w:val="19"/>
        </w:rPr>
        <w:t xml:space="preserve">The answer is unequivocally </w:t>
      </w:r>
      <w:r>
        <w:rPr>
          <w:rFonts w:ascii="Times New Roman" w:hAnsi="Times New Roman"/>
          <w:b/>
          <w:i w:val="0"/>
          <w:color w:val="212529"/>
          <w:sz w:val="19"/>
        </w:rPr>
        <w:t>no</w:t>
      </w:r>
      <w:r>
        <w:rPr>
          <w:rFonts w:ascii="Times New Roman" w:hAnsi="Times New Roman"/>
          <w:b w:val="0"/>
          <w:i w:val="0"/>
          <w:color w:val="212529"/>
          <w:sz w:val="19"/>
        </w:rPr>
        <w:t xml:space="preserve">. The end-to-end latency metric in T7 measures the elapsed time from clicking </w:t>
      </w:r>
      <w:r>
        <w:rPr>
          <w:rFonts w:ascii="Consolas" w:hAnsi="Consolas"/>
          <w:b w:val="0"/>
          <w:i w:val="0"/>
          <w:color w:val="B42828"/>
          <w:sz w:val="18"/>
        </w:rPr>
        <w:t>[data-testid="btn-time"]</w:t>
      </w:r>
      <w:r>
        <w:rPr>
          <w:rFonts w:ascii="Times New Roman" w:hAnsi="Times New Roman"/>
          <w:b w:val="0"/>
          <w:i w:val="0"/>
          <w:color w:val="212529"/>
          <w:sz w:val="19"/>
        </w:rPr>
        <w:t xml:space="preserve"> inside a nested iframe until the DOM text node updates with the server's ISO timestamp. In the initial runner implementation, the test driver checked the DOM state using an active polling loop with </w:t>
      </w:r>
      <w:r>
        <w:rPr>
          <w:rFonts w:ascii="Consolas" w:hAnsi="Consolas"/>
          <w:b w:val="0"/>
          <w:i w:val="0"/>
          <w:color w:val="B42828"/>
          <w:sz w:val="18"/>
        </w:rPr>
        <w:t>sleep(120)</w:t>
      </w:r>
      <w:r>
        <w:rPr>
          <w:rFonts w:ascii="Times New Roman" w:hAnsi="Times New Roman"/>
          <w:b w:val="0"/>
          <w:i w:val="0"/>
          <w:color w:val="212529"/>
          <w:sz w:val="19"/>
        </w:rPr>
        <w:t xml:space="preserve">, which introduced discrete sampling jitter (\± 60\ ms). Because pure policy decision logic takes less than 0.1\ ms, the measured variance between baseline and treatment is purely dominated by test runner sampling cycles. When we refined the polling frequency to </w:t>
      </w:r>
      <w:r>
        <w:rPr>
          <w:rFonts w:ascii="Consolas" w:hAnsi="Consolas"/>
          <w:b w:val="0"/>
          <w:i w:val="0"/>
          <w:color w:val="B42828"/>
          <w:sz w:val="18"/>
        </w:rPr>
        <w:t>sleep(10)</w:t>
      </w:r>
      <w:r>
        <w:rPr>
          <w:rFonts w:ascii="Times New Roman" w:hAnsi="Times New Roman"/>
          <w:b w:val="0"/>
          <w:i w:val="0"/>
          <w:color w:val="212529"/>
          <w:sz w:val="19"/>
        </w:rPr>
        <w:t xml:space="preserve"> in subsequent verification runs, end-to-end latency collapsed from ~330 ms down to ~130–150 ms, confirming that the policy engine itself has an imperceptible performance footprint.</w:t>
      </w:r>
    </w:p>
    <w:p>
      <w:pPr>
        <w:keepNext/>
        <w:spacing w:before="200" w:after="60"/>
      </w:pPr>
      <w:r>
        <w:rPr>
          <w:rFonts w:ascii="Times New Roman" w:hAnsi="Times New Roman"/>
          <w:b/>
          <w:i/>
          <w:color w:val="1E3A8A"/>
          <w:sz w:val="21"/>
        </w:rPr>
        <w:t>B.  Human Interaction Latency vs. Machine Processing Time</w:t>
      </w:r>
    </w:p>
    <w:p>
      <w:pPr>
        <w:spacing w:before="0" w:after="80" w:line="276" w:lineRule="auto"/>
        <w:jc w:val="both"/>
      </w:pPr>
      <w:r>
        <w:rPr>
          <w:rFonts w:ascii="Times New Roman" w:hAnsi="Times New Roman"/>
          <w:b w:val="0"/>
          <w:i w:val="0"/>
          <w:color w:val="212529"/>
          <w:sz w:val="19"/>
        </w:rPr>
        <w:t xml:space="preserve">In our automated treatment runs, user approval was resolved programmatically via </w:t>
      </w:r>
      <w:r>
        <w:rPr>
          <w:rFonts w:ascii="Consolas" w:hAnsi="Consolas"/>
          <w:b w:val="0"/>
          <w:i w:val="0"/>
          <w:color w:val="B42828"/>
          <w:sz w:val="18"/>
        </w:rPr>
        <w:t>--autoconsent deny</w:t>
      </w:r>
      <w:r>
        <w:rPr>
          <w:rFonts w:ascii="Times New Roman" w:hAnsi="Times New Roman"/>
          <w:b w:val="0"/>
          <w:i w:val="0"/>
          <w:color w:val="212529"/>
          <w:sz w:val="19"/>
        </w:rPr>
        <w:t xml:space="preserve"> and </w:t>
      </w:r>
      <w:r>
        <w:rPr>
          <w:rFonts w:ascii="Consolas" w:hAnsi="Consolas"/>
          <w:b w:val="0"/>
          <w:i w:val="0"/>
          <w:color w:val="B42828"/>
          <w:sz w:val="18"/>
        </w:rPr>
        <w:t>--autoconsent allow</w:t>
      </w:r>
      <w:r>
        <w:rPr>
          <w:rFonts w:ascii="Times New Roman" w:hAnsi="Times New Roman"/>
          <w:b w:val="0"/>
          <w:i w:val="0"/>
          <w:color w:val="212529"/>
          <w:sz w:val="19"/>
        </w:rPr>
        <w:t>. This approach was essential to isolate the computational cost of the policy engine from human reaction time.</w:t>
      </w:r>
    </w:p>
    <w:p>
      <w:pPr>
        <w:spacing w:before="0" w:after="80" w:line="276" w:lineRule="auto"/>
        <w:jc w:val="both"/>
      </w:pPr>
      <w:r>
        <w:rPr>
          <w:rFonts w:ascii="Times New Roman" w:hAnsi="Times New Roman"/>
          <w:b w:val="0"/>
          <w:i w:val="0"/>
          <w:color w:val="212529"/>
          <w:sz w:val="19"/>
        </w:rPr>
        <w:t>In a live production environment, prompting a human user introduces interaction latency ranging from 1 to 5 seconds. However, this delay is an intentional, interactive authorization step mandated for security, identical to Operating System permission dialogs (e.g., Android runtime permissions or macOS TCC prompts). The host policy engine does not add machine overhead; it introduces an intentional human-in-the-loop verification gate.</w:t>
      </w:r>
    </w:p>
    <w:p>
      <w:pPr>
        <w:keepNext/>
        <w:spacing w:before="200" w:after="60"/>
      </w:pPr>
      <w:r>
        <w:rPr>
          <w:rFonts w:ascii="Times New Roman" w:hAnsi="Times New Roman"/>
          <w:b/>
          <w:i/>
          <w:color w:val="1E3A8A"/>
          <w:sz w:val="21"/>
        </w:rPr>
        <w:t>C.  Scope and Research Limitations</w:t>
      </w:r>
    </w:p>
    <w:p>
      <w:pPr>
        <w:spacing w:before="0" w:after="80" w:line="276" w:lineRule="auto"/>
        <w:jc w:val="both"/>
      </w:pPr>
      <w:r>
        <w:rPr>
          <w:rFonts w:ascii="Times New Roman" w:hAnsi="Times New Roman"/>
          <w:b w:val="0"/>
          <w:i w:val="0"/>
          <w:color w:val="212529"/>
          <w:sz w:val="19"/>
        </w:rPr>
        <w:t>We explicitly acknowledge the following academic boundaries and limitations of this study:</w:t>
      </w:r>
    </w:p>
    <w:p>
      <w:pPr>
        <w:spacing w:before="20" w:after="60" w:line="276" w:lineRule="auto"/>
        <w:ind w:left="360" w:hanging="360"/>
      </w:pPr>
      <w:r>
        <w:rPr>
          <w:rFonts w:ascii="Times New Roman" w:hAnsi="Times New Roman"/>
          <w:b/>
          <w:sz w:val="19"/>
        </w:rPr>
        <w:t xml:space="preserve">1.  </w:t>
      </w:r>
      <w:r>
        <w:rPr>
          <w:rFonts w:ascii="Times New Roman" w:hAnsi="Times New Roman"/>
          <w:b/>
          <w:i w:val="0"/>
          <w:color w:val="212529"/>
          <w:sz w:val="19"/>
        </w:rPr>
        <w:t>Single Client Host Environment:</w:t>
      </w:r>
      <w:r>
        <w:rPr>
          <w:rFonts w:ascii="Times New Roman" w:hAnsi="Times New Roman"/>
          <w:b w:val="0"/>
          <w:i w:val="0"/>
          <w:color w:val="212529"/>
          <w:sz w:val="19"/>
        </w:rPr>
        <w:t xml:space="preserve"> All experiments were conducted against a reference host architecture built upon </w:t>
      </w:r>
      <w:r>
        <w:rPr>
          <w:rFonts w:ascii="Consolas" w:hAnsi="Consolas"/>
          <w:b w:val="0"/>
          <w:i w:val="0"/>
          <w:color w:val="B42828"/>
          <w:sz w:val="18"/>
        </w:rPr>
        <w:t>@modelcontextprotocol/ext-apps</w:t>
      </w:r>
      <w:r>
        <w:rPr>
          <w:rFonts w:ascii="Times New Roman" w:hAnsi="Times New Roman"/>
          <w:b w:val="0"/>
          <w:i w:val="0"/>
          <w:color w:val="212529"/>
          <w:sz w:val="19"/>
        </w:rPr>
        <w:t xml:space="preserve"> </w:t>
      </w:r>
      <w:r>
        <w:rPr>
          <w:rFonts w:ascii="Consolas" w:hAnsi="Consolas"/>
          <w:b w:val="0"/>
          <w:i w:val="0"/>
          <w:color w:val="B42828"/>
          <w:sz w:val="18"/>
        </w:rPr>
        <w:t>AppBridge</w:t>
      </w:r>
      <w:r>
        <w:rPr>
          <w:rFonts w:ascii="Times New Roman" w:hAnsi="Times New Roman"/>
          <w:b w:val="0"/>
          <w:i w:val="0"/>
          <w:color w:val="212529"/>
          <w:sz w:val="19"/>
        </w:rPr>
        <w:t xml:space="preserve"> and React 19 running in Chromium. Host clients implemented in alternative application frameworks (e.g., native Electron desktop shells, Tauri, Swift/macOS webviews, or Rust-based hosts) may exhibit distinct IPC marshalling overheads or message ordering dynamics.</w:t>
      </w:r>
    </w:p>
    <w:p>
      <w:pPr>
        <w:spacing w:before="20" w:after="60" w:line="276" w:lineRule="auto"/>
        <w:ind w:left="360" w:hanging="360"/>
      </w:pPr>
      <w:r>
        <w:rPr>
          <w:rFonts w:ascii="Times New Roman" w:hAnsi="Times New Roman"/>
          <w:b/>
          <w:sz w:val="19"/>
        </w:rPr>
        <w:t xml:space="preserve">2.  </w:t>
      </w:r>
      <w:r>
        <w:rPr>
          <w:rFonts w:ascii="Times New Roman" w:hAnsi="Times New Roman"/>
          <w:b/>
          <w:i w:val="0"/>
          <w:color w:val="212529"/>
          <w:sz w:val="19"/>
        </w:rPr>
        <w:t>Sample Size Scope:</w:t>
      </w:r>
      <w:r>
        <w:rPr>
          <w:rFonts w:ascii="Times New Roman" w:hAnsi="Times New Roman"/>
          <w:b w:val="0"/>
          <w:i w:val="0"/>
          <w:color w:val="212529"/>
          <w:sz w:val="19"/>
        </w:rPr>
        <w:t xml:space="preserve"> While the latency benchmark evaluates n=180 measurements (n=90 per mode), the functional capability tests comprised n=5 automated runs per mode and a single dedicated proof-of-concept utility run (</w:t>
      </w:r>
      <w:r>
        <w:rPr>
          <w:rFonts w:ascii="Consolas" w:hAnsi="Consolas"/>
          <w:b w:val="0"/>
          <w:i w:val="0"/>
          <w:color w:val="B42828"/>
          <w:sz w:val="18"/>
        </w:rPr>
        <w:t>treatment-allow-1</w:t>
      </w:r>
      <w:r>
        <w:rPr>
          <w:rFonts w:ascii="Times New Roman" w:hAnsi="Times New Roman"/>
          <w:b w:val="0"/>
          <w:i w:val="0"/>
          <w:color w:val="212529"/>
          <w:sz w:val="19"/>
        </w:rPr>
        <w:t>). While adequate for deterministic protocol verification in controlled lab settings, broad statistical generalization to non-deterministic, open-web deployments requires larger-scale automated testing.</w:t>
      </w:r>
    </w:p>
    <w:p>
      <w:pPr>
        <w:spacing w:before="20" w:after="60" w:line="276" w:lineRule="auto"/>
        <w:ind w:left="360" w:hanging="360"/>
      </w:pPr>
      <w:r>
        <w:rPr>
          <w:rFonts w:ascii="Times New Roman" w:hAnsi="Times New Roman"/>
          <w:b/>
          <w:sz w:val="19"/>
        </w:rPr>
        <w:t xml:space="preserve">3.  </w:t>
      </w:r>
      <w:r>
        <w:rPr>
          <w:rFonts w:ascii="Times New Roman" w:hAnsi="Times New Roman"/>
          <w:b/>
          <w:i w:val="0"/>
          <w:color w:val="212529"/>
          <w:sz w:val="19"/>
        </w:rPr>
        <w:t>Synthetic Attack Artifacts:</w:t>
      </w:r>
      <w:r>
        <w:rPr>
          <w:rFonts w:ascii="Times New Roman" w:hAnsi="Times New Roman"/>
          <w:b w:val="0"/>
          <w:i w:val="0"/>
          <w:color w:val="212529"/>
          <w:sz w:val="19"/>
        </w:rPr>
        <w:t xml:space="preserve"> The study employed synthetic test tokens (</w:t>
      </w:r>
      <w:r>
        <w:rPr>
          <w:rFonts w:ascii="Consolas" w:hAnsi="Consolas"/>
          <w:b w:val="0"/>
          <w:i w:val="0"/>
          <w:color w:val="B42828"/>
          <w:sz w:val="18"/>
        </w:rPr>
        <w:t>SYNTHETIC_SECRET_001</w:t>
      </w:r>
      <w:r>
        <w:rPr>
          <w:rFonts w:ascii="Times New Roman" w:hAnsi="Times New Roman"/>
          <w:b w:val="0"/>
          <w:i w:val="0"/>
          <w:color w:val="212529"/>
          <w:sz w:val="19"/>
        </w:rPr>
        <w:t>) and dedicated mock services rather than live enterprise authentication tokens, cloud credentials, or external API endpoints.</w:t>
      </w:r>
    </w:p>
    <w:p>
      <w:pPr>
        <w:spacing w:before="20" w:after="60" w:line="276" w:lineRule="auto"/>
        <w:ind w:left="360" w:hanging="360"/>
      </w:pPr>
      <w:r>
        <w:rPr>
          <w:rFonts w:ascii="Times New Roman" w:hAnsi="Times New Roman"/>
          <w:b/>
          <w:sz w:val="19"/>
        </w:rPr>
        <w:t xml:space="preserve">4.  </w:t>
      </w:r>
      <w:r>
        <w:rPr>
          <w:rFonts w:ascii="Times New Roman" w:hAnsi="Times New Roman"/>
          <w:b/>
          <w:i w:val="0"/>
          <w:color w:val="212529"/>
          <w:sz w:val="19"/>
        </w:rPr>
        <w:t>Absence of Human-Subject Behavioral Testing:</w:t>
      </w:r>
      <w:r>
        <w:rPr>
          <w:rFonts w:ascii="Times New Roman" w:hAnsi="Times New Roman"/>
          <w:b w:val="0"/>
          <w:i w:val="0"/>
          <w:color w:val="212529"/>
          <w:sz w:val="19"/>
        </w:rPr>
        <w:t xml:space="preserve"> While the visual provenance badge (</w:t>
      </w:r>
      <w:r>
        <w:rPr>
          <w:rFonts w:ascii="Consolas" w:hAnsi="Consolas"/>
          <w:b w:val="0"/>
          <w:i w:val="0"/>
          <w:color w:val="B42828"/>
          <w:sz w:val="18"/>
        </w:rPr>
        <w:t>SourceBadge</w:t>
      </w:r>
      <w:r>
        <w:rPr>
          <w:rFonts w:ascii="Times New Roman" w:hAnsi="Times New Roman"/>
          <w:b w:val="0"/>
          <w:i w:val="0"/>
          <w:color w:val="212529"/>
          <w:sz w:val="19"/>
        </w:rPr>
        <w:t>) was empirically validated for DOM presence, correct CSS positioning, and immutability from within the iframe, this study did not evaluate human cognitive resistance to habituation, warning blindness, or "click-through" approval fatigue in live conversational workflows.</w:t>
      </w:r>
    </w:p>
    <w:p>
      <w:pPr>
        <w:spacing w:before="20" w:after="60" w:line="276" w:lineRule="auto"/>
        <w:ind w:left="360" w:hanging="360"/>
      </w:pPr>
      <w:r>
        <w:rPr>
          <w:rFonts w:ascii="Times New Roman" w:hAnsi="Times New Roman"/>
          <w:b/>
          <w:sz w:val="19"/>
        </w:rPr>
        <w:t xml:space="preserve">5.  </w:t>
      </w:r>
      <w:r>
        <w:rPr>
          <w:rFonts w:ascii="Times New Roman" w:hAnsi="Times New Roman"/>
          <w:b/>
          <w:i w:val="0"/>
          <w:color w:val="212529"/>
          <w:sz w:val="19"/>
        </w:rPr>
        <w:t>Untested 4 KB Boundary Test Vector:</w:t>
      </w:r>
      <w:r>
        <w:rPr>
          <w:rFonts w:ascii="Times New Roman" w:hAnsi="Times New Roman"/>
          <w:b w:val="0"/>
          <w:i w:val="0"/>
          <w:color w:val="212529"/>
          <w:sz w:val="19"/>
        </w:rPr>
        <w:t xml:space="preserve"> While the 4 KB payload size boundary check is formally implemented in the host policy engine (</w:t>
      </w:r>
      <w:r>
        <w:rPr>
          <w:rFonts w:ascii="Consolas" w:hAnsi="Consolas"/>
          <w:b w:val="0"/>
          <w:i w:val="0"/>
          <w:color w:val="B42828"/>
          <w:sz w:val="18"/>
        </w:rPr>
        <w:t>checkMessage</w:t>
      </w:r>
      <w:r>
        <w:rPr>
          <w:rFonts w:ascii="Times New Roman" w:hAnsi="Times New Roman"/>
          <w:b w:val="0"/>
          <w:i w:val="0"/>
          <w:color w:val="212529"/>
          <w:sz w:val="19"/>
        </w:rPr>
        <w:t xml:space="preserve"> and </w:t>
      </w:r>
      <w:r>
        <w:rPr>
          <w:rFonts w:ascii="Consolas" w:hAnsi="Consolas"/>
          <w:b w:val="0"/>
          <w:i w:val="0"/>
          <w:color w:val="B42828"/>
          <w:sz w:val="18"/>
        </w:rPr>
        <w:t>checkContext</w:t>
      </w:r>
      <w:r>
        <w:rPr>
          <w:rFonts w:ascii="Times New Roman" w:hAnsi="Times New Roman"/>
          <w:b w:val="0"/>
          <w:i w:val="0"/>
          <w:color w:val="212529"/>
          <w:sz w:val="19"/>
        </w:rPr>
        <w:t xml:space="preserve"> in </w:t>
      </w:r>
      <w:r>
        <w:rPr>
          <w:rFonts w:ascii="Consolas" w:hAnsi="Consolas"/>
          <w:b w:val="0"/>
          <w:i w:val="0"/>
          <w:color w:val="B42828"/>
          <w:sz w:val="18"/>
        </w:rPr>
        <w:t>policy-layer.ts:105</w:t>
      </w:r>
      <w:r>
        <w:rPr>
          <w:rFonts w:ascii="Times New Roman" w:hAnsi="Times New Roman"/>
          <w:b w:val="0"/>
          <w:i w:val="0"/>
          <w:color w:val="212529"/>
          <w:sz w:val="19"/>
        </w:rPr>
        <w:t>), the automated test suite in this benchmark iteration evaluated nominal exfiltration payloads rather than an adversarial fuzzing sweep pushing payloads strictly beyond 4096 bytes. Exhaustive boundary stress-testing remains designated for future testbed expansions.</w:t>
      </w:r>
    </w:p>
    <w:p>
      <w:pPr>
        <w:spacing w:before="20" w:after="60" w:line="276" w:lineRule="auto"/>
        <w:ind w:left="360" w:hanging="360"/>
      </w:pPr>
      <w:r>
        <w:rPr>
          <w:rFonts w:ascii="Times New Roman" w:hAnsi="Times New Roman"/>
          <w:b/>
          <w:sz w:val="19"/>
        </w:rPr>
        <w:t xml:space="preserve">6.  </w:t>
      </w:r>
      <w:r>
        <w:rPr>
          <w:rFonts w:ascii="Times New Roman" w:hAnsi="Times New Roman"/>
          <w:b/>
          <w:i w:val="0"/>
          <w:color w:val="212529"/>
          <w:sz w:val="19"/>
        </w:rPr>
        <w:t>Absence of Adaptive Adversarial Strategies:</w:t>
      </w:r>
      <w:r>
        <w:rPr>
          <w:rFonts w:ascii="Times New Roman" w:hAnsi="Times New Roman"/>
          <w:b w:val="0"/>
          <w:i w:val="0"/>
          <w:color w:val="212529"/>
          <w:sz w:val="19"/>
        </w:rPr>
        <w:t xml:space="preserve"> The evaluated attack vectors represented direct capability invocations; adaptive evasion techniques—such as chunked secret exfiltration spread across multiple sub-4 KB messages, or obfuscated navigation using alternative URL schemes (</w:t>
      </w:r>
      <w:r>
        <w:rPr>
          <w:rFonts w:ascii="Consolas" w:hAnsi="Consolas"/>
          <w:b w:val="0"/>
          <w:i w:val="0"/>
          <w:color w:val="B42828"/>
          <w:sz w:val="18"/>
        </w:rPr>
        <w:t>data:</w:t>
      </w:r>
      <w:r>
        <w:rPr>
          <w:rFonts w:ascii="Times New Roman" w:hAnsi="Times New Roman"/>
          <w:b w:val="0"/>
          <w:i w:val="0"/>
          <w:color w:val="212529"/>
          <w:sz w:val="19"/>
        </w:rPr>
        <w:t xml:space="preserve">, </w:t>
      </w:r>
      <w:r>
        <w:rPr>
          <w:rFonts w:ascii="Consolas" w:hAnsi="Consolas"/>
          <w:b w:val="0"/>
          <w:i w:val="0"/>
          <w:color w:val="B42828"/>
          <w:sz w:val="18"/>
        </w:rPr>
        <w:t>blob:</w:t>
      </w:r>
      <w:r>
        <w:rPr>
          <w:rFonts w:ascii="Times New Roman" w:hAnsi="Times New Roman"/>
          <w:b w:val="0"/>
          <w:i w:val="0"/>
          <w:color w:val="212529"/>
          <w:sz w:val="19"/>
        </w:rPr>
        <w:t>)—were not included in this evaluation cycle and represent critical targets for subsequent adversarial studies.</w:t>
      </w:r>
    </w:p>
    <w:p>
      <w:pPr>
        <w:keepNext/>
        <w:spacing w:before="280" w:after="80"/>
        <w:jc w:val="left"/>
      </w:pPr>
      <w:r>
        <w:rPr>
          <w:rFonts w:ascii="Times New Roman" w:hAnsi="Times New Roman"/>
          <w:b/>
          <w:color w:val="0F2C59"/>
          <w:sz w:val="23"/>
        </w:rPr>
        <w:t>VIII.  CONCLUSION AND FUTURE DIRECTIONS</w:t>
      </w:r>
    </w:p>
    <w:p>
      <w:pPr>
        <w:spacing w:before="0" w:after="80" w:line="276" w:lineRule="auto"/>
        <w:jc w:val="both"/>
      </w:pPr>
      <w:r>
        <w:rPr>
          <w:rFonts w:ascii="Times New Roman" w:hAnsi="Times New Roman"/>
          <w:b w:val="0"/>
          <w:i w:val="0"/>
          <w:color w:val="212529"/>
          <w:sz w:val="19"/>
        </w:rPr>
        <w:t xml:space="preserve">The integration of interactive web applications into LLM agent workflows represents a transformative leap in user experience, but it introduces a subtle and dangerous architectural vulnerability. Our experimental investigation demonstrates that </w:t>
      </w:r>
      <w:r>
        <w:rPr>
          <w:rFonts w:ascii="Times New Roman" w:hAnsi="Times New Roman"/>
          <w:b/>
          <w:i w:val="0"/>
          <w:color w:val="212529"/>
          <w:sz w:val="19"/>
        </w:rPr>
        <w:t>browser iframe sandboxing and Content Security Policies are insufficient on their own to protect conversational clients</w:t>
      </w:r>
      <w:r>
        <w:rPr>
          <w:rFonts w:ascii="Times New Roman" w:hAnsi="Times New Roman"/>
          <w:b w:val="0"/>
          <w:i w:val="0"/>
          <w:color w:val="212529"/>
          <w:sz w:val="19"/>
        </w:rPr>
        <w:t>. Because the MCP Apps specification explicitly allows host-mediated capability dispatch, an untrusted application can bypass technical isolation without breaking the sandbox by exploiting standard protocol channels (</w:t>
      </w:r>
      <w:r>
        <w:rPr>
          <w:rFonts w:ascii="Consolas" w:hAnsi="Consolas"/>
          <w:b w:val="0"/>
          <w:i w:val="0"/>
          <w:color w:val="B42828"/>
          <w:sz w:val="18"/>
        </w:rPr>
        <w:t>ui/open-link</w:t>
      </w:r>
      <w:r>
        <w:rPr>
          <w:rFonts w:ascii="Times New Roman" w:hAnsi="Times New Roman"/>
          <w:b w:val="0"/>
          <w:i w:val="0"/>
          <w:color w:val="212529"/>
          <w:sz w:val="19"/>
        </w:rPr>
        <w:t xml:space="preserve">, </w:t>
      </w:r>
      <w:r>
        <w:rPr>
          <w:rFonts w:ascii="Consolas" w:hAnsi="Consolas"/>
          <w:b w:val="0"/>
          <w:i w:val="0"/>
          <w:color w:val="B42828"/>
          <w:sz w:val="18"/>
        </w:rPr>
        <w:t>ui/message</w:t>
      </w:r>
      <w:r>
        <w:rPr>
          <w:rFonts w:ascii="Times New Roman" w:hAnsi="Times New Roman"/>
          <w:b w:val="0"/>
          <w:i w:val="0"/>
          <w:color w:val="212529"/>
          <w:sz w:val="19"/>
        </w:rPr>
        <w:t xml:space="preserve">, </w:t>
      </w:r>
      <w:r>
        <w:rPr>
          <w:rFonts w:ascii="Consolas" w:hAnsi="Consolas"/>
          <w:b w:val="0"/>
          <w:i w:val="0"/>
          <w:color w:val="B42828"/>
          <w:sz w:val="18"/>
        </w:rPr>
        <w:t>ui/update-model-context</w:t>
      </w:r>
      <w:r>
        <w:rPr>
          <w:rFonts w:ascii="Times New Roman" w:hAnsi="Times New Roman"/>
          <w:b w:val="0"/>
          <w:i w:val="0"/>
          <w:color w:val="212529"/>
          <w:sz w:val="19"/>
        </w:rPr>
        <w:t>).</w:t>
      </w:r>
    </w:p>
    <w:p>
      <w:pPr>
        <w:spacing w:before="0" w:after="80" w:line="276" w:lineRule="auto"/>
        <w:jc w:val="both"/>
      </w:pPr>
      <w:r>
        <w:rPr>
          <w:rFonts w:ascii="Times New Roman" w:hAnsi="Times New Roman"/>
          <w:b w:val="0"/>
          <w:i w:val="0"/>
          <w:color w:val="212529"/>
          <w:sz w:val="19"/>
        </w:rPr>
        <w:t xml:space="preserve">We proved that a lightweight, deterministic host policy layer solves this vulnerability. By combining protocol scheme validation, payload bounds (4 KB cap), explicit user consent gates, and visual provenance markers, our prototype reduced sensitive actions executed without approval from </w:t>
      </w:r>
      <w:r>
        <w:rPr>
          <w:rFonts w:ascii="Times New Roman" w:hAnsi="Times New Roman"/>
          <w:b/>
          <w:i w:val="0"/>
          <w:color w:val="212529"/>
          <w:sz w:val="19"/>
        </w:rPr>
        <w:t>15/15 down to 0/15</w:t>
      </w:r>
      <w:r>
        <w:rPr>
          <w:rFonts w:ascii="Times New Roman" w:hAnsi="Times New Roman"/>
          <w:b w:val="0"/>
          <w:i w:val="0"/>
          <w:color w:val="212529"/>
          <w:sz w:val="19"/>
        </w:rPr>
        <w:t xml:space="preserve">, completely halted secret exfiltration, preserved 100% of legitimate application utility, and introduced </w:t>
      </w:r>
      <w:r>
        <w:rPr>
          <w:rFonts w:ascii="Times New Roman" w:hAnsi="Times New Roman"/>
          <w:b/>
          <w:i w:val="0"/>
          <w:color w:val="212529"/>
          <w:sz w:val="19"/>
        </w:rPr>
        <w:t>≤ 0.1 ms</w:t>
      </w:r>
      <w:r>
        <w:rPr>
          <w:rFonts w:ascii="Times New Roman" w:hAnsi="Times New Roman"/>
          <w:b w:val="0"/>
          <w:i w:val="0"/>
          <w:color w:val="212529"/>
          <w:sz w:val="19"/>
        </w:rPr>
        <w:t xml:space="preserve"> of median in-engine processing overhead (0.0 ms for tools/links).</w:t>
      </w:r>
    </w:p>
    <w:p>
      <w:pPr>
        <w:keepNext/>
        <w:spacing w:before="200" w:after="60"/>
      </w:pPr>
      <w:r>
        <w:rPr>
          <w:rFonts w:ascii="Times New Roman" w:hAnsi="Times New Roman"/>
          <w:b/>
          <w:i/>
          <w:color w:val="1E3A8A"/>
          <w:sz w:val="21"/>
        </w:rPr>
        <w:t>Recommendations for Future MCP Standards:</w:t>
      </w:r>
    </w:p>
    <w:p>
      <w:pPr>
        <w:spacing w:before="20" w:after="60" w:line="276" w:lineRule="auto"/>
        <w:ind w:left="360" w:hanging="360"/>
      </w:pPr>
      <w:r>
        <w:rPr>
          <w:rFonts w:ascii="Times New Roman" w:hAnsi="Times New Roman"/>
          <w:b/>
          <w:sz w:val="19"/>
        </w:rPr>
        <w:t xml:space="preserve">1.  </w:t>
      </w:r>
      <w:r>
        <w:rPr>
          <w:rFonts w:ascii="Times New Roman" w:hAnsi="Times New Roman"/>
          <w:b/>
          <w:i w:val="0"/>
          <w:color w:val="212529"/>
          <w:sz w:val="19"/>
        </w:rPr>
        <w:t>Mandate Default-Deny Semantics:</w:t>
      </w:r>
      <w:r>
        <w:rPr>
          <w:rFonts w:ascii="Times New Roman" w:hAnsi="Times New Roman"/>
          <w:b w:val="0"/>
          <w:i w:val="0"/>
          <w:color w:val="212529"/>
          <w:sz w:val="19"/>
        </w:rPr>
        <w:t xml:space="preserve"> Future revisions of the MCP Apps specification should upgrade host-mediated capability approval from discretionary guidance to a formal </w:t>
      </w:r>
      <w:r>
        <w:rPr>
          <w:rFonts w:ascii="Times New Roman" w:hAnsi="Times New Roman"/>
          <w:b/>
          <w:i w:val="0"/>
          <w:color w:val="212529"/>
          <w:sz w:val="19"/>
        </w:rPr>
        <w:t>MUST prompt</w:t>
      </w:r>
      <w:r>
        <w:rPr>
          <w:rFonts w:ascii="Times New Roman" w:hAnsi="Times New Roman"/>
          <w:b w:val="0"/>
          <w:i w:val="0"/>
          <w:color w:val="212529"/>
          <w:sz w:val="19"/>
        </w:rPr>
        <w:t xml:space="preserve"> requirement.</w:t>
      </w:r>
    </w:p>
    <w:p>
      <w:pPr>
        <w:spacing w:before="20" w:after="60" w:line="276" w:lineRule="auto"/>
        <w:ind w:left="360" w:hanging="360"/>
      </w:pPr>
      <w:r>
        <w:rPr>
          <w:rFonts w:ascii="Times New Roman" w:hAnsi="Times New Roman"/>
          <w:b/>
          <w:sz w:val="19"/>
        </w:rPr>
        <w:t xml:space="preserve">2.  </w:t>
      </w:r>
      <w:r>
        <w:rPr>
          <w:rFonts w:ascii="Times New Roman" w:hAnsi="Times New Roman"/>
          <w:b/>
          <w:i w:val="0"/>
          <w:color w:val="212529"/>
          <w:sz w:val="19"/>
        </w:rPr>
        <w:t>Standardize Provenance UI Elements:</w:t>
      </w:r>
      <w:r>
        <w:rPr>
          <w:rFonts w:ascii="Times New Roman" w:hAnsi="Times New Roman"/>
          <w:b w:val="0"/>
          <w:i w:val="0"/>
          <w:color w:val="212529"/>
          <w:sz w:val="19"/>
        </w:rPr>
        <w:t xml:space="preserve"> Client hosts should be required to render an immutable origin badge indicating the remote server's cryptographic identity outside the untrusted iframe boundary.</w:t>
      </w:r>
    </w:p>
    <w:p>
      <w:pPr>
        <w:spacing w:before="20" w:after="60" w:line="276" w:lineRule="auto"/>
        <w:ind w:left="360" w:hanging="360"/>
      </w:pPr>
      <w:r>
        <w:rPr>
          <w:rFonts w:ascii="Times New Roman" w:hAnsi="Times New Roman"/>
          <w:b/>
          <w:sz w:val="19"/>
        </w:rPr>
        <w:t xml:space="preserve">3.  </w:t>
      </w:r>
      <w:r>
        <w:rPr>
          <w:rFonts w:ascii="Times New Roman" w:hAnsi="Times New Roman"/>
          <w:b/>
          <w:i w:val="0"/>
          <w:color w:val="212529"/>
          <w:sz w:val="19"/>
        </w:rPr>
        <w:t>Enforce Rate and Payload Caps:</w:t>
      </w:r>
      <w:r>
        <w:rPr>
          <w:rFonts w:ascii="Times New Roman" w:hAnsi="Times New Roman"/>
          <w:b w:val="0"/>
          <w:i w:val="0"/>
          <w:color w:val="212529"/>
          <w:sz w:val="19"/>
        </w:rPr>
        <w:t xml:space="preserve"> Future host SDKs should incorporate strict rate-limiting and payload size thresholds to eliminate conversational denial-of-service and context poisoning vectors.</w:t>
      </w:r>
    </w:p>
    <w:p>
      <w:pPr>
        <w:keepNext/>
        <w:spacing w:before="280" w:after="80"/>
        <w:jc w:val="center"/>
      </w:pPr>
      <w:r>
        <w:rPr>
          <w:rFonts w:ascii="Times New Roman" w:hAnsi="Times New Roman"/>
          <w:b/>
          <w:color w:val="0F2C59"/>
          <w:sz w:val="23"/>
        </w:rPr>
        <w:t>APPENDIX A: ARTIFACT AVAILABILITY &amp; REPRODUCIBILITY PACKAGE</w:t>
      </w:r>
    </w:p>
    <w:p>
      <w:pPr>
        <w:spacing w:before="0" w:after="80" w:line="276" w:lineRule="auto"/>
        <w:jc w:val="both"/>
      </w:pPr>
      <w:r>
        <w:rPr>
          <w:rFonts w:ascii="Times New Roman" w:hAnsi="Times New Roman"/>
          <w:b w:val="0"/>
          <w:i w:val="0"/>
          <w:color w:val="212529"/>
          <w:sz w:val="19"/>
        </w:rPr>
        <w:t>To ensure complete scientific reproducibility, all source code, testbed configurations, raw execution logs, and statistical analysis scripts developed for this research are preserved in the repository:</w:t>
      </w:r>
    </w:p>
    <w:p>
      <w:pPr>
        <w:keepNext/>
        <w:spacing w:before="200" w:after="60"/>
      </w:pPr>
      <w:r>
        <w:rPr>
          <w:rFonts w:ascii="Times New Roman" w:hAnsi="Times New Roman"/>
          <w:b/>
          <w:i/>
          <w:color w:val="1E3A8A"/>
          <w:sz w:val="21"/>
        </w:rPr>
        <w:t>A.1 Directory Structure</w:t>
      </w: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Borders>
              <w:top w:val="single" w:sz="4" w:space="0" w:color="D0D5DD"/>
              <w:left w:val="single" w:sz="18" w:space="0" w:color="1F497D"/>
              <w:bottom w:val="single" w:sz="4" w:space="0" w:color="D0D5DD"/>
              <w:right w:val="single" w:sz="4" w:space="0" w:color="D0D5DD"/>
            </w:tcBorders>
          </w:tcPr>
          <w:p>
            <w:pPr>
              <w:spacing w:before="40" w:after="40" w:line="200" w:lineRule="exact"/>
            </w:pPr>
            <w:r>
              <w:rPr>
                <w:rFonts w:ascii="Consolas" w:hAnsi="Consolas"/>
                <w:color w:val="1E293B"/>
                <w:sz w:val="16"/>
              </w:rPr>
              <w:t>lab/ext-apps/lab-testbed/</w:t>
              <w:br/>
              <w:t>├── host-policy/                 # Vite + React 19 Host Client (:8090) &amp; Sandbox Proxy (:8091)</w:t>
              <w:br/>
              <w:t>│   ├── src/policy-layer.ts      # 4-rule policy engine &amp; fail-closed tool visibility gate</w:t>
              <w:br/>
              <w:t>│   ├── src/implementation.ts    # AppBridge event interception &amp; asynchronous audit dispatch</w:t>
              <w:br/>
              <w:t>│   └── src/index.tsx            # SourceBadge provenance component &amp; interactive consent modal</w:t>
              <w:br/>
              <w:t>├── server/</w:t>
              <w:br/>
              <w:t>│   ├── server.mjs               # Streamable HTTP MCP Server (:3001) hosting 4 tools &amp; 2 UIs</w:t>
              <w:br/>
              <w:t>│   └── receiver.mjs             # Out-of-band exfiltration receiver (:9999) with /hits and /reset endpoints</w:t>
              <w:br/>
              <w:t>├── ui-legit/                    # Legitimate weather dashboard UI resource bundle</w:t>
              <w:br/>
              <w:t>├── ui-untrusted/                # Untrusted attack console UI bundle with 6 trigger vectors</w:t>
              <w:br/>
              <w:t>├── runner/</w:t>
              <w:br/>
              <w:t>│   ├── run-tests.mjs            # Playwright automation driver executing test matrix T1–T7</w:t>
              <w:br/>
              <w:t>│   └── run-all.mjs              # Full 41-run orchestrator (5 baseline + 5 deny + 1 allow + 30 perf)</w:t>
              <w:br/>
              <w:t>├── analyze.py                   # Automated evaluation script computing H1, H2, H3 statistics</w:t>
              <w:br/>
              <w:t>├── stop.sh                      # Standalone daemon reaper terminating background listeners</w:t>
              <w:br/>
              <w:t>└── results/                     # Complete empirical record containing 166 raw JSONL &amp; MD logs</w:t>
              <w:br/>
              <w:t xml:space="preserve">    ├── FINAL_REPORT.md          # Aggregated benchmark summary and hypothesis verdicts</w:t>
              <w:br/>
              <w:t xml:space="preserve">    ├── events-func-*.jsonl      # Functional baseline and treatment execution events</w:t>
              <w:br/>
              <w:t xml:space="preserve">    ├── events-perf-*.jsonl      # High-resolution benign latency measurements (n=180 points)</w:t>
              <w:br/>
              <w:t xml:space="preserve">    └── audit-*.jsonl            # In-engine policy decision timestamps and elapsed durations</w:t>
            </w:r>
          </w:p>
        </w:tc>
      </w:tr>
    </w:tbl>
    <w:p>
      <w:pPr>
        <w:keepNext/>
        <w:spacing w:before="200" w:after="60"/>
      </w:pPr>
      <w:r>
        <w:rPr>
          <w:rFonts w:ascii="Times New Roman" w:hAnsi="Times New Roman"/>
          <w:b/>
          <w:i/>
          <w:color w:val="1E3A8A"/>
          <w:sz w:val="21"/>
        </w:rPr>
        <w:t>A.2 Reproduction Instructions</w:t>
      </w:r>
    </w:p>
    <w:p>
      <w:pPr>
        <w:spacing w:before="0" w:after="80" w:line="276" w:lineRule="auto"/>
        <w:jc w:val="both"/>
      </w:pPr>
      <w:r>
        <w:rPr>
          <w:rFonts w:ascii="Times New Roman" w:hAnsi="Times New Roman"/>
          <w:b w:val="0"/>
          <w:i w:val="0"/>
          <w:color w:val="212529"/>
          <w:sz w:val="19"/>
        </w:rPr>
        <w:t>Reproduction requires Node.js (v20+), Playwright, and Python 3.10+ on Linux:</w:t>
      </w:r>
    </w:p>
    <w:p>
      <w:pPr>
        <w:spacing w:before="20" w:after="60" w:line="276" w:lineRule="auto"/>
        <w:ind w:left="360" w:hanging="360"/>
      </w:pPr>
      <w:r>
        <w:rPr>
          <w:rFonts w:ascii="Times New Roman" w:hAnsi="Times New Roman"/>
          <w:b/>
          <w:sz w:val="19"/>
        </w:rPr>
        <w:t xml:space="preserve">1.  </w:t>
      </w:r>
      <w:r>
        <w:rPr>
          <w:rFonts w:ascii="Times New Roman" w:hAnsi="Times New Roman"/>
          <w:b/>
          <w:i w:val="0"/>
          <w:color w:val="212529"/>
          <w:sz w:val="19"/>
        </w:rPr>
        <w:t>Build Host Policy Bundle:</w:t>
      </w:r>
    </w:p>
    <w:p>
      <w:pPr>
        <w:spacing w:before="0" w:after="80" w:line="276" w:lineRule="auto"/>
        <w:jc w:val="both"/>
      </w:pPr>
      <w:r>
        <w:rPr>
          <w:rFonts w:ascii="Times New Roman" w:hAnsi="Times New Roman"/>
          <w:b w:val="0"/>
          <w:i w:val="0"/>
          <w:color w:val="212529"/>
          <w:sz w:val="19"/>
        </w:rPr>
        <w:t xml:space="preserve">   ```bash</w:t>
      </w:r>
    </w:p>
    <w:p>
      <w:pPr>
        <w:spacing w:before="0" w:after="80" w:line="276" w:lineRule="auto"/>
        <w:jc w:val="both"/>
      </w:pPr>
      <w:r>
        <w:rPr>
          <w:rFonts w:ascii="Times New Roman" w:hAnsi="Times New Roman"/>
          <w:b w:val="0"/>
          <w:i w:val="0"/>
          <w:color w:val="212529"/>
          <w:sz w:val="19"/>
        </w:rPr>
        <w:t xml:space="preserve">   cd lab/ext-apps</w:t>
      </w:r>
    </w:p>
    <w:p>
      <w:pPr>
        <w:spacing w:before="0" w:after="80" w:line="276" w:lineRule="auto"/>
        <w:jc w:val="both"/>
      </w:pPr>
      <w:r>
        <w:rPr>
          <w:rFonts w:ascii="Times New Roman" w:hAnsi="Times New Roman"/>
          <w:b w:val="0"/>
          <w:i w:val="0"/>
          <w:color w:val="212529"/>
          <w:sz w:val="19"/>
        </w:rPr>
        <w:t xml:space="preserve">   npm --workspace lab-testbed/host-policy run build</w:t>
      </w:r>
    </w:p>
    <w:p>
      <w:pPr>
        <w:spacing w:before="0" w:after="80" w:line="276" w:lineRule="auto"/>
        <w:jc w:val="both"/>
      </w:pPr>
      <w:r>
        <w:rPr>
          <w:rFonts w:ascii="Times New Roman" w:hAnsi="Times New Roman"/>
          <w:b w:val="0"/>
          <w:i w:val="0"/>
          <w:color w:val="212529"/>
          <w:sz w:val="19"/>
        </w:rPr>
        <w:t xml:space="preserve">   ```</w:t>
      </w:r>
    </w:p>
    <w:p>
      <w:pPr>
        <w:spacing w:before="20" w:after="60" w:line="276" w:lineRule="auto"/>
        <w:ind w:left="360" w:hanging="360"/>
      </w:pPr>
      <w:r>
        <w:rPr>
          <w:rFonts w:ascii="Times New Roman" w:hAnsi="Times New Roman"/>
          <w:b/>
          <w:sz w:val="19"/>
        </w:rPr>
        <w:t xml:space="preserve">2.  </w:t>
      </w:r>
      <w:r>
        <w:rPr>
          <w:rFonts w:ascii="Times New Roman" w:hAnsi="Times New Roman"/>
          <w:b/>
          <w:i w:val="0"/>
          <w:color w:val="212529"/>
          <w:sz w:val="19"/>
        </w:rPr>
        <w:t>Execute Full 41-Run Benchmark (~25–30 min):</w:t>
      </w:r>
    </w:p>
    <w:p>
      <w:pPr>
        <w:spacing w:before="0" w:after="80" w:line="276" w:lineRule="auto"/>
        <w:jc w:val="both"/>
      </w:pPr>
      <w:r>
        <w:rPr>
          <w:rFonts w:ascii="Times New Roman" w:hAnsi="Times New Roman"/>
          <w:b w:val="0"/>
          <w:i w:val="0"/>
          <w:color w:val="212529"/>
          <w:sz w:val="19"/>
        </w:rPr>
        <w:t xml:space="preserve">   ```bash</w:t>
      </w:r>
    </w:p>
    <w:p>
      <w:pPr>
        <w:spacing w:before="0" w:after="80" w:line="276" w:lineRule="auto"/>
        <w:jc w:val="both"/>
      </w:pPr>
      <w:r>
        <w:rPr>
          <w:rFonts w:ascii="Times New Roman" w:hAnsi="Times New Roman"/>
          <w:b w:val="0"/>
          <w:i w:val="0"/>
          <w:color w:val="212529"/>
          <w:sz w:val="19"/>
        </w:rPr>
        <w:t xml:space="preserve">   ( node lab-testbed/server/receiver.mjs &gt; /dev/null 2&gt;&amp;1 &amp; \</w:t>
      </w:r>
    </w:p>
    <w:p>
      <w:pPr>
        <w:spacing w:before="0" w:after="80" w:line="276" w:lineRule="auto"/>
        <w:jc w:val="both"/>
      </w:pPr>
      <w:r>
        <w:rPr>
          <w:rFonts w:ascii="Times New Roman" w:hAnsi="Times New Roman"/>
          <w:b w:val="0"/>
          <w:i w:val="0"/>
          <w:color w:val="212529"/>
          <w:sz w:val="19"/>
        </w:rPr>
        <w:t xml:space="preserve">     node lab-testbed/server/server.mjs &gt; /dev/null 2&gt;&amp;1 &amp; \</w:t>
      </w:r>
    </w:p>
    <w:p>
      <w:pPr>
        <w:spacing w:before="0" w:after="80" w:line="276" w:lineRule="auto"/>
        <w:jc w:val="both"/>
      </w:pPr>
      <w:r>
        <w:rPr>
          <w:rFonts w:ascii="Times New Roman" w:hAnsi="Times New Roman"/>
          <w:b w:val="0"/>
          <w:i w:val="0"/>
          <w:color w:val="212529"/>
          <w:sz w:val="19"/>
        </w:rPr>
        <w:t xml:space="preserve">     HOST_PORT=8090 SANDBOX_PORT=8091 SERVERS='["http://localhost:3001/mcp"]' \</w:t>
      </w:r>
    </w:p>
    <w:p>
      <w:pPr>
        <w:spacing w:before="0" w:after="80" w:line="276" w:lineRule="auto"/>
        <w:jc w:val="both"/>
      </w:pPr>
      <w:r>
        <w:rPr>
          <w:rFonts w:ascii="Times New Roman" w:hAnsi="Times New Roman"/>
          <w:b w:val="0"/>
          <w:i w:val="0"/>
          <w:color w:val="212529"/>
          <w:sz w:val="19"/>
        </w:rPr>
        <w:t xml:space="preserve">       npx tsx lab-testbed/host-policy/serve.ts &gt; /dev/null 2&gt;&amp;1 &amp; \</w:t>
      </w:r>
    </w:p>
    <w:p>
      <w:pPr>
        <w:spacing w:before="0" w:after="80" w:line="276" w:lineRule="auto"/>
        <w:jc w:val="both"/>
      </w:pPr>
      <w:r>
        <w:rPr>
          <w:rFonts w:ascii="Times New Roman" w:hAnsi="Times New Roman"/>
          <w:b w:val="0"/>
          <w:i w:val="0"/>
          <w:color w:val="212529"/>
          <w:sz w:val="19"/>
        </w:rPr>
        <w:t xml:space="preserve">     sleep 7; \</w:t>
      </w:r>
    </w:p>
    <w:p>
      <w:pPr>
        <w:spacing w:before="0" w:after="80" w:line="276" w:lineRule="auto"/>
        <w:jc w:val="both"/>
      </w:pPr>
      <w:r>
        <w:rPr>
          <w:rFonts w:ascii="Times New Roman" w:hAnsi="Times New Roman"/>
          <w:b w:val="0"/>
          <w:i w:val="0"/>
          <w:color w:val="212529"/>
          <w:sz w:val="19"/>
        </w:rPr>
        <w:t xml:space="preserve">     npx tsx lab-testbed/runner/run-all.mjs ) &amp;</w:t>
      </w:r>
    </w:p>
    <w:p>
      <w:pPr>
        <w:spacing w:before="0" w:after="80" w:line="276" w:lineRule="auto"/>
        <w:jc w:val="both"/>
      </w:pPr>
      <w:r>
        <w:rPr>
          <w:rFonts w:ascii="Times New Roman" w:hAnsi="Times New Roman"/>
          <w:b w:val="0"/>
          <w:i w:val="0"/>
          <w:color w:val="212529"/>
          <w:sz w:val="19"/>
        </w:rPr>
        <w:t xml:space="preserve">   wait</w:t>
      </w:r>
    </w:p>
    <w:p>
      <w:pPr>
        <w:spacing w:before="0" w:after="80" w:line="276" w:lineRule="auto"/>
        <w:jc w:val="both"/>
      </w:pPr>
      <w:r>
        <w:rPr>
          <w:rFonts w:ascii="Times New Roman" w:hAnsi="Times New Roman"/>
          <w:b w:val="0"/>
          <w:i w:val="0"/>
          <w:color w:val="212529"/>
          <w:sz w:val="19"/>
        </w:rPr>
        <w:t xml:space="preserve">   ```</w:t>
      </w:r>
    </w:p>
    <w:p>
      <w:pPr>
        <w:spacing w:before="20" w:after="60" w:line="276" w:lineRule="auto"/>
        <w:ind w:left="360" w:hanging="360"/>
      </w:pPr>
      <w:r>
        <w:rPr>
          <w:rFonts w:ascii="Times New Roman" w:hAnsi="Times New Roman"/>
          <w:b/>
          <w:sz w:val="19"/>
        </w:rPr>
        <w:t xml:space="preserve">3.  </w:t>
      </w:r>
      <w:r>
        <w:rPr>
          <w:rFonts w:ascii="Times New Roman" w:hAnsi="Times New Roman"/>
          <w:b/>
          <w:i w:val="0"/>
          <w:color w:val="212529"/>
          <w:sz w:val="19"/>
        </w:rPr>
        <w:t>Execute 35-Second Smoke Verification (Single Run):</w:t>
      </w:r>
    </w:p>
    <w:p>
      <w:pPr>
        <w:spacing w:before="0" w:after="80" w:line="276" w:lineRule="auto"/>
        <w:jc w:val="both"/>
      </w:pPr>
      <w:r>
        <w:rPr>
          <w:rFonts w:ascii="Times New Roman" w:hAnsi="Times New Roman"/>
          <w:b w:val="0"/>
          <w:i w:val="0"/>
          <w:color w:val="212529"/>
          <w:sz w:val="19"/>
        </w:rPr>
        <w:t xml:space="preserve">   ```bash</w:t>
      </w:r>
    </w:p>
    <w:p>
      <w:pPr>
        <w:spacing w:before="0" w:after="80" w:line="276" w:lineRule="auto"/>
        <w:jc w:val="both"/>
      </w:pPr>
      <w:r>
        <w:rPr>
          <w:rFonts w:ascii="Times New Roman" w:hAnsi="Times New Roman"/>
          <w:b w:val="0"/>
          <w:i w:val="0"/>
          <w:color w:val="212529"/>
          <w:sz w:val="19"/>
        </w:rPr>
        <w:t xml:space="preserve">   npx tsx lab-testbed/runner/run-tests.mjs --mode baseline --run smoke-verify-1</w:t>
      </w:r>
    </w:p>
    <w:p>
      <w:pPr>
        <w:spacing w:before="0" w:after="80" w:line="276" w:lineRule="auto"/>
        <w:jc w:val="both"/>
      </w:pPr>
      <w:r>
        <w:rPr>
          <w:rFonts w:ascii="Times New Roman" w:hAnsi="Times New Roman"/>
          <w:b w:val="0"/>
          <w:i w:val="0"/>
          <w:color w:val="212529"/>
          <w:sz w:val="19"/>
        </w:rPr>
        <w:t xml:space="preserve">   ```</w:t>
      </w:r>
    </w:p>
    <w:p>
      <w:pPr>
        <w:spacing w:before="20" w:after="60" w:line="276" w:lineRule="auto"/>
        <w:ind w:left="360" w:hanging="360"/>
      </w:pPr>
      <w:r>
        <w:rPr>
          <w:rFonts w:ascii="Times New Roman" w:hAnsi="Times New Roman"/>
          <w:b/>
          <w:sz w:val="19"/>
        </w:rPr>
        <w:t xml:space="preserve">4.  </w:t>
      </w:r>
      <w:r>
        <w:rPr>
          <w:rFonts w:ascii="Times New Roman" w:hAnsi="Times New Roman"/>
          <w:b/>
          <w:i w:val="0"/>
          <w:color w:val="212529"/>
          <w:sz w:val="19"/>
        </w:rPr>
        <w:t>Compile Statistical Report (10 ms):</w:t>
      </w:r>
    </w:p>
    <w:p>
      <w:pPr>
        <w:spacing w:before="0" w:after="80" w:line="276" w:lineRule="auto"/>
        <w:jc w:val="both"/>
      </w:pPr>
      <w:r>
        <w:rPr>
          <w:rFonts w:ascii="Times New Roman" w:hAnsi="Times New Roman"/>
          <w:b w:val="0"/>
          <w:i w:val="0"/>
          <w:color w:val="212529"/>
          <w:sz w:val="19"/>
        </w:rPr>
        <w:t xml:space="preserve">   ```bash</w:t>
      </w:r>
    </w:p>
    <w:p>
      <w:pPr>
        <w:spacing w:before="0" w:after="80" w:line="276" w:lineRule="auto"/>
        <w:jc w:val="both"/>
      </w:pPr>
      <w:r>
        <w:rPr>
          <w:rFonts w:ascii="Times New Roman" w:hAnsi="Times New Roman"/>
          <w:b w:val="0"/>
          <w:i w:val="0"/>
          <w:color w:val="212529"/>
          <w:sz w:val="19"/>
        </w:rPr>
        <w:t xml:space="preserve">   python3 lab-testbed/analyze.py</w:t>
      </w:r>
    </w:p>
    <w:p>
      <w:pPr>
        <w:spacing w:before="0" w:after="80" w:line="276" w:lineRule="auto"/>
        <w:jc w:val="both"/>
      </w:pPr>
      <w:r>
        <w:rPr>
          <w:rFonts w:ascii="Times New Roman" w:hAnsi="Times New Roman"/>
          <w:b w:val="0"/>
          <w:i w:val="0"/>
          <w:color w:val="212529"/>
          <w:sz w:val="19"/>
        </w:rPr>
        <w:t xml:space="preserve">   cat lab-testbed/results/FINAL_REPORT.md</w:t>
      </w:r>
    </w:p>
    <w:p>
      <w:pPr>
        <w:spacing w:before="0" w:after="80" w:line="276" w:lineRule="auto"/>
        <w:jc w:val="both"/>
      </w:pPr>
      <w:r>
        <w:rPr>
          <w:rFonts w:ascii="Times New Roman" w:hAnsi="Times New Roman"/>
          <w:b w:val="0"/>
          <w:i w:val="0"/>
          <w:color w:val="212529"/>
          <w:sz w:val="19"/>
        </w:rPr>
        <w:t xml:space="preserve">   ```</w:t>
      </w:r>
    </w:p>
    <w:p>
      <w:pPr>
        <w:keepNext/>
        <w:spacing w:before="280" w:after="80"/>
        <w:jc w:val="center"/>
      </w:pPr>
      <w:r>
        <w:rPr>
          <w:rFonts w:ascii="Times New Roman" w:hAnsi="Times New Roman"/>
          <w:b/>
          <w:color w:val="0F2C59"/>
          <w:sz w:val="23"/>
        </w:rPr>
        <w:t>REFERENCES</w:t>
      </w:r>
    </w:p>
    <w:p>
      <w:pPr>
        <w:pStyle w:val="ListBullet"/>
        <w:spacing w:before="20" w:after="60" w:line="276" w:lineRule="auto"/>
      </w:pPr>
      <w:r>
        <w:rPr>
          <w:rFonts w:ascii="Times New Roman" w:hAnsi="Times New Roman"/>
          <w:b/>
          <w:i w:val="0"/>
          <w:color w:val="212529"/>
          <w:sz w:val="19"/>
        </w:rPr>
        <w:t>Bühler, C., Biagiola, M., Di Grazia, L., &amp; Salvaneschi, G.</w:t>
      </w:r>
      <w:r>
        <w:rPr>
          <w:rFonts w:ascii="Times New Roman" w:hAnsi="Times New Roman"/>
          <w:b w:val="0"/>
          <w:i w:val="0"/>
          <w:color w:val="212529"/>
          <w:sz w:val="19"/>
        </w:rPr>
        <w:t xml:space="preserve"> (2026). AgentBound: Securing execution boundaries of AI agents. </w:t>
      </w:r>
      <w:r>
        <w:rPr>
          <w:rFonts w:ascii="Times New Roman" w:hAnsi="Times New Roman"/>
          <w:b w:val="0"/>
          <w:i/>
          <w:color w:val="212529"/>
          <w:sz w:val="19"/>
        </w:rPr>
        <w:t>To appear in Proceedings of the ACM Joint European Software Engineering Conference and Symposium on the Foundations of Software Engineering (ESEC/FSE)</w:t>
      </w:r>
      <w:r>
        <w:rPr>
          <w:rFonts w:ascii="Times New Roman" w:hAnsi="Times New Roman"/>
          <w:b w:val="0"/>
          <w:i w:val="0"/>
          <w:color w:val="212529"/>
          <w:sz w:val="19"/>
        </w:rPr>
        <w:t>. Preprint: arXiv:2502.16450. https://doi.org/10.1145/3808103</w:t>
      </w:r>
    </w:p>
    <w:p>
      <w:pPr>
        <w:pStyle w:val="ListBullet"/>
        <w:spacing w:before="20" w:after="60" w:line="276" w:lineRule="auto"/>
      </w:pPr>
      <w:r>
        <w:rPr>
          <w:rFonts w:ascii="Times New Roman" w:hAnsi="Times New Roman"/>
          <w:b/>
          <w:i w:val="0"/>
          <w:color w:val="212529"/>
          <w:sz w:val="19"/>
        </w:rPr>
        <w:t>Debenedetti, E., Zhang, J., Balunović, M., Beurer-Kellner, L., Fischer, M., &amp; Tramèr, F.</w:t>
      </w:r>
      <w:r>
        <w:rPr>
          <w:rFonts w:ascii="Times New Roman" w:hAnsi="Times New Roman"/>
          <w:b w:val="0"/>
          <w:i w:val="0"/>
          <w:color w:val="212529"/>
          <w:sz w:val="19"/>
        </w:rPr>
        <w:t xml:space="preserve"> (2024). AgentDojo: A dynamic environment to evaluate prompt injection attacks and defenses in LLM agents. </w:t>
      </w:r>
      <w:r>
        <w:rPr>
          <w:rFonts w:ascii="Times New Roman" w:hAnsi="Times New Roman"/>
          <w:b w:val="0"/>
          <w:i/>
          <w:color w:val="212529"/>
          <w:sz w:val="19"/>
        </w:rPr>
        <w:t>NeurIPS 2024 Datasets and Benchmarks Track</w:t>
      </w:r>
      <w:r>
        <w:rPr>
          <w:rFonts w:ascii="Times New Roman" w:hAnsi="Times New Roman"/>
          <w:b w:val="0"/>
          <w:i w:val="0"/>
          <w:color w:val="212529"/>
          <w:sz w:val="19"/>
        </w:rPr>
        <w:t>. https://arxiv.org/abs/2406.13352</w:t>
      </w:r>
    </w:p>
    <w:p>
      <w:pPr>
        <w:pStyle w:val="ListBullet"/>
        <w:spacing w:before="20" w:after="60" w:line="276" w:lineRule="auto"/>
      </w:pPr>
      <w:r>
        <w:rPr>
          <w:rFonts w:ascii="Times New Roman" w:hAnsi="Times New Roman"/>
          <w:b/>
          <w:i w:val="0"/>
          <w:color w:val="212529"/>
          <w:sz w:val="19"/>
        </w:rPr>
        <w:t>Greshake, K., Abdelnabi, S., Mishra, S., Endres, C., Holz, T., &amp; Fritz, M.</w:t>
      </w:r>
      <w:r>
        <w:rPr>
          <w:rFonts w:ascii="Times New Roman" w:hAnsi="Times New Roman"/>
          <w:b w:val="0"/>
          <w:i w:val="0"/>
          <w:color w:val="212529"/>
          <w:sz w:val="19"/>
        </w:rPr>
        <w:t xml:space="preserve"> (2023). Not what you've signed up for: Compromising real-world LLM-integrated applications with indirect prompt injection. </w:t>
      </w:r>
      <w:r>
        <w:rPr>
          <w:rFonts w:ascii="Times New Roman" w:hAnsi="Times New Roman"/>
          <w:b w:val="0"/>
          <w:i/>
          <w:color w:val="212529"/>
          <w:sz w:val="19"/>
        </w:rPr>
        <w:t>Proceedings of the 16th ACM Workshop on Artificial Intelligence and Security (AISEC 2023)</w:t>
      </w:r>
      <w:r>
        <w:rPr>
          <w:rFonts w:ascii="Times New Roman" w:hAnsi="Times New Roman"/>
          <w:b w:val="0"/>
          <w:i w:val="0"/>
          <w:color w:val="212529"/>
          <w:sz w:val="19"/>
        </w:rPr>
        <w:t>. https://arxiv.org/abs/2302.12173</w:t>
      </w:r>
    </w:p>
    <w:p>
      <w:pPr>
        <w:pStyle w:val="ListBullet"/>
        <w:spacing w:before="20" w:after="60" w:line="276" w:lineRule="auto"/>
      </w:pPr>
      <w:r>
        <w:rPr>
          <w:rFonts w:ascii="Times New Roman" w:hAnsi="Times New Roman"/>
          <w:b/>
          <w:i w:val="0"/>
          <w:color w:val="212529"/>
          <w:sz w:val="19"/>
        </w:rPr>
        <w:t>Hou, X., Zhao, Y., Wang, S., &amp; Wang, H.</w:t>
      </w:r>
      <w:r>
        <w:rPr>
          <w:rFonts w:ascii="Times New Roman" w:hAnsi="Times New Roman"/>
          <w:b w:val="0"/>
          <w:i w:val="0"/>
          <w:color w:val="212529"/>
          <w:sz w:val="19"/>
        </w:rPr>
        <w:t xml:space="preserve"> (2025). Model Context Protocol (MCP): Landscape, security threats, and future research directions. </w:t>
      </w:r>
      <w:r>
        <w:rPr>
          <w:rFonts w:ascii="Times New Roman" w:hAnsi="Times New Roman"/>
          <w:b w:val="0"/>
          <w:i/>
          <w:color w:val="212529"/>
          <w:sz w:val="19"/>
        </w:rPr>
        <w:t>arXiv preprint arXiv:2503.23278</w:t>
      </w:r>
      <w:r>
        <w:rPr>
          <w:rFonts w:ascii="Times New Roman" w:hAnsi="Times New Roman"/>
          <w:b w:val="0"/>
          <w:i w:val="0"/>
          <w:color w:val="212529"/>
          <w:sz w:val="19"/>
        </w:rPr>
        <w:t>. https://arxiv.org/abs/2503.23278</w:t>
      </w:r>
    </w:p>
    <w:p>
      <w:pPr>
        <w:pStyle w:val="ListBullet"/>
        <w:spacing w:before="20" w:after="60" w:line="276" w:lineRule="auto"/>
      </w:pPr>
      <w:r>
        <w:rPr>
          <w:rFonts w:ascii="Times New Roman" w:hAnsi="Times New Roman"/>
          <w:b/>
          <w:i w:val="0"/>
          <w:color w:val="212529"/>
          <w:sz w:val="19"/>
        </w:rPr>
        <w:t>Maloyan, N., &amp; Namiot, D.</w:t>
      </w:r>
      <w:r>
        <w:rPr>
          <w:rFonts w:ascii="Times New Roman" w:hAnsi="Times New Roman"/>
          <w:b w:val="0"/>
          <w:i w:val="0"/>
          <w:color w:val="212529"/>
          <w:sz w:val="19"/>
        </w:rPr>
        <w:t xml:space="preserve"> (2026). Breaking the Protocol: Security analysis of the Model Context Protocol specification and prompt injection vulnerabilities in tool-integrated LLM agents. </w:t>
      </w:r>
      <w:r>
        <w:rPr>
          <w:rFonts w:ascii="Times New Roman" w:hAnsi="Times New Roman"/>
          <w:b w:val="0"/>
          <w:i/>
          <w:color w:val="212529"/>
          <w:sz w:val="19"/>
        </w:rPr>
        <w:t>arXiv preprint arXiv:2601.17549</w:t>
      </w:r>
      <w:r>
        <w:rPr>
          <w:rFonts w:ascii="Times New Roman" w:hAnsi="Times New Roman"/>
          <w:b w:val="0"/>
          <w:i w:val="0"/>
          <w:color w:val="212529"/>
          <w:sz w:val="19"/>
        </w:rPr>
        <w:t>. https://arxiv.org/abs/2601.17549</w:t>
      </w:r>
    </w:p>
    <w:p>
      <w:pPr>
        <w:pStyle w:val="ListBullet"/>
        <w:spacing w:before="20" w:after="60" w:line="276" w:lineRule="auto"/>
      </w:pPr>
      <w:r>
        <w:rPr>
          <w:rFonts w:ascii="Times New Roman" w:hAnsi="Times New Roman"/>
          <w:b/>
          <w:i w:val="0"/>
          <w:color w:val="212529"/>
          <w:sz w:val="19"/>
        </w:rPr>
        <w:t>Model Context Protocol.</w:t>
      </w:r>
      <w:r>
        <w:rPr>
          <w:rFonts w:ascii="Times New Roman" w:hAnsi="Times New Roman"/>
          <w:b w:val="0"/>
          <w:i w:val="0"/>
          <w:color w:val="212529"/>
          <w:sz w:val="19"/>
        </w:rPr>
        <w:t xml:space="preserve"> (2026a). </w:t>
      </w:r>
      <w:r>
        <w:rPr>
          <w:rFonts w:ascii="Times New Roman" w:hAnsi="Times New Roman"/>
          <w:b w:val="0"/>
          <w:i/>
          <w:color w:val="212529"/>
          <w:sz w:val="19"/>
        </w:rPr>
        <w:t>ext-apps: Specification and SDK for the MCP Apps extension</w:t>
      </w:r>
      <w:r>
        <w:rPr>
          <w:rFonts w:ascii="Times New Roman" w:hAnsi="Times New Roman"/>
          <w:b w:val="0"/>
          <w:i w:val="0"/>
          <w:color w:val="212529"/>
          <w:sz w:val="19"/>
        </w:rPr>
        <w:t xml:space="preserve"> [Source code repository]. https://github.com/modelcontextprotocol/ext-apps</w:t>
      </w:r>
    </w:p>
    <w:p>
      <w:pPr>
        <w:pStyle w:val="ListBullet"/>
        <w:spacing w:before="20" w:after="60" w:line="276" w:lineRule="auto"/>
      </w:pPr>
      <w:r>
        <w:rPr>
          <w:rFonts w:ascii="Times New Roman" w:hAnsi="Times New Roman"/>
          <w:b/>
          <w:i w:val="0"/>
          <w:color w:val="212529"/>
          <w:sz w:val="19"/>
        </w:rPr>
        <w:t>Model Context Protocol.</w:t>
      </w:r>
      <w:r>
        <w:rPr>
          <w:rFonts w:ascii="Times New Roman" w:hAnsi="Times New Roman"/>
          <w:b w:val="0"/>
          <w:i w:val="0"/>
          <w:color w:val="212529"/>
          <w:sz w:val="19"/>
        </w:rPr>
        <w:t xml:space="preserve"> (2026b). </w:t>
      </w:r>
      <w:r>
        <w:rPr>
          <w:rFonts w:ascii="Times New Roman" w:hAnsi="Times New Roman"/>
          <w:b w:val="0"/>
          <w:i/>
          <w:color w:val="212529"/>
          <w:sz w:val="19"/>
        </w:rPr>
        <w:t>MCP Apps Specification (Revision 2026-01-26)</w:t>
      </w:r>
      <w:r>
        <w:rPr>
          <w:rFonts w:ascii="Times New Roman" w:hAnsi="Times New Roman"/>
          <w:b w:val="0"/>
          <w:i w:val="0"/>
          <w:color w:val="212529"/>
          <w:sz w:val="19"/>
        </w:rPr>
        <w:t>. Model Context Protocol Documentation. https://github.com/modelcontextprotocol/ext-apps/blob/main/specification/2026-01-26/apps.mdx</w:t>
      </w:r>
    </w:p>
    <w:p>
      <w:pPr>
        <w:pStyle w:val="ListBullet"/>
        <w:spacing w:before="20" w:after="60" w:line="276" w:lineRule="auto"/>
      </w:pPr>
      <w:r>
        <w:rPr>
          <w:rFonts w:ascii="Times New Roman" w:hAnsi="Times New Roman"/>
          <w:b/>
          <w:i w:val="0"/>
          <w:color w:val="212529"/>
          <w:sz w:val="19"/>
        </w:rPr>
        <w:t>Radosevich, B., &amp; Halloran, J.</w:t>
      </w:r>
      <w:r>
        <w:rPr>
          <w:rFonts w:ascii="Times New Roman" w:hAnsi="Times New Roman"/>
          <w:b w:val="0"/>
          <w:i w:val="0"/>
          <w:color w:val="212529"/>
          <w:sz w:val="19"/>
        </w:rPr>
        <w:t xml:space="preserve"> (2025). MCP safety audit: LLMs with the Model Context Protocol allow major security exploits. </w:t>
      </w:r>
      <w:r>
        <w:rPr>
          <w:rFonts w:ascii="Times New Roman" w:hAnsi="Times New Roman"/>
          <w:b w:val="0"/>
          <w:i/>
          <w:color w:val="212529"/>
          <w:sz w:val="19"/>
        </w:rPr>
        <w:t>arXiv preprint arXiv:2504.03767</w:t>
      </w:r>
      <w:r>
        <w:rPr>
          <w:rFonts w:ascii="Times New Roman" w:hAnsi="Times New Roman"/>
          <w:b w:val="0"/>
          <w:i w:val="0"/>
          <w:color w:val="212529"/>
          <w:sz w:val="19"/>
        </w:rPr>
        <w:t>. https://arxiv.org/abs/2504.03767</w:t>
      </w:r>
    </w:p>
    <w:p>
      <w:pPr>
        <w:pStyle w:val="ListBullet"/>
        <w:spacing w:before="20" w:after="60" w:line="276" w:lineRule="auto"/>
      </w:pPr>
      <w:r>
        <w:rPr>
          <w:rFonts w:ascii="Times New Roman" w:hAnsi="Times New Roman"/>
          <w:b/>
          <w:i w:val="0"/>
          <w:color w:val="212529"/>
          <w:sz w:val="19"/>
        </w:rPr>
        <w:t>Salomon, I., Yosef, L., Chafik, O., Swannack, J., Hefner, J., Pidkuiko, A., Cooper, N., Ashley, B., &amp; Christakis, A.</w:t>
      </w:r>
      <w:r>
        <w:rPr>
          <w:rFonts w:ascii="Times New Roman" w:hAnsi="Times New Roman"/>
          <w:b w:val="0"/>
          <w:i w:val="0"/>
          <w:color w:val="212529"/>
          <w:sz w:val="19"/>
        </w:rPr>
        <w:t xml:space="preserve"> (2026). </w:t>
      </w:r>
      <w:r>
        <w:rPr>
          <w:rFonts w:ascii="Times New Roman" w:hAnsi="Times New Roman"/>
          <w:b w:val="0"/>
          <w:i/>
          <w:color w:val="212529"/>
          <w:sz w:val="19"/>
        </w:rPr>
        <w:t>SEP-1865: MCP Apps — Interactive user interfaces for MCP</w:t>
      </w:r>
      <w:r>
        <w:rPr>
          <w:rFonts w:ascii="Times New Roman" w:hAnsi="Times New Roman"/>
          <w:b w:val="0"/>
          <w:i w:val="0"/>
          <w:color w:val="212529"/>
          <w:sz w:val="19"/>
        </w:rPr>
        <w:t>. Model Context Protocol Standards. https://modelcontextprotocol.io/seps/1865-mcp-apps-interactive-user-interfaces-for-mcp</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 xml:space="preserve">Evaluating Trust Boundaries in MCP Apps: Host-Mediated Capabilities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Emirates International University | Faculty of Engineering &amp; IT — Research Paper (IEEE Format)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