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2E4057"/>
          <w:sz w:val="32"/>
          <w:szCs w:val="32"/>
        </w:rPr>
        <w:t xml:space="preserve">Dossier de mise en œuvre d'une tâche de performance</w:t>
      </w:r>
    </w:p>
    <w:p>
      <w:pPr>
        <w:spacing w:after="60" w:before="60"/>
        <w:jc w:val="center"/>
      </w:pPr>
      <w:r>
        <w:rPr>
          <w:i/>
          <w:iCs/>
          <w:color w:val="555555"/>
          <w:sz w:val="24"/>
          <w:szCs w:val="24"/>
        </w:rPr>
        <w:t xml:space="preserve">Livrable 5 — Individuel</w:t>
      </w:r>
    </w:p>
    <w:p>
      <w:pPr>
        <w:spacing w:after="60" w:before="60"/>
        <w:jc w:val="center"/>
      </w:pPr>
      <w:r>
        <w:rPr>
          <w:b/>
          <w:bCs/>
          <w:color w:val="1C6EA4"/>
          <w:sz w:val="24"/>
          <w:szCs w:val="24"/>
        </w:rPr>
        <w:t xml:space="preserve">Mohammad</w:t>
      </w:r>
    </w:p>
    <w:p>
      <w:pPr>
        <w:spacing w:after="300" w:before="60"/>
        <w:jc w:val="center"/>
      </w:pPr>
      <w:r>
        <w:rPr>
          <w:i/>
          <w:iCs/>
          <w:color w:val="777777"/>
          <w:sz w:val="20"/>
          <w:szCs w:val="20"/>
        </w:rPr>
        <w:t xml:space="preserve">Formation : Gestion des émotions et du stress en classe — Public cible : enseignants 7–8H</w:t>
      </w:r>
    </w:p>
    <w:p>
      <w:pPr>
        <w:pStyle w:val="Heading1"/>
        <w:spacing w:after="160" w:before="320"/>
      </w:pPr>
      <w:r>
        <w:rPr>
          <w:b/>
          <w:bCs/>
          <w:color w:val="2E4057"/>
          <w:sz w:val="28"/>
          <w:szCs w:val="28"/>
        </w:rPr>
        <w:t xml:space="preserve">1. Tâche de performance visée et objectif de performance associé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b/>
                <w:bCs/>
                <w:sz w:val="22"/>
                <w:szCs w:val="22"/>
              </w:rPr>
              <w:t xml:space="preserve">Tâche de performance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Reformuler des consignes stressantes en consignes neutres, dans une situation de classe, au moment d'annoncer une note ou une date d'examen.</w:t>
            </w:r>
          </w:p>
        </w:tc>
      </w:tr>
      <w:tr>
        <w:tc>
          <w:tcPr>
            <w:tcW w:type="dxa" w:w="2800"/>
            <w:tcBorders>
              <w:top w:val="single" w:color="AAAAAA" w:sz="1"/>
              <w:left w:val="single" w:color="AAAAAA" w:sz="1"/>
              <w:bottom w:val="single" w:color="AAAAAA" w:sz="1"/>
              <w:right w:val="single" w:color="AAAAAA" w:sz="1"/>
            </w:tcBorders>
            <w:shd w:fill="E8F4F8" w:val="clear"/>
            <w:tcMar>
              <w:top w:type="dxa" w:w="80"/>
              <w:left w:type="dxa" w:w="120"/>
              <w:bottom w:type="dxa" w:w="80"/>
              <w:right w:type="dxa" w:w="120"/>
            </w:tcMar>
            <w:vAlign w:val="center"/>
          </w:tcPr>
          <w:p>
            <w:r>
              <w:rPr>
                <w:b/>
                <w:bCs/>
                <w:sz w:val="22"/>
                <w:szCs w:val="22"/>
              </w:rPr>
              <w:t xml:space="preserve">Axe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Axe 2 — Détecter pour prévenir (pas seulement réagir)</w:t>
            </w:r>
          </w:p>
        </w:tc>
      </w:tr>
      <w:tr>
        <w:tc>
          <w:tcPr>
            <w:tcW w:type="dxa" w:w="2800"/>
            <w:tcBorders>
              <w:top w:val="single" w:color="AAAAAA" w:sz="1"/>
              <w:left w:val="single" w:color="AAAAAA" w:sz="1"/>
              <w:bottom w:val="single" w:color="AAAAAA" w:sz="1"/>
              <w:right w:val="single" w:color="AAAAAA" w:sz="1"/>
            </w:tcBorders>
            <w:shd w:fill="E8F4F8" w:val="clear"/>
            <w:tcMar>
              <w:top w:type="dxa" w:w="80"/>
              <w:left w:type="dxa" w:w="120"/>
              <w:bottom w:type="dxa" w:w="80"/>
              <w:right w:type="dxa" w:w="120"/>
            </w:tcMar>
            <w:vAlign w:val="center"/>
          </w:tcPr>
          <w:p>
            <w:r>
              <w:rPr>
                <w:b/>
                <w:bCs/>
                <w:sz w:val="22"/>
                <w:szCs w:val="22"/>
              </w:rPr>
              <w:t xml:space="preserve">Objectif pédagogique de référence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Objectif 4 : Repérer les situations de classe à risque émotionnel, notamment lors des évaluations.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b/>
                <w:bCs/>
                <w:sz w:val="22"/>
                <w:szCs w:val="22"/>
              </w:rPr>
              <w:t xml:space="preserve">Objectif de performance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Dans une situation de classe où il doit annoncer une note ou une date d'examen, l'enseignant reformule des consignes à risque émotionnel en consignes neutres, en conservant le même objectif pédagogique et en supprimant les formulations susceptibles de déclencher une réaction de stress chez les élèves.</w:t>
            </w:r>
          </w:p>
        </w:tc>
      </w:tr>
      <w:tr>
        <w:tc>
          <w:tcPr>
            <w:tcW w:type="dxa" w:w="2800"/>
            <w:tcBorders>
              <w:top w:val="single" w:color="AAAAAA" w:sz="1"/>
              <w:left w:val="single" w:color="AAAAAA" w:sz="1"/>
              <w:bottom w:val="single" w:color="AAAAAA" w:sz="1"/>
              <w:right w:val="single" w:color="AAAAAA" w:sz="1"/>
            </w:tcBorders>
            <w:shd w:fill="E8F4F8" w:val="clear"/>
            <w:tcMar>
              <w:top w:type="dxa" w:w="80"/>
              <w:left w:type="dxa" w:w="120"/>
              <w:bottom w:type="dxa" w:w="80"/>
              <w:right w:type="dxa" w:w="120"/>
            </w:tcMar>
            <w:vAlign w:val="center"/>
          </w:tcPr>
          <w:p>
            <w:r>
              <w:rPr>
                <w:b/>
                <w:bCs/>
                <w:sz w:val="22"/>
                <w:szCs w:val="22"/>
              </w:rPr>
              <w:t xml:space="preserve">Critères de réussite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 La consigne reformulée conserve le même sens pédagogique.
— Le ton est neutre : pas de menace implicite, pas d'injonction de performance.
— 3 reformulations sur 4 sont validées par le formateur.</w:t>
            </w:r>
          </w:p>
        </w:tc>
      </w:tr>
    </w:tbl>
    <w:p>
      <w:pPr>
        <w:spacing w:after="100" w:before="100"/>
      </w:pPr>
    </w:p>
    <w:p>
      <w:pPr>
        <w:spacing w:after="80" w:before="80"/>
      </w:pPr>
      <w:r>
        <w:rPr>
          <w:i/>
          <w:iCs/>
          <w:sz w:val="22"/>
          <w:szCs w:val="22"/>
        </w:rPr>
        <w:t xml:space="preserve">Ancrage théorique : Prokofieva et al. (2017) montrent que la pression évaluative est l'une des principales causes de stress scolaire, et que les consignes annonçant une notation (« Attention, c'est noté ») constituent des stresseurs contextuels identifiables qui déclenchent des réponses physiologiques et émotionnelles mesurables chez les élèves. Travailler sur le langage des consignes permet d'agir directement sur ce stresseur.</w:t>
      </w:r>
    </w:p>
    <w:p>
      <w:pPr>
        <w:spacing w:after="100" w:before="100"/>
      </w:pPr>
    </w:p>
    <w:p>
      <w:pPr>
        <w:pStyle w:val="Heading1"/>
        <w:spacing w:after="160" w:before="320"/>
      </w:pPr>
      <w:r>
        <w:rPr>
          <w:b/>
          <w:bCs/>
          <w:color w:val="2E4057"/>
          <w:sz w:val="28"/>
          <w:szCs w:val="28"/>
        </w:rPr>
        <w:t xml:space="preserve">2. Activités d'apprentissage proposées</w:t>
      </w:r>
    </w:p>
    <w:p>
      <w:pPr>
        <w:pStyle w:val="Heading2"/>
        <w:spacing w:after="120" w:before="240"/>
      </w:pPr>
      <w:r>
        <w:rPr>
          <w:b/>
          <w:bCs/>
          <w:color w:val="1C6EA4"/>
          <w:sz w:val="24"/>
          <w:szCs w:val="24"/>
        </w:rPr>
        <w:t xml:space="preserve">Activité de sensibilisation — Identifier les consignes à risque (20 min, présentiel)</w:t>
      </w:r>
    </w:p>
    <w:p>
      <w:pPr>
        <w:spacing w:after="80" w:before="80"/>
      </w:pPr>
      <w:r>
        <w:rPr>
          <w:sz w:val="22"/>
          <w:szCs w:val="22"/>
        </w:rPr>
        <w:t xml:space="preserve">Objectif intermédiaire : Prendre conscience du potentiel stressant de certaines formulations courantes.</w:t>
      </w:r>
    </w:p>
    <w:p>
      <w:pPr>
        <w:spacing w:after="80" w:before="80"/>
      </w:pPr>
      <w:r>
        <w:rPr>
          <w:sz w:val="22"/>
          <w:szCs w:val="22"/>
        </w:rPr>
        <w:t xml:space="preserve">Déroulement :</w:t>
      </w:r>
    </w:p>
    <w:p>
      <w:pPr>
        <w:pStyle w:val="ListParagraph"/>
        <w:numPr>
          <w:ilvl w:val="0"/>
          <w:numId w:val="2"/>
        </w:numPr>
        <w:spacing w:after="60" w:before="60"/>
      </w:pPr>
      <w:r>
        <w:rPr>
          <w:sz w:val="22"/>
          <w:szCs w:val="22"/>
        </w:rPr>
        <w:t xml:space="preserve">Le formateur distribue une liste de 8 consignes issues de situations réelles de classe.</w:t>
      </w:r>
    </w:p>
    <w:p>
      <w:pPr>
        <w:pStyle w:val="ListParagraph"/>
        <w:numPr>
          <w:ilvl w:val="0"/>
          <w:numId w:val="2"/>
        </w:numPr>
        <w:spacing w:after="60" w:before="60"/>
      </w:pPr>
      <w:r>
        <w:rPr>
          <w:sz w:val="22"/>
          <w:szCs w:val="22"/>
        </w:rPr>
        <w:t xml:space="preserve">En binôme, les apprenants surlignent les formulations qu'ils perçoivent comme potentiellement stressantes pour un élève.</w:t>
      </w:r>
    </w:p>
    <w:p>
      <w:pPr>
        <w:pStyle w:val="ListParagraph"/>
        <w:numPr>
          <w:ilvl w:val="0"/>
          <w:numId w:val="2"/>
        </w:numPr>
        <w:spacing w:after="60" w:before="60"/>
      </w:pPr>
      <w:r>
        <w:rPr>
          <w:sz w:val="22"/>
          <w:szCs w:val="22"/>
        </w:rPr>
        <w:t xml:space="preserve">Mise en commun en grand groupe : quels mots, quelle syntaxe, quel ton créent de la pression ?</w:t>
      </w:r>
    </w:p>
    <w:p>
      <w:pPr>
        <w:pStyle w:val="ListParagraph"/>
        <w:numPr>
          <w:ilvl w:val="0"/>
          <w:numId w:val="2"/>
        </w:numPr>
        <w:spacing w:after="60" w:before="60"/>
      </w:pPr>
      <w:r>
        <w:rPr>
          <w:sz w:val="22"/>
          <w:szCs w:val="22"/>
        </w:rPr>
        <w:t xml:space="preserve">Apport théorique bref du formateur : distinction stresseur-contexte / anxiété d'évaluation (Prokofieva et al., 2017), exemples de déclencheurs verbaux.</w:t>
      </w:r>
    </w:p>
    <w:p>
      <w:pPr>
        <w:spacing w:after="100" w:before="100"/>
      </w:pPr>
    </w:p>
    <w:p>
      <w:pPr>
        <w:pStyle w:val="Heading2"/>
        <w:spacing w:after="120" w:before="240"/>
      </w:pPr>
      <w:r>
        <w:rPr>
          <w:b/>
          <w:bCs/>
          <w:color w:val="1C6EA4"/>
          <w:sz w:val="24"/>
          <w:szCs w:val="24"/>
        </w:rPr>
        <w:t xml:space="preserve">Activité centrale — Exercice de réécriture (30 min, en ligne ou présentiel)</w:t>
      </w:r>
    </w:p>
    <w:p>
      <w:pPr>
        <w:spacing w:after="80" w:before="80"/>
      </w:pPr>
      <w:r>
        <w:rPr>
          <w:sz w:val="22"/>
          <w:szCs w:val="22"/>
        </w:rPr>
        <w:t xml:space="preserve">Objectif intermédiaire : Reformuler une consigne en préservant l'intention pédagogique et en réduisant la charge émotionnelle.</w:t>
      </w:r>
    </w:p>
    <w:p>
      <w:pPr>
        <w:spacing w:after="80" w:before="80"/>
      </w:pPr>
      <w:r>
        <w:rPr>
          <w:sz w:val="22"/>
          <w:szCs w:val="22"/>
        </w:rPr>
        <w:t xml:space="preserve">Déroulement :</w:t>
      </w:r>
    </w:p>
    <w:p>
      <w:pPr>
        <w:pStyle w:val="ListParagraph"/>
        <w:numPr>
          <w:ilvl w:val="0"/>
          <w:numId w:val="2"/>
        </w:numPr>
        <w:spacing w:after="60" w:before="60"/>
      </w:pPr>
      <w:r>
        <w:rPr>
          <w:sz w:val="22"/>
          <w:szCs w:val="22"/>
        </w:rPr>
        <w:t xml:space="preserve">Chaque apprenant reçoit 4 consignes à risque (voir Ressource pédagogique ci-dessous).</w:t>
      </w:r>
    </w:p>
    <w:p>
      <w:pPr>
        <w:pStyle w:val="ListParagraph"/>
        <w:numPr>
          <w:ilvl w:val="0"/>
          <w:numId w:val="2"/>
        </w:numPr>
        <w:spacing w:after="60" w:before="60"/>
      </w:pPr>
      <w:r>
        <w:rPr>
          <w:sz w:val="22"/>
          <w:szCs w:val="22"/>
        </w:rPr>
        <w:t xml:space="preserve">Il réécrit chaque consigne de manière neutre sur la plateforme ou sur la fiche papier.</w:t>
      </w:r>
    </w:p>
    <w:p>
      <w:pPr>
        <w:pStyle w:val="ListParagraph"/>
        <w:numPr>
          <w:ilvl w:val="0"/>
          <w:numId w:val="2"/>
        </w:numPr>
        <w:spacing w:after="60" w:before="60"/>
      </w:pPr>
      <w:r>
        <w:rPr>
          <w:sz w:val="22"/>
          <w:szCs w:val="22"/>
        </w:rPr>
        <w:t xml:space="preserve">L'exercice est soumis au formateur pour feedback individualisé.</w:t>
      </w:r>
    </w:p>
    <w:p>
      <w:pPr>
        <w:pStyle w:val="ListParagraph"/>
        <w:numPr>
          <w:ilvl w:val="0"/>
          <w:numId w:val="2"/>
        </w:numPr>
        <w:spacing w:after="60" w:before="60"/>
      </w:pPr>
      <w:r>
        <w:rPr>
          <w:sz w:val="22"/>
          <w:szCs w:val="22"/>
        </w:rPr>
        <w:t xml:space="preserve">Le formateur valide ou propose des ajustements selon les critères : sens pédagogique conservé, ton neutre, absence de menace implicite.</w:t>
      </w:r>
    </w:p>
    <w:p>
      <w:pPr>
        <w:spacing w:after="100" w:before="100"/>
      </w:pPr>
    </w:p>
    <w:p>
      <w:pPr>
        <w:pStyle w:val="Heading2"/>
        <w:spacing w:after="120" w:before="240"/>
      </w:pPr>
      <w:r>
        <w:rPr>
          <w:b/>
          <w:bCs/>
          <w:color w:val="1C6EA4"/>
          <w:sz w:val="24"/>
          <w:szCs w:val="24"/>
        </w:rPr>
        <w:t xml:space="preserve">Activité de clôture — Retour réflexif (10 min)</w:t>
      </w:r>
    </w:p>
    <w:p>
      <w:pPr>
        <w:spacing w:after="80" w:before="80"/>
      </w:pPr>
      <w:r>
        <w:rPr>
          <w:sz w:val="22"/>
          <w:szCs w:val="22"/>
        </w:rPr>
        <w:t xml:space="preserve">Les apprenants répondent individuellement à deux questions de réflexion :</w:t>
      </w:r>
    </w:p>
    <w:p>
      <w:pPr>
        <w:pStyle w:val="ListParagraph"/>
        <w:numPr>
          <w:ilvl w:val="0"/>
          <w:numId w:val="2"/>
        </w:numPr>
        <w:spacing w:after="60" w:before="60"/>
      </w:pPr>
      <w:r>
        <w:rPr>
          <w:sz w:val="22"/>
          <w:szCs w:val="22"/>
        </w:rPr>
        <w:t xml:space="preserve">Quelle consigne m'a été la plus difficile à reformuler, et pourquoi ?</w:t>
      </w:r>
    </w:p>
    <w:p>
      <w:pPr>
        <w:pStyle w:val="ListParagraph"/>
        <w:numPr>
          <w:ilvl w:val="0"/>
          <w:numId w:val="2"/>
        </w:numPr>
        <w:spacing w:after="60" w:before="60"/>
      </w:pPr>
      <w:r>
        <w:rPr>
          <w:sz w:val="22"/>
          <w:szCs w:val="22"/>
        </w:rPr>
        <w:t xml:space="preserve">Dans quelle(s) situation(s) de ma pratique est-ce que j'utilise des formulations similaires à celles proposées ?</w:t>
      </w:r>
    </w:p>
    <w:p>
      <w:pPr>
        <w:spacing w:after="80" w:before="80"/>
      </w:pPr>
      <w:r>
        <w:rPr>
          <w:sz w:val="22"/>
          <w:szCs w:val="22"/>
        </w:rPr>
        <w:t xml:space="preserve">Court échange collectif pour ancrer les apprentissages dans la pratique réelle.</w:t>
      </w:r>
    </w:p>
    <w:p>
      <w:pPr>
        <w:spacing w:after="100" w:before="100"/>
      </w:pPr>
    </w:p>
    <w:p>
      <w:pPr>
        <w:pStyle w:val="Heading1"/>
        <w:spacing w:after="160" w:before="320"/>
      </w:pPr>
      <w:r>
        <w:rPr>
          <w:b/>
          <w:bCs/>
          <w:color w:val="2E4057"/>
          <w:sz w:val="28"/>
          <w:szCs w:val="28"/>
        </w:rPr>
        <w:t xml:space="preserve">3. Consignes destinées aux apprenant·es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8DC" w:val="clear"/>
            <w:tcMar>
              <w:top w:type="dxa" w:w="120"/>
              <w:left w:type="dxa" w:w="180"/>
              <w:bottom w:type="dxa" w:w="120"/>
              <w:right w:type="dxa" w:w="180"/>
            </w:tcMar>
          </w:tcPr>
          <w:p>
            <w:pPr>
              <w:spacing w:after="60" w:before="60"/>
            </w:pPr>
            <w:r>
              <w:rPr>
                <w:sz w:val="22"/>
                <w:szCs w:val="22"/>
              </w:rPr>
              <w:t xml:space="preserve">Consigne générale : Vous trouverez ci-dessous 4 consignes couramment utilisées en classe pour annoncer une évaluation ou une note. Chaque consigne contient des formulations susceptibles de créer de l'anxiété chez les élèves.
Votre tâche : Réécrivez chaque consigne de manière à :
  • conserver le même objectif pédagogique (annoncer l'évaluation ou la note) ;
  • supprimer les formulations qui exercent une pression émotionnelle ;
  • adopter un ton neutre et bienveillant.
Vous devez valider au moins 3 reformulations sur 4 pour réussir cette activité.</w:t>
            </w:r>
          </w:p>
        </w:tc>
      </w:tr>
    </w:tbl>
    <w:p>
      <w:pPr>
        <w:spacing w:after="100" w:before="100"/>
      </w:pPr>
    </w:p>
    <w:p>
      <w:pPr>
        <w:pStyle w:val="Heading1"/>
        <w:spacing w:after="160" w:before="320"/>
      </w:pPr>
      <w:r>
        <w:rPr>
          <w:b/>
          <w:bCs/>
          <w:color w:val="2E4057"/>
          <w:sz w:val="28"/>
          <w:szCs w:val="28"/>
        </w:rPr>
        <w:t xml:space="preserve">4. Guidage du formateur ou de la formatrice</w:t>
      </w:r>
    </w:p>
    <w:p>
      <w:pPr>
        <w:pStyle w:val="Heading2"/>
        <w:spacing w:after="120" w:before="240"/>
      </w:pPr>
      <w:r>
        <w:rPr>
          <w:b/>
          <w:bCs/>
          <w:color w:val="1C6EA4"/>
          <w:sz w:val="24"/>
          <w:szCs w:val="24"/>
        </w:rPr>
        <w:t xml:space="preserve">Lancement (5 min)</w:t>
      </w:r>
    </w:p>
    <w:p>
      <w:pPr>
        <w:spacing w:after="80" w:before="80"/>
      </w:pPr>
      <w:r>
        <w:rPr>
          <w:sz w:val="22"/>
          <w:szCs w:val="22"/>
        </w:rPr>
        <w:t xml:space="preserve">Contextualiser l'activité en s'appuyant sur un exemple concret : lire à voix haute une consigne à risque type (ex. : « Attention, c'est noté, et cela compte pour le bulletin. ») et demander aux apprenants ce qu'ils ressentent en l'entendant. Faire le lien avec la recherche : les consignes évaluatives constituent des stresseurs identifiables (Prokofieva et al., 2017).</w:t>
      </w:r>
    </w:p>
    <w:p>
      <w:pPr>
        <w:pStyle w:val="Heading2"/>
        <w:spacing w:after="120" w:before="240"/>
      </w:pPr>
      <w:r>
        <w:rPr>
          <w:b/>
          <w:bCs/>
          <w:color w:val="1C6EA4"/>
          <w:sz w:val="24"/>
          <w:szCs w:val="24"/>
        </w:rPr>
        <w:t xml:space="preserve">Étapes principales</w:t>
      </w:r>
    </w:p>
    <w:p>
      <w:pPr>
        <w:pStyle w:val="ListParagraph"/>
        <w:numPr>
          <w:ilvl w:val="0"/>
          <w:numId w:val="2"/>
        </w:numPr>
        <w:spacing w:after="60" w:before="60"/>
      </w:pPr>
      <w:r>
        <w:rPr>
          <w:sz w:val="22"/>
          <w:szCs w:val="22"/>
        </w:rPr>
        <w:t xml:space="preserve">Distribuer ou mettre à disposition la fiche des 4 consignes à risque (voir Ressource pédagogique).</w:t>
      </w:r>
    </w:p>
    <w:p>
      <w:pPr>
        <w:pStyle w:val="ListParagraph"/>
        <w:numPr>
          <w:ilvl w:val="0"/>
          <w:numId w:val="2"/>
        </w:numPr>
        <w:spacing w:after="60" w:before="60"/>
      </w:pPr>
      <w:r>
        <w:rPr>
          <w:sz w:val="22"/>
          <w:szCs w:val="22"/>
        </w:rPr>
        <w:t xml:space="preserve">Laisser 15–20 min de travail individuel silencieux. Encourager les apprenants à lire les consignes à voix basse pour « entendre » l'effet émotionnel.</w:t>
      </w:r>
    </w:p>
    <w:p>
      <w:pPr>
        <w:pStyle w:val="ListParagraph"/>
        <w:numPr>
          <w:ilvl w:val="0"/>
          <w:numId w:val="2"/>
        </w:numPr>
        <w:spacing w:after="60" w:before="60"/>
      </w:pPr>
      <w:r>
        <w:rPr>
          <w:sz w:val="22"/>
          <w:szCs w:val="22"/>
        </w:rPr>
        <w:t xml:space="preserve">Recueillir les productions (papier ou soumission en ligne) pour feedback.</w:t>
      </w:r>
    </w:p>
    <w:p>
      <w:pPr>
        <w:pStyle w:val="ListParagraph"/>
        <w:numPr>
          <w:ilvl w:val="0"/>
          <w:numId w:val="2"/>
        </w:numPr>
        <w:spacing w:after="60" w:before="60"/>
      </w:pPr>
      <w:r>
        <w:rPr>
          <w:sz w:val="22"/>
          <w:szCs w:val="22"/>
        </w:rPr>
        <w:t xml:space="preserve">Lors du retour, présenter 1–2 exemples de reformulations réussies et les analyser collectivement.</w:t>
      </w:r>
    </w:p>
    <w:p>
      <w:pPr>
        <w:pStyle w:val="Heading2"/>
        <w:spacing w:after="120" w:before="240"/>
      </w:pPr>
      <w:r>
        <w:rPr>
          <w:b/>
          <w:bCs/>
          <w:color w:val="1C6EA4"/>
          <w:sz w:val="24"/>
          <w:szCs w:val="24"/>
        </w:rPr>
        <w:t xml:space="preserve">Points de vigilance</w:t>
      </w:r>
    </w:p>
    <w:p>
      <w:pPr>
        <w:pStyle w:val="ListParagraph"/>
        <w:numPr>
          <w:ilvl w:val="0"/>
          <w:numId w:val="2"/>
        </w:numPr>
        <w:spacing w:after="60" w:before="60"/>
      </w:pPr>
      <w:r>
        <w:rPr>
          <w:sz w:val="22"/>
          <w:szCs w:val="22"/>
        </w:rPr>
        <w:t xml:space="preserve">Certains apprenants tendent à supprimer entièrement le contenu informatif (la note, la date). Rappeler que l'objectif pédagogique doit être maintenu.</w:t>
      </w:r>
    </w:p>
    <w:p>
      <w:pPr>
        <w:pStyle w:val="ListParagraph"/>
        <w:numPr>
          <w:ilvl w:val="0"/>
          <w:numId w:val="2"/>
        </w:numPr>
        <w:spacing w:after="60" w:before="60"/>
      </w:pPr>
      <w:r>
        <w:rPr>
          <w:sz w:val="22"/>
          <w:szCs w:val="22"/>
        </w:rPr>
        <w:t xml:space="preserve">Éviter les jugements de valeur sur les formulations d'origine : l'objectif est de développer une compétence, pas de culpabiliser.</w:t>
      </w:r>
    </w:p>
    <w:p>
      <w:pPr>
        <w:pStyle w:val="ListParagraph"/>
        <w:numPr>
          <w:ilvl w:val="0"/>
          <w:numId w:val="2"/>
        </w:numPr>
        <w:spacing w:after="60" w:before="60"/>
      </w:pPr>
      <w:r>
        <w:rPr>
          <w:sz w:val="22"/>
          <w:szCs w:val="22"/>
        </w:rPr>
        <w:t xml:space="preserve">Si un apprenant doute, l'inviter à se mettre à la place d'un élève anxieux : « Est-ce que cette formulation peut être perçue comme une menace ? »</w:t>
      </w:r>
    </w:p>
    <w:p>
      <w:pPr>
        <w:pStyle w:val="Heading2"/>
        <w:spacing w:after="120" w:before="240"/>
      </w:pPr>
      <w:r>
        <w:rPr>
          <w:b/>
          <w:bCs/>
          <w:color w:val="1C6EA4"/>
          <w:sz w:val="24"/>
          <w:szCs w:val="24"/>
        </w:rPr>
        <w:t xml:space="preserve">Aides et relances possibles</w:t>
      </w:r>
    </w:p>
    <w:p>
      <w:pPr>
        <w:pStyle w:val="ListParagraph"/>
        <w:numPr>
          <w:ilvl w:val="0"/>
          <w:numId w:val="2"/>
        </w:numPr>
        <w:spacing w:after="60" w:before="60"/>
      </w:pPr>
      <w:r>
        <w:rPr>
          <w:sz w:val="22"/>
          <w:szCs w:val="22"/>
        </w:rPr>
        <w:t xml:space="preserve">« Que gardes-tu de la consigne originale ? Qu'est-ce qui peut être supprimé ou reformulé ? »</w:t>
      </w:r>
    </w:p>
    <w:p>
      <w:pPr>
        <w:pStyle w:val="ListParagraph"/>
        <w:numPr>
          <w:ilvl w:val="0"/>
          <w:numId w:val="2"/>
        </w:numPr>
        <w:spacing w:after="60" w:before="60"/>
      </w:pPr>
      <w:r>
        <w:rPr>
          <w:sz w:val="22"/>
          <w:szCs w:val="22"/>
        </w:rPr>
        <w:t xml:space="preserve">« Est-ce que ta formulation donne de l'information sans créer de pression ? »</w:t>
      </w:r>
    </w:p>
    <w:p>
      <w:pPr>
        <w:pStyle w:val="ListParagraph"/>
        <w:numPr>
          <w:ilvl w:val="0"/>
          <w:numId w:val="2"/>
        </w:numPr>
        <w:spacing w:after="60" w:before="60"/>
      </w:pPr>
      <w:r>
        <w:rPr>
          <w:sz w:val="22"/>
          <w:szCs w:val="22"/>
        </w:rPr>
        <w:t xml:space="preserve">Proposer le critère de la loi de Yerkes-Dodson : une légère activation est utile, mais une pression excessive nuit à la performance (Prokofieva et al., 2017).</w:t>
      </w:r>
    </w:p>
    <w:p>
      <w:pPr>
        <w:pStyle w:val="Heading2"/>
        <w:spacing w:after="120" w:before="240"/>
      </w:pPr>
      <w:r>
        <w:rPr>
          <w:b/>
          <w:bCs/>
          <w:color w:val="1C6EA4"/>
          <w:sz w:val="24"/>
          <w:szCs w:val="24"/>
        </w:rPr>
        <w:t xml:space="preserve">Modalités de régulation</w:t>
      </w:r>
    </w:p>
    <w:p>
      <w:pPr>
        <w:spacing w:after="80" w:before="80"/>
      </w:pPr>
      <w:r>
        <w:rPr>
          <w:sz w:val="22"/>
          <w:szCs w:val="22"/>
        </w:rPr>
        <w:t xml:space="preserve">Si le groupe avance rapidement, proposer une 5e consigne plus complexe (contexte de conflit ou de mauvaise note). Si le groupe est bloqué, analyser collectivement la consigne 1 avant de passer aux suivantes.</w:t>
      </w:r>
    </w:p>
    <w:p>
      <w:pPr>
        <w:pStyle w:val="Heading2"/>
        <w:spacing w:after="120" w:before="240"/>
      </w:pPr>
      <w:r>
        <w:rPr>
          <w:b/>
          <w:bCs/>
          <w:color w:val="1C6EA4"/>
          <w:sz w:val="24"/>
          <w:szCs w:val="24"/>
        </w:rPr>
        <w:t xml:space="preserve">Clôture (5 min)</w:t>
      </w:r>
    </w:p>
    <w:p>
      <w:pPr>
        <w:spacing w:after="80" w:before="80"/>
      </w:pPr>
      <w:r>
        <w:rPr>
          <w:sz w:val="22"/>
          <w:szCs w:val="22"/>
        </w:rPr>
        <w:t xml:space="preserve">Synthèse collective : quels sont les 3 signaux linguistiques à surveiller dans une consigne ? (ex. : injonction de performance, formulation conditionnelle menaçante, mise en comparaison sociale). Annoncer que les productions seront corrigées et renvoyées avec un feedback individualisé.</w:t>
      </w:r>
    </w:p>
    <w:p>
      <w:pPr>
        <w:spacing w:after="100" w:before="100"/>
      </w:pPr>
    </w:p>
    <w:p>
      <w:pPr>
        <w:pStyle w:val="Heading1"/>
        <w:spacing w:after="160" w:before="320"/>
      </w:pPr>
      <w:r>
        <w:rPr>
          <w:b/>
          <w:bCs/>
          <w:color w:val="2E4057"/>
          <w:sz w:val="28"/>
          <w:szCs w:val="28"/>
        </w:rPr>
        <w:t xml:space="preserve">5. Ressources, supports, outils ou médias nécessaires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22"/>
                <w:szCs w:val="22"/>
              </w:rPr>
              <w:t xml:space="preserve">Ressource</w:t>
            </w:r>
          </w:p>
        </w:tc>
        <w:tc>
          <w:tcPr>
            <w:tcW w:type="dxa" w:w="6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22"/>
                <w:szCs w:val="22"/>
              </w:rPr>
              <w:t xml:space="preserve">Description / Usage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sz w:val="22"/>
                <w:szCs w:val="22"/>
              </w:rPr>
              <w:t xml:space="preserve">Fiche des 4 consignes à risque (ci-dessous)</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Ressource pédagogique centrale de l'activité. Utilisable en format papier ou sur plateforme numérique (ex. : Moodle, Google Classroom).</w:t>
            </w:r>
          </w:p>
        </w:tc>
      </w:tr>
      <w:tr>
        <w:tc>
          <w:tcPr>
            <w:tcW w:type="dxa" w:w="3000"/>
            <w:tcBorders>
              <w:top w:val="single" w:color="AAAAAA" w:sz="1"/>
              <w:left w:val="single" w:color="AAAAAA" w:sz="1"/>
              <w:bottom w:val="single" w:color="AAAAAA" w:sz="1"/>
              <w:right w:val="single" w:color="AAAAAA" w:sz="1"/>
            </w:tcBorders>
            <w:shd w:fill="F2F9FF" w:val="clear"/>
            <w:tcMar>
              <w:top w:type="dxa" w:w="80"/>
              <w:left w:type="dxa" w:w="120"/>
              <w:bottom w:type="dxa" w:w="80"/>
              <w:right w:type="dxa" w:w="120"/>
            </w:tcMar>
          </w:tcPr>
          <w:p>
            <w:r>
              <w:rPr>
                <w:b/>
                <w:bCs/>
                <w:sz w:val="22"/>
                <w:szCs w:val="22"/>
              </w:rPr>
              <w:t xml:space="preserve">Article scientifique</w:t>
            </w:r>
          </w:p>
        </w:tc>
        <w:tc>
          <w:tcPr>
            <w:tcW w:type="dxa" w:w="6026"/>
            <w:tcBorders>
              <w:top w:val="single" w:color="AAAAAA" w:sz="1"/>
              <w:left w:val="single" w:color="AAAAAA" w:sz="1"/>
              <w:bottom w:val="single" w:color="AAAAAA" w:sz="1"/>
              <w:right w:val="single" w:color="AAAAAA" w:sz="1"/>
            </w:tcBorders>
            <w:shd w:fill="F2F9FF" w:val="clear"/>
            <w:tcMar>
              <w:top w:type="dxa" w:w="80"/>
              <w:left w:type="dxa" w:w="120"/>
              <w:bottom w:type="dxa" w:w="80"/>
              <w:right w:type="dxa" w:w="120"/>
            </w:tcMar>
          </w:tcPr>
          <w:p>
            <w:r>
              <w:rPr>
                <w:sz w:val="22"/>
                <w:szCs w:val="22"/>
              </w:rPr>
              <w:t xml:space="preserve">Prokofieva et al. (2017). Stress de l'évaluation scolaire : un nouveau regard sur un problème ancien. Recherches &amp; éducations, 18. Mis à disposition des apprenants comme lecture complémentaire facultative.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sz w:val="22"/>
                <w:szCs w:val="22"/>
              </w:rPr>
              <w:t xml:space="preserve">Plateforme en ligne (optionnel)</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Outil de soumission (formulaire Moodle ou Google Forms) pour recueillir les reformulations et faciliter le feedback individualisé du formateur.</w:t>
            </w:r>
          </w:p>
        </w:tc>
      </w:tr>
      <w:tr>
        <w:tc>
          <w:tcPr>
            <w:tcW w:type="dxa" w:w="3000"/>
            <w:tcBorders>
              <w:top w:val="single" w:color="AAAAAA" w:sz="1"/>
              <w:left w:val="single" w:color="AAAAAA" w:sz="1"/>
              <w:bottom w:val="single" w:color="AAAAAA" w:sz="1"/>
              <w:right w:val="single" w:color="AAAAAA" w:sz="1"/>
            </w:tcBorders>
            <w:shd w:fill="F2F9FF" w:val="clear"/>
            <w:tcMar>
              <w:top w:type="dxa" w:w="80"/>
              <w:left w:type="dxa" w:w="120"/>
              <w:bottom w:type="dxa" w:w="80"/>
              <w:right w:type="dxa" w:w="120"/>
            </w:tcMar>
          </w:tcPr>
          <w:p>
            <w:r>
              <w:rPr>
                <w:b/>
                <w:bCs/>
                <w:sz w:val="22"/>
                <w:szCs w:val="22"/>
              </w:rPr>
              <w:t xml:space="preserve">Grille de correction formateur</w:t>
            </w:r>
          </w:p>
        </w:tc>
        <w:tc>
          <w:tcPr>
            <w:tcW w:type="dxa" w:w="6026"/>
            <w:tcBorders>
              <w:top w:val="single" w:color="AAAAAA" w:sz="1"/>
              <w:left w:val="single" w:color="AAAAAA" w:sz="1"/>
              <w:bottom w:val="single" w:color="AAAAAA" w:sz="1"/>
              <w:right w:val="single" w:color="AAAAAA" w:sz="1"/>
            </w:tcBorders>
            <w:shd w:fill="F2F9FF" w:val="clear"/>
            <w:tcMar>
              <w:top w:type="dxa" w:w="80"/>
              <w:left w:type="dxa" w:w="120"/>
              <w:bottom w:type="dxa" w:w="80"/>
              <w:right w:type="dxa" w:w="120"/>
            </w:tcMar>
          </w:tcPr>
          <w:p>
            <w:r>
              <w:rPr>
                <w:sz w:val="22"/>
                <w:szCs w:val="22"/>
              </w:rPr>
              <w:t xml:space="preserve">Grille à 3 critères (sens conservé / ton neutre / absence de menace implicite) pour chaque consigne. Utilisée pour le feedback individualisé.</w:t>
            </w:r>
          </w:p>
        </w:tc>
      </w:tr>
    </w:tbl>
    <w:p>
      <w:pPr>
        <w:spacing w:after="100" w:before="100"/>
      </w:pPr>
    </w:p>
    <w:p>
      <w:pPr>
        <w:spacing w:after="100" w:before="100"/>
      </w:pPr>
    </w:p>
    <w:p>
      <w:pPr>
        <w:pStyle w:val="Heading1"/>
        <w:spacing w:after="160" w:before="320"/>
      </w:pPr>
      <w:r>
        <w:rPr>
          <w:b/>
          <w:bCs/>
          <w:color w:val="2E4057"/>
          <w:sz w:val="28"/>
          <w:szCs w:val="28"/>
        </w:rPr>
        <w:t xml:space="preserve">Ressource pédagogique concrète — Fiche de réécriture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4057" w:val="clear"/>
            <w:tcMar>
              <w:top w:type="dxa" w:w="120"/>
              <w:left w:type="dxa" w:w="200"/>
              <w:bottom w:type="dxa" w:w="120"/>
              <w:right w:type="dxa" w:w="200"/>
            </w:tcMar>
          </w:tcPr>
          <w:p>
            <w:pPr>
              <w:jc w:val="center"/>
            </w:pPr>
            <w:r>
              <w:rPr>
                <w:b/>
                <w:bCs/>
                <w:color w:val="FFFFFF"/>
                <w:sz w:val="24"/>
                <w:szCs w:val="24"/>
              </w:rPr>
              <w:t xml:space="preserve">FICHE D'ACTIVITÉ — Reformuler pour déstresser</w:t>
            </w:r>
          </w:p>
        </w:tc>
      </w:tr>
      <w:tr>
        <w:tc>
          <w:tcPr>
            <w:tcW w:type="dxa" w:w="9026"/>
            <w:tcBorders>
              <w:top w:val="single" w:color="AAAAAA" w:sz="1"/>
              <w:left w:val="single" w:color="AAAAAA" w:sz="1"/>
              <w:bottom w:val="single" w:color="AAAAAA" w:sz="1"/>
              <w:right w:val="single" w:color="AAAAAA" w:sz="1"/>
            </w:tcBorders>
            <w:tcMar>
              <w:top w:type="dxa" w:w="100"/>
              <w:left w:type="dxa" w:w="200"/>
              <w:bottom w:type="dxa" w:w="100"/>
              <w:right w:type="dxa" w:w="200"/>
            </w:tcMar>
          </w:tcPr>
          <w:p>
            <w:pPr>
              <w:spacing w:after="60" w:before="60"/>
            </w:pPr>
            <w:r>
              <w:rPr>
                <w:i/>
                <w:iCs/>
                <w:sz w:val="22"/>
                <w:szCs w:val="22"/>
              </w:rPr>
              <w:t xml:space="preserve">Consigne générale : Réécrivez chaque consigne ci-dessous en conservant l'objectif pédagogique mais en supprimant les éléments susceptibles de créer du stress chez l'élève.</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26"/>
      </w:tblGrid>
      <w:tr>
        <w:tc>
          <w:tcPr>
            <w:tcW w:type="dxa" w:w="400"/>
            <w:tcBorders>
              <w:top w:val="single" w:color="AAAAAA" w:sz="1"/>
              <w:left w:val="single" w:color="AAAAAA" w:sz="1"/>
              <w:bottom w:val="single" w:color="AAAAAA" w:sz="1"/>
              <w:right w:val="single" w:color="AAAAAA" w:sz="1"/>
            </w:tcBorders>
            <w:shd w:fill="2E4057" w:val="clear"/>
            <w:tcMar>
              <w:top w:type="dxa" w:w="80"/>
              <w:left w:type="dxa" w:w="80"/>
              <w:bottom w:type="dxa" w:w="80"/>
              <w:right w:type="dxa" w:w="80"/>
            </w:tcMar>
          </w:tcPr>
          <w:p>
            <w:pPr>
              <w:jc w:val="center"/>
            </w:pPr>
            <w:r>
              <w:rPr>
                <w:b/>
                <w:bCs/>
                <w:color w:val="FFFFFF"/>
                <w:sz w:val="22"/>
                <w:szCs w:val="22"/>
              </w:rPr>
              <w:t xml:space="preserve">#</w:t>
            </w:r>
          </w:p>
        </w:tc>
        <w:tc>
          <w:tcPr>
            <w:tcW w:type="dxa" w:w="4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22"/>
                <w:szCs w:val="22"/>
              </w:rPr>
              <w:t xml:space="preserve">Consigne originale (à risque)</w:t>
            </w:r>
          </w:p>
        </w:tc>
        <w:tc>
          <w:tcPr>
            <w:tcW w:type="dxa" w:w="44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22"/>
                <w:szCs w:val="22"/>
              </w:rPr>
              <w:t xml:space="preserve">Ma reformulation neutre</w:t>
            </w:r>
          </w:p>
        </w:tc>
      </w:tr>
      <w:tr>
        <w:tc>
          <w:tcPr>
            <w:tcW w:type="dxa" w:w="400"/>
            <w:tcBorders>
              <w:top w:val="single" w:color="AAAAAA" w:sz="1"/>
              <w:left w:val="single" w:color="AAAAAA" w:sz="1"/>
              <w:bottom w:val="single" w:color="AAAAAA" w:sz="1"/>
              <w:right w:val="single" w:color="AAAAAA" w:sz="1"/>
            </w:tcBorders>
            <w:shd w:fill="FFE8E8" w:val="clear"/>
            <w:tcMar>
              <w:top w:type="dxa" w:w="80"/>
              <w:left w:type="dxa" w:w="80"/>
              <w:bottom w:type="dxa" w:w="80"/>
              <w:right w:type="dxa" w:w="80"/>
            </w:tcMar>
          </w:tcPr>
          <w:p>
            <w:pPr>
              <w:jc w:val="center"/>
            </w:pPr>
            <w:r>
              <w:rPr>
                <w:b/>
                <w:bCs/>
                <w:sz w:val="22"/>
                <w:szCs w:val="22"/>
              </w:rPr>
              <w:t xml:space="preserve">1</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i/>
                <w:iCs/>
                <w:sz w:val="22"/>
                <w:szCs w:val="22"/>
              </w:rPr>
              <w:t xml:space="preserve">« Attention, c'est noté et ça compte pour votre bulletin. Ne faites pas d'erreurs. »</w:t>
            </w:r>
          </w:p>
        </w:tc>
        <w:tc>
          <w:tcPr>
            <w:tcW w:type="dxa" w:w="4426"/>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sz w:val="22"/>
                <w:szCs w:val="22"/>
              </w:rPr>
              <w:t xml:space="preserve"/>
            </w:r>
          </w:p>
        </w:tc>
      </w:tr>
      <w:tr>
        <w:tc>
          <w:tcPr>
            <w:tcW w:type="dxa" w:w="400"/>
            <w:tcBorders>
              <w:top w:val="single" w:color="AAAAAA" w:sz="1"/>
              <w:left w:val="single" w:color="AAAAAA" w:sz="1"/>
              <w:bottom w:val="single" w:color="AAAAAA" w:sz="1"/>
              <w:right w:val="single" w:color="AAAAAA" w:sz="1"/>
            </w:tcBorders>
            <w:shd w:fill="FFE8E8" w:val="clear"/>
            <w:tcMar>
              <w:top w:type="dxa" w:w="80"/>
              <w:left w:type="dxa" w:w="80"/>
              <w:bottom w:type="dxa" w:w="80"/>
              <w:right w:type="dxa" w:w="80"/>
            </w:tcMar>
          </w:tcPr>
          <w:p>
            <w:pPr>
              <w:jc w:val="center"/>
            </w:pPr>
            <w:r>
              <w:rPr>
                <w:b/>
                <w:bCs/>
                <w:sz w:val="22"/>
                <w:szCs w:val="22"/>
              </w:rPr>
              <w:t xml:space="preserve">2</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i/>
                <w:iCs/>
                <w:sz w:val="22"/>
                <w:szCs w:val="22"/>
              </w:rPr>
              <w:t xml:space="preserve">« Vous avez un contrôle vendredi. Ceux qui n'ont pas travaillé vont le sentir. »</w:t>
            </w:r>
          </w:p>
        </w:tc>
        <w:tc>
          <w:tcPr>
            <w:tcW w:type="dxa" w:w="4426"/>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sz w:val="22"/>
                <w:szCs w:val="22"/>
              </w:rPr>
              <w:t xml:space="preserve"/>
            </w:r>
          </w:p>
        </w:tc>
      </w:tr>
      <w:tr>
        <w:tc>
          <w:tcPr>
            <w:tcW w:type="dxa" w:w="400"/>
            <w:tcBorders>
              <w:top w:val="single" w:color="AAAAAA" w:sz="1"/>
              <w:left w:val="single" w:color="AAAAAA" w:sz="1"/>
              <w:bottom w:val="single" w:color="AAAAAA" w:sz="1"/>
              <w:right w:val="single" w:color="AAAAAA" w:sz="1"/>
            </w:tcBorders>
            <w:shd w:fill="FFE8E8" w:val="clear"/>
            <w:tcMar>
              <w:top w:type="dxa" w:w="80"/>
              <w:left w:type="dxa" w:w="80"/>
              <w:bottom w:type="dxa" w:w="80"/>
              <w:right w:type="dxa" w:w="80"/>
            </w:tcMar>
          </w:tcPr>
          <w:p>
            <w:pPr>
              <w:jc w:val="center"/>
            </w:pPr>
            <w:r>
              <w:rPr>
                <w:b/>
                <w:bCs/>
                <w:sz w:val="22"/>
                <w:szCs w:val="22"/>
              </w:rPr>
              <w:t xml:space="preserve">3</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i/>
                <w:iCs/>
                <w:sz w:val="22"/>
                <w:szCs w:val="22"/>
              </w:rPr>
              <w:t xml:space="preserve">« Je rends les copies. Certains d'entre vous ont beaucoup à améliorer, c'est décevant. »</w:t>
            </w:r>
          </w:p>
        </w:tc>
        <w:tc>
          <w:tcPr>
            <w:tcW w:type="dxa" w:w="4426"/>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sz w:val="22"/>
                <w:szCs w:val="22"/>
              </w:rPr>
              <w:t xml:space="preserve"/>
            </w:r>
          </w:p>
        </w:tc>
      </w:tr>
      <w:tr>
        <w:tc>
          <w:tcPr>
            <w:tcW w:type="dxa" w:w="400"/>
            <w:tcBorders>
              <w:top w:val="single" w:color="AAAAAA" w:sz="1"/>
              <w:left w:val="single" w:color="AAAAAA" w:sz="1"/>
              <w:bottom w:val="single" w:color="AAAAAA" w:sz="1"/>
              <w:right w:val="single" w:color="AAAAAA" w:sz="1"/>
            </w:tcBorders>
            <w:shd w:fill="FFE8E8" w:val="clear"/>
            <w:tcMar>
              <w:top w:type="dxa" w:w="80"/>
              <w:left w:type="dxa" w:w="80"/>
              <w:bottom w:type="dxa" w:w="80"/>
              <w:right w:type="dxa" w:w="80"/>
            </w:tcMar>
          </w:tcPr>
          <w:p>
            <w:pPr>
              <w:jc w:val="center"/>
            </w:pPr>
            <w:r>
              <w:rPr>
                <w:b/>
                <w:bCs/>
                <w:sz w:val="22"/>
                <w:szCs w:val="22"/>
              </w:rPr>
              <w:t xml:space="preserve">4</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i/>
                <w:iCs/>
                <w:sz w:val="22"/>
                <w:szCs w:val="22"/>
              </w:rPr>
              <w:t xml:space="preserve">« Dépêchez-vous, vous avez 5 minutes pour finir, après je ramasse tout. »</w:t>
            </w:r>
          </w:p>
        </w:tc>
        <w:tc>
          <w:tcPr>
            <w:tcW w:type="dxa" w:w="4426"/>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sz w:val="22"/>
                <w:szCs w:val="22"/>
              </w:rPr>
              <w:t xml:space="preserve"/>
            </w:r>
          </w:p>
        </w:tc>
      </w:tr>
    </w:tbl>
    <w:p>
      <w:pPr>
        <w:spacing w:after="100" w:before="100"/>
      </w:pPr>
    </w:p>
    <w:p>
      <w:pPr>
        <w:spacing w:after="80" w:before="80"/>
      </w:pPr>
      <w:r>
        <w:rPr>
          <w:i/>
          <w:iCs/>
          <w:sz w:val="22"/>
          <w:szCs w:val="22"/>
        </w:rPr>
        <w:t xml:space="preserve">Note : La consigne 4 fait également le lien avec les résultats de Prokofieva et al. (2017), qui montrent que la limitation temporelle, indépendamment de la notation, constitue un stresseur significatif chez les élèves.</w:t>
      </w:r>
    </w:p>
    <w:p>
      <w:pPr>
        <w:spacing w:after="100" w:before="100"/>
      </w:pPr>
    </w:p>
    <w:p>
      <w:pPr>
        <w:pStyle w:val="Heading1"/>
        <w:spacing w:after="160" w:before="320"/>
      </w:pPr>
      <w:r>
        <w:rPr>
          <w:b/>
          <w:bCs/>
          <w:color w:val="2E4057"/>
          <w:sz w:val="28"/>
          <w:szCs w:val="28"/>
        </w:rPr>
        <w:t xml:space="preserve">6. Modalités permettant de vérifier que l'activité prépare la performance attendue</w:t>
      </w:r>
    </w:p>
    <w:p>
      <w:pPr>
        <w:spacing w:after="80" w:before="80"/>
      </w:pPr>
      <w:r>
        <w:rPr>
          <w:sz w:val="22"/>
          <w:szCs w:val="22"/>
        </w:rPr>
        <w:t xml:space="preserve">La vérification de l'adéquation entre l'activité et la performance attendue repose sur plusieurs niveaux :</w:t>
      </w:r>
    </w:p>
    <w:p>
      <w:pPr>
        <w:pStyle w:val="Heading2"/>
        <w:spacing w:after="120" w:before="240"/>
      </w:pPr>
      <w:r>
        <w:rPr>
          <w:b/>
          <w:bCs/>
          <w:color w:val="1C6EA4"/>
          <w:sz w:val="24"/>
          <w:szCs w:val="24"/>
        </w:rPr>
        <w:t xml:space="preserve">Vérification immédiate (feedback formateur)</w:t>
      </w:r>
    </w:p>
    <w:p>
      <w:pPr>
        <w:pStyle w:val="ListParagraph"/>
        <w:numPr>
          <w:ilvl w:val="0"/>
          <w:numId w:val="2"/>
        </w:numPr>
        <w:spacing w:after="60" w:before="60"/>
      </w:pPr>
      <w:r>
        <w:rPr>
          <w:sz w:val="22"/>
          <w:szCs w:val="22"/>
        </w:rPr>
        <w:t xml:space="preserve">Le formateur corrige les 4 reformulations selon la grille à 3 critères : sens pédagogique conservé, ton neutre, absence de menace implicite.</w:t>
      </w:r>
    </w:p>
    <w:p>
      <w:pPr>
        <w:pStyle w:val="ListParagraph"/>
        <w:numPr>
          <w:ilvl w:val="0"/>
          <w:numId w:val="2"/>
        </w:numPr>
        <w:spacing w:after="60" w:before="60"/>
      </w:pPr>
      <w:r>
        <w:rPr>
          <w:sz w:val="22"/>
          <w:szCs w:val="22"/>
        </w:rPr>
        <w:t xml:space="preserve">Un score de 3/4 reformulations validées est le seuil de réussite de l'activité.</w:t>
      </w:r>
    </w:p>
    <w:p>
      <w:pPr>
        <w:pStyle w:val="Heading2"/>
        <w:spacing w:after="120" w:before="240"/>
      </w:pPr>
      <w:r>
        <w:rPr>
          <w:b/>
          <w:bCs/>
          <w:color w:val="1C6EA4"/>
          <w:sz w:val="24"/>
          <w:szCs w:val="24"/>
        </w:rPr>
        <w:t xml:space="preserve">Cohérence avec la tâche de performance réelle</w:t>
      </w:r>
    </w:p>
    <w:p>
      <w:pPr>
        <w:spacing w:after="80" w:before="80"/>
      </w:pPr>
      <w:r>
        <w:rPr>
          <w:sz w:val="22"/>
          <w:szCs w:val="22"/>
        </w:rPr>
        <w:t xml:space="preserve">La tâche simulée (reformuler des consignes sur une fiche) est directement transférable à la situation authentique (annoncer une note ou une date d'examen en classe). Le contenu des consignes proposées (notes, bulletins, contrôles) correspond aux situations à risque identifiées dans le contexte de classe 7–8H.</w:t>
      </w:r>
    </w:p>
    <w:p>
      <w:pPr>
        <w:pStyle w:val="Heading2"/>
        <w:spacing w:after="120" w:before="240"/>
      </w:pPr>
      <w:r>
        <w:rPr>
          <w:b/>
          <w:bCs/>
          <w:color w:val="1C6EA4"/>
          <w:sz w:val="24"/>
          <w:szCs w:val="24"/>
        </w:rPr>
        <w:t xml:space="preserve">Articulation avec les autres activités de la séquence</w:t>
      </w:r>
    </w:p>
    <w:p>
      <w:pPr>
        <w:spacing w:after="80" w:before="80"/>
      </w:pPr>
      <w:r>
        <w:rPr>
          <w:sz w:val="22"/>
          <w:szCs w:val="22"/>
        </w:rPr>
        <w:t xml:space="preserve">Cette activité se situe après la séance de détection des signaux de stress (tâche 3–4 du cahier des charges). Elle constitue un premier passage à l'action concret, avant les activités de jeu de rôle (tâches 6 et 8) qui mettent en œuvre des compétences communicationnelles plus complexes.</w:t>
      </w:r>
    </w:p>
    <w:p>
      <w:pPr>
        <w:pStyle w:val="Heading2"/>
        <w:spacing w:after="120" w:before="240"/>
      </w:pPr>
      <w:r>
        <w:rPr>
          <w:b/>
          <w:bCs/>
          <w:color w:val="1C6EA4"/>
          <w:sz w:val="24"/>
          <w:szCs w:val="24"/>
        </w:rPr>
        <w:t xml:space="preserve">Lien avec la recherche</w:t>
      </w:r>
    </w:p>
    <w:p>
      <w:pPr>
        <w:spacing w:after="80" w:before="80"/>
      </w:pPr>
      <w:r>
        <w:rPr>
          <w:sz w:val="22"/>
          <w:szCs w:val="22"/>
        </w:rPr>
        <w:t xml:space="preserve">Prokofieva et al. (2017) confirment que les consignes évaluatives sont des stresseurs prévisibles et inévitables (au sens d'Elkind, 1986, cité dans l'article), c'est-à-dire des situations que l'enseignant peut anticiper et préparer. Travailler la formulation en formation permet donc d'agir en amont sur l'une des principales sources de stress scolaire identifiées dans la littérature.</w:t>
      </w:r>
    </w:p>
    <w:p>
      <w:pPr>
        <w:spacing w:after="100" w:before="100"/>
      </w:pPr>
    </w:p>
    <w:p>
      <w:pPr>
        <w:pBdr>
          <w:top w:val="single" w:color="2E4057" w:sz="4"/>
        </w:pBdr>
        <w:spacing w:after="60" w:before="200"/>
      </w:pPr>
      <w:r>
        <w:rPr>
          <w:b/>
          <w:bCs/>
          <w:color w:val="2E4057"/>
          <w:sz w:val="22"/>
          <w:szCs w:val="22"/>
        </w:rPr>
        <w:t xml:space="preserve">Référence bibliographique</w:t>
      </w:r>
    </w:p>
    <w:p>
      <w:pPr>
        <w:spacing w:after="80" w:before="80"/>
      </w:pPr>
      <w:r>
        <w:rPr>
          <w:sz w:val="22"/>
          <w:szCs w:val="22"/>
        </w:rPr>
        <w:t xml:space="preserve">Prokofieva, V., Brandt-Pomares, P., Velay, J.-L., Hérold, J.-F. et Kostromina, S. (2017). Stress de l'évaluation scolaire : un nouveau regard sur un problème ancien. Recherches &amp; éducations, 18. https://doi.org/10.4000/rechercheseducations.4657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C6E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2026-04-02T13:24:00.532Z</dcterms:created>
  <dcterms:modified xsi:type="dcterms:W3CDTF">2026-04-02T13:24:00.533Z</dcterms:modified>
</cp:coreProperties>
</file>

<file path=docProps/custom.xml><?xml version="1.0" encoding="utf-8"?>
<Properties xmlns="http://schemas.openxmlformats.org/officeDocument/2006/custom-properties" xmlns:vt="http://schemas.openxmlformats.org/officeDocument/2006/docPropsVTypes"/>
</file>