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Objective Neurocognitive Endpoints in Randomized Glioblastoma and High-Grade Glioma Trials: A Cross-Sectional Registry Analysis</w:t>
      </w:r>
    </w:p>
    <w:p>
      <w:pPr>
        <w:jc w:val="center"/>
      </w:pPr>
      <w:r>
        <w:rPr>
          <w:rFonts w:ascii="Times New Roman" w:hAnsi="Times New Roman"/>
          <w:i w:val="0"/>
          <w:sz w:val="22"/>
        </w:rPr>
        <w:t>Mubashir Ahmad Khan, MBBS</w:t>
      </w:r>
    </w:p>
    <w:p>
      <w:pPr>
        <w:jc w:val="center"/>
      </w:pPr>
      <w:r>
        <w:rPr>
          <w:rFonts w:ascii="Times New Roman" w:hAnsi="Times New Roman"/>
          <w:i w:val="0"/>
          <w:sz w:val="22"/>
        </w:rPr>
        <w:t>Independent Researcher</w:t>
      </w:r>
    </w:p>
    <w:p>
      <w:pPr>
        <w:jc w:val="center"/>
      </w:pPr>
      <w:r>
        <w:rPr>
          <w:rFonts w:ascii="Times New Roman" w:hAnsi="Times New Roman"/>
          <w:i w:val="0"/>
          <w:sz w:val="22"/>
          <w:highlight w:val="yellow"/>
        </w:rPr>
        <w:t>[CITY, COUNTRY REQUIRED]</w:t>
      </w:r>
    </w:p>
    <w:p/>
    <w:p>
      <w:r>
        <w:rPr>
          <w:rFonts w:ascii="Times New Roman" w:hAnsi="Times New Roman"/>
          <w:i w:val="0"/>
          <w:sz w:val="22"/>
        </w:rPr>
        <w:t>Running title: Neurocognitive endpoints in glioma trials</w:t>
      </w:r>
    </w:p>
    <w:p>
      <w:r>
        <w:rPr>
          <w:rFonts w:ascii="Times New Roman" w:hAnsi="Times New Roman"/>
          <w:i w:val="0"/>
          <w:sz w:val="22"/>
        </w:rPr>
        <w:t>Manuscript type: Original Clinical Study (Registry Analysis)</w:t>
      </w:r>
    </w:p>
    <w:p>
      <w:r>
        <w:rPr>
          <w:rFonts w:ascii="Times New Roman" w:hAnsi="Times New Roman"/>
          <w:i w:val="0"/>
          <w:sz w:val="22"/>
        </w:rPr>
        <w:t>Abstract word count: 241</w:t>
      </w:r>
    </w:p>
    <w:p>
      <w:r>
        <w:rPr>
          <w:rFonts w:ascii="Times New Roman" w:hAnsi="Times New Roman"/>
          <w:i w:val="0"/>
          <w:sz w:val="22"/>
        </w:rPr>
        <w:t>Main-text word count: 2701</w:t>
      </w:r>
    </w:p>
    <w:p>
      <w:r>
        <w:rPr>
          <w:rFonts w:ascii="Times New Roman" w:hAnsi="Times New Roman"/>
          <w:i w:val="0"/>
          <w:sz w:val="22"/>
        </w:rPr>
        <w:t>Main tables: 2</w:t>
      </w:r>
    </w:p>
    <w:p>
      <w:r>
        <w:rPr>
          <w:rFonts w:ascii="Times New Roman" w:hAnsi="Times New Roman"/>
          <w:i w:val="0"/>
          <w:sz w:val="22"/>
        </w:rPr>
        <w:t>Main figures: 5</w:t>
      </w:r>
    </w:p>
    <w:p>
      <w:r>
        <w:rPr>
          <w:rFonts w:ascii="Times New Roman" w:hAnsi="Times New Roman"/>
          <w:i w:val="0"/>
          <w:sz w:val="22"/>
        </w:rPr>
        <w:t>Supplementary tables: 3</w:t>
      </w:r>
    </w:p>
    <w:p>
      <w:r>
        <w:rPr>
          <w:rFonts w:ascii="Times New Roman" w:hAnsi="Times New Roman"/>
          <w:i w:val="0"/>
          <w:sz w:val="22"/>
        </w:rPr>
        <w:t>Supplementary figures: 2</w:t>
      </w:r>
    </w:p>
    <w:p>
      <w:r>
        <w:rPr>
          <w:rFonts w:ascii="Times New Roman" w:hAnsi="Times New Roman"/>
          <w:i w:val="0"/>
          <w:sz w:val="22"/>
        </w:rPr>
        <w:t>References: 19</w:t>
      </w:r>
    </w:p>
    <w:p/>
    <w:p>
      <w:r>
        <w:rPr>
          <w:rFonts w:ascii="Times New Roman" w:hAnsi="Times New Roman"/>
          <w:i w:val="0"/>
          <w:sz w:val="22"/>
        </w:rPr>
        <w:t>Corresponding author: Mubashir Ahmad Khan, MBBS</w:t>
      </w:r>
    </w:p>
    <w:p>
      <w:r>
        <w:rPr>
          <w:rFonts w:ascii="Times New Roman" w:hAnsi="Times New Roman"/>
          <w:i w:val="0"/>
          <w:sz w:val="22"/>
          <w:highlight w:val="yellow"/>
        </w:rPr>
        <w:t>[CORRESPONDENCE REQUIRED: full postal address, email, telephone]</w:t>
      </w:r>
    </w:p>
    <w:p>
      <w:r>
        <w:br w:type="page"/>
      </w:r>
    </w:p>
    <w:p>
      <w:pPr>
        <w:pStyle w:val="Heading1"/>
      </w:pPr>
      <w:r>
        <w:t>Abstract</w:t>
      </w:r>
    </w:p>
    <w:p>
      <w:r>
        <w:rPr>
          <w:rFonts w:ascii="Times New Roman" w:hAnsi="Times New Roman"/>
          <w:b/>
          <w:sz w:val="22"/>
        </w:rPr>
        <w:t xml:space="preserve">Purpose. </w:t>
      </w:r>
      <w:r>
        <w:rPr>
          <w:rFonts w:ascii="Times New Roman" w:hAnsi="Times New Roman"/>
          <w:sz w:val="22"/>
        </w:rPr>
        <w:t>Objective cognitive function is clinically important in glioblastoma, but its position in randomized trial endpoint frameworks is uncertain. We quantified registration of objective neurocognitive outcomes (NCOs), compared it with health-related quality of life (HRQoL), and examined associated trial characteristics across therapeutic modalities.</w:t>
      </w:r>
    </w:p>
    <w:p>
      <w:r>
        <w:rPr>
          <w:rFonts w:ascii="Times New Roman" w:hAnsi="Times New Roman"/>
          <w:b/>
          <w:sz w:val="22"/>
        </w:rPr>
        <w:t xml:space="preserve">Methods. </w:t>
      </w:r>
      <w:r>
        <w:rPr>
          <w:rFonts w:ascii="Times New Roman" w:hAnsi="Times New Roman"/>
          <w:sz w:val="22"/>
        </w:rPr>
        <w:t>We analyzed 289 randomized phase II, II/III, and III therapeutic trials enrolling glioblastoma or high-grade glioma. An NCO required a recognized neuropsychological instrument or a named cognitive domain. Wilson intervals, paired discordance testing, Firth penalized logistic regression, modality-stratified prevalence, a clustered outcome-domain interaction model, E-values, and era-stratified temporal analysis were used.</w:t>
      </w:r>
    </w:p>
    <w:p>
      <w:r>
        <w:rPr>
          <w:rFonts w:ascii="Times New Roman" w:hAnsi="Times New Roman"/>
          <w:b/>
          <w:sz w:val="22"/>
        </w:rPr>
        <w:t xml:space="preserve">Results. </w:t>
      </w:r>
      <w:r>
        <w:rPr>
          <w:rFonts w:ascii="Times New Roman" w:hAnsi="Times New Roman"/>
          <w:sz w:val="22"/>
        </w:rPr>
        <w:t>Among 289 trials, 39 registered an NCO (13.5%; 95% CI, 10.0%-17.9%), including 2 as primary. HRQoL was registered in 105 of 282 complete cases (37.2%; 95% CI, 31.8%-43.0%). Seventy trials registered HRQoL without an NCO and 4 registered an NCO without HRQoL (McNemar P&lt;.001). NCO registration was 19.5% in radiation-containing trials and 6.9% in immunotherapy trials. Academic sponsorship (OR, 2.94; P=.010) and government/cooperative sponsorship (OR, 3.55; P=.030) were associated with NCO registration, but the sponsor-by-domain interaction was not significant (P=.389). Post-2010 registration did not improve (OR, 0.99/year; P=.876).</w:t>
      </w:r>
    </w:p>
    <w:p>
      <w:r>
        <w:rPr>
          <w:rFonts w:ascii="Times New Roman" w:hAnsi="Times New Roman"/>
          <w:b/>
          <w:sz w:val="22"/>
        </w:rPr>
        <w:t xml:space="preserve">Conclusion. </w:t>
      </w:r>
      <w:r>
        <w:rPr>
          <w:rFonts w:ascii="Times New Roman" w:hAnsi="Times New Roman"/>
          <w:sz w:val="22"/>
        </w:rPr>
        <w:t>Objective cognition was registered less often than HRQoL, was rarely prioritized, and showed modality-specific shortfalls. Adjusted sponsor associations were exploratory and not demonstrably cognition-specific. Standardized registration audits and feasibility-tested cognitive batteries should be evaluated prospectively.</w:t>
      </w:r>
    </w:p>
    <w:p>
      <w:pPr>
        <w:spacing w:line="360" w:lineRule="auto"/>
      </w:pPr>
      <w:r>
        <w:rPr>
          <w:rFonts w:ascii="Times New Roman" w:hAnsi="Times New Roman"/>
          <w:b/>
          <w:sz w:val="22"/>
        </w:rPr>
        <w:t xml:space="preserve">Keywords: </w:t>
      </w:r>
      <w:r>
        <w:rPr>
          <w:rFonts w:ascii="Times New Roman" w:hAnsi="Times New Roman"/>
          <w:sz w:val="22"/>
        </w:rPr>
        <w:t>glioblastoma; high-grade glioma; neurocognition; clinical trials; outcomes</w:t>
      </w:r>
    </w:p>
    <w:p>
      <w:pPr>
        <w:pStyle w:val="Heading1"/>
      </w:pPr>
      <w:r>
        <w:t>Introduction</w:t>
      </w:r>
    </w:p>
    <w:p>
      <w:r>
        <w:rPr>
          <w:rFonts w:ascii="Times New Roman" w:hAnsi="Times New Roman"/>
          <w:i w:val="0"/>
          <w:sz w:val="22"/>
        </w:rPr>
        <w:t>Cognitive impairment is a frequent and functionally consequential feature of glioblastoma and may reflect tumor burden, treatment effects, comorbidity, or their interaction [1]. Objective cognitive change can also provide information that is not captured by survival, radiographic response, performance status, or symptom reporting. For patients living with a brain tumor, preservation of memory, attention, processing speed, language, and executive function may be central to maintaining independence.</w:t>
      </w:r>
    </w:p>
    <w:p>
      <w:r>
        <w:rPr>
          <w:rFonts w:ascii="Times New Roman" w:hAnsi="Times New Roman"/>
          <w:i w:val="0"/>
          <w:sz w:val="22"/>
        </w:rPr>
        <w:t>Nevertheless, objective cognition has not been consistently integrated into brain-tumor trials. A systematic review of randomized brain-tumor trials found substantial limitations in neurocognitive reporting among studies that had already selected a cognitive outcome [2]. Parallel work documented incomplete reporting of patient-reported outcomes [3]. These studies addressed reporting after an outcome had entered a protocol or publication; they did not quantify nonselection of objective cognition across the broader randomized therapeutic landscape or compare objective cognition with HRQoL within the same trial registrations.</w:t>
      </w:r>
    </w:p>
    <w:p>
      <w:r>
        <w:rPr>
          <w:rFonts w:ascii="Times New Roman" w:hAnsi="Times New Roman"/>
          <w:i w:val="0"/>
          <w:sz w:val="22"/>
        </w:rPr>
        <w:t>Objective neuropsychological performance and self-reported HRQoL are related but noninterchangeable constructs. International recommendations support harmonized cognitive measurement in cancer research [9], and neuro-oncology investigators have described the value of standardized batteries in clinical trials [10]. Conversely, instruments such as the EORTC QLQ-C30 and QLQ-BN20 measure patient-reported function and symptoms [14,15], while performance-status and neurological examination scales do not constitute objective cognitive testing [13]. A trial may therefore assess HRQoL appropriately while leaving objective cognition unmeasured.</w:t>
      </w:r>
    </w:p>
    <w:p>
      <w:r>
        <w:rPr>
          <w:rFonts w:ascii="Times New Roman" w:hAnsi="Times New Roman"/>
          <w:i w:val="0"/>
          <w:sz w:val="22"/>
        </w:rPr>
        <w:t>We examined the registration of objective NCOs in a retained cohort of randomized phase II/III therapeutic trials enrolling patients with glioblastoma or malignant high-grade glioma across all major therapeutic modalities. The primary objectives were to estimate NCO registration, quantify paired NCO-HRQoL discordance within trials, and assess associations with prespecified trial characteristics. Secondary objectives were to estimate modality-stratified registration, test a stricter instrument-confirmed NCO definition, compare NCO and HRQoL association patterns formally, summarize E-values for key adjusted associations, and evaluate whether NCO registration changed after 2010.</w:t>
      </w:r>
    </w:p>
    <w:p>
      <w:pPr>
        <w:pStyle w:val="Heading1"/>
      </w:pPr>
      <w:r>
        <w:t>Materials and Methods</w:t>
      </w:r>
    </w:p>
    <w:p>
      <w:pPr>
        <w:pStyle w:val="Heading2"/>
      </w:pPr>
      <w:r>
        <w:t>Study design and reporting</w:t>
      </w:r>
    </w:p>
    <w:p>
      <w:r>
        <w:rPr>
          <w:rFonts w:ascii="Times New Roman" w:hAnsi="Times New Roman"/>
          <w:i w:val="0"/>
          <w:sz w:val="22"/>
        </w:rPr>
        <w:t>This cross-sectional registry study used the trial record as the unit of analysis. Reporting was guided by STROBE principles [5]. Because only publicly available trial-registration information was analyzed and no participant-level data were obtained, institutional review board review and informed consent were not required.</w:t>
      </w:r>
    </w:p>
    <w:p>
      <w:pPr>
        <w:pStyle w:val="Heading2"/>
      </w:pPr>
      <w:r>
        <w:t>Data sources and cohort derivation</w:t>
      </w:r>
    </w:p>
    <w:p>
      <w:r>
        <w:rPr>
          <w:rFonts w:ascii="Times New Roman" w:hAnsi="Times New Roman"/>
          <w:i w:val="0"/>
          <w:sz w:val="22"/>
        </w:rPr>
        <w:t>Trial records had been identified from ClinicalTrials.gov and international trial registries through July 2026 and reconciled using registry identifiers and sponsor-protocol numbers. The retained adjudication matrix contained 316 candidate records: 289 were assigned to the primary analytic cohort, 20 supportive or nontherapeutic records were excluded, 6 records were excluded for population eligibility, and 1 record was excluded after adjudication. The primary cohort comprised 275 ClinicalTrials.gov records and 14 international-only records. Source-level records rejected during the initial international searches were not retained; consequently, the reproducible cohort flow begins with the 316-record adjudication matrix rather than all historical search hits.</w:t>
      </w:r>
    </w:p>
    <w:p>
      <w:pPr>
        <w:pStyle w:val="Heading2"/>
      </w:pPr>
      <w:r>
        <w:t>Eligibility criteria</w:t>
      </w:r>
    </w:p>
    <w:p>
      <w:r>
        <w:rPr>
          <w:rFonts w:ascii="Times New Roman" w:hAnsi="Times New Roman"/>
          <w:i w:val="0"/>
          <w:sz w:val="22"/>
        </w:rPr>
        <w:t>Eligible records described randomized, interventional phase II, phase II/III, or phase III therapeutic trials enrolling glioblastoma or malignant high-grade glioma. Therapeutic modalities included surgery, radiation, cytotoxic chemotherapy, targeted or small-molecule treatment, tumor-treating fields, immunotherapy, and combinations [8,16,17]. No age restriction was applied in the primary cohort. Nonrandomized, phase 0/I, observational, diagnostic, supportive-care-only, low-grade-glioma-only, brain-metastasis-only, and pan-cancer records without a distinct randomized glioma cohort were excluded. Trials enrolling mixed high-grade glioma were retained and flagged; a strict-glioblastoma sensitivity analysis was prespecified.</w:t>
      </w:r>
    </w:p>
    <w:p>
      <w:pPr>
        <w:pStyle w:val="Heading2"/>
      </w:pPr>
      <w:r>
        <w:t>Outcome definitions</w:t>
      </w:r>
    </w:p>
    <w:p>
      <w:r>
        <w:rPr>
          <w:rFonts w:ascii="Times New Roman" w:hAnsi="Times New Roman"/>
          <w:i w:val="0"/>
          <w:sz w:val="22"/>
        </w:rPr>
        <w:t>The primary NCO definition required registration of a recognized objective neuropsychological instrument (for example, the Mini-Mental State Examination, Montreal Cognitive Assessment, Hopkins Verbal Learning Test-Revised, Trail Making Test, or Controlled Oral Word Association Test) or a named cognitive domain described in an objective assessment context. Performance-status scales, the Neurologic Assessment in Neuro-Oncology scale, and subjective cognitive items embedded in HRQoL instruments were not counted as objective NCOs [13-15]. Because four NCO-positive records named a cognitive domain without identifying an instrument, an instrument-confirmed sensitivity definition reclassified those records as NCO-negative. NCO designation was categorized as primary, secondary, or exploratory.</w:t>
      </w:r>
    </w:p>
    <w:p>
      <w:pPr>
        <w:pStyle w:val="Heading2"/>
      </w:pPr>
      <w:r>
        <w:t>HRQoL and trial characteristics</w:t>
      </w:r>
    </w:p>
    <w:p>
      <w:r>
        <w:rPr>
          <w:rFonts w:ascii="Times New Roman" w:hAnsi="Times New Roman"/>
          <w:i w:val="0"/>
          <w:sz w:val="22"/>
        </w:rPr>
        <w:t>HRQoL registration required a validated patient-reported HRQoL or symptom instrument, including the EORTC QLQ-C30/BN20, FACT-Br, MDASI-BT, EQ-5D, or PROMIS. Seven international records lacked sufficient information for HRQoL classification and were coded as missing rather than negative. Extracted characteristics included phase, registration year, sponsor class, intervention modality, registry source, trial status, planned enrollment, strict-glioblastoma population, and outcome designation. Sponsorship was classified as industry, academic/investigator-initiated, or government/cooperative group. Radiation-containing interventions were identified from the modality field.</w:t>
      </w:r>
    </w:p>
    <w:p>
      <w:pPr>
        <w:pStyle w:val="Heading2"/>
      </w:pPr>
      <w:r>
        <w:t>Statistical analysis</w:t>
      </w:r>
    </w:p>
    <w:p>
      <w:r>
        <w:rPr>
          <w:rFonts w:ascii="Times New Roman" w:hAnsi="Times New Roman"/>
          <w:i w:val="0"/>
          <w:sz w:val="22"/>
        </w:rPr>
        <w:t>Proportions are reported with Wilson 95% confidence intervals. Table 1 comparisons used one overall test per characteristic (Fisher exact tests for categorical variables; Wilcoxon rank-sum for planned enrollment). Within-trial NCO-HRQoL discordance was evaluated with an uncorrected McNemar test among complete cases; the absolute prevalence difference was given a bootstrap 95% confidence interval (2000 resamples). The primary multivariable model included phase, sponsor class, centered registration year, radiation-containing intervention, and registry source. Because none of the 14 international-only records registered an NCO, ordinary logistic regression exhibited separation; associations were therefore estimated with Firth penalized-likelihood logistic regression, profile penalized-likelihood confidence intervals, and penalized likelihood-ratio P values [18,19]. A nested penalized likelihood-ratio test evaluated whether sponsor class added information beyond the other covariates. Apparent discrimination was summarized with the area under the receiver-operating-characteristic curve and Brier score; optimism-corrected AUC was obtained by Harrell bootstrap (400 replicates). Sponsor-specific adjusted probabilities were estimated by marginal standardization.</w:t>
      </w:r>
    </w:p>
    <w:p>
      <w:pPr>
        <w:pStyle w:val="Heading2"/>
      </w:pPr>
      <w:r>
        <w:t>Comparative, modality, and sensitivity analyses</w:t>
      </w:r>
    </w:p>
    <w:p>
      <w:r>
        <w:rPr>
          <w:rFonts w:ascii="Times New Roman" w:hAnsi="Times New Roman"/>
          <w:i w:val="0"/>
          <w:sz w:val="22"/>
        </w:rPr>
        <w:t>The same Firth model was fitted for HRQoL among complete cases. To test rather than assume that sponsorship operated differently for NCO and HRQoL, the two outcomes were stacked within trial and analyzed with a logistic model containing outcome-domain-by-sponsor interactions and trial-clustered robust covariance; the joint two-degree-of-freedom interaction was the prespecified specificity test. Modality-stratified NCO prevalence was estimated for trials containing radiation, cytotoxic chemotherapy, immunotherapy, targeted therapy, surgery, or tumor-treating fields; trials could contribute to more than one modality stratum. Among NCO-positive trials, registered instruments were mapped to the International Cognition and Cancer Task Force (ICCTF) core of HVLT-R, Trail Making Test, and COWAT [9]. E-values were calculated for primary NCO associations. Temporal analysis was restricted to ClinicalTrials.gov records: a binomial GAM described the overall time trend, a Firth model estimated the post-2010 annual slope, and centered 5-year rolling percentages compared industry with non-industry trials in windows with at least 12 records. Sensitivity analyses used the instrument-confirmed NCO definition, restricted the cohort to strict glioblastoma, excluded four pediatric-title records, restricted to ClinicalTrials.gov, and adjusted for log2 planned enrollment. These analyses were treated as exploratory; no multiplicity-adjusted confirmatory claims were made. Two-sided P&lt;.05 was used. Analyses were performed in R version 4.3.2.</w:t>
      </w:r>
    </w:p>
    <w:p>
      <w:pPr>
        <w:pStyle w:val="Heading2"/>
      </w:pPr>
      <w:r>
        <w:t>Reproducibility</w:t>
      </w:r>
    </w:p>
    <w:p>
      <w:r>
        <w:rPr>
          <w:rFonts w:ascii="Times New Roman" w:hAnsi="Times New Roman"/>
          <w:i w:val="0"/>
          <w:sz w:val="22"/>
        </w:rPr>
        <w:t>A single top-to-bottom R script reads the retained source matrix, verifies cohort counts and agreement with the legacy analytic CSV, fits every reported model, and regenerates all tables and figures without hard-coded estimates. The script records package versions and session information and stops if expected cohort counts or classifications change. During revision, OpenAI Codex was used for language editing, coding assistance, statistical verification, and figure formatting. The author reran the complete analysis, checked all reported values against machine-generated outputs, and retained responsibility for every scientific and analytic decision.</w:t>
      </w:r>
    </w:p>
    <w:p>
      <w:pPr>
        <w:pStyle w:val="Heading1"/>
      </w:pPr>
      <w:r>
        <w:t>Results</w:t>
      </w:r>
    </w:p>
    <w:p>
      <w:pPr>
        <w:pStyle w:val="Heading2"/>
      </w:pPr>
      <w:r>
        <w:t>Cohort characteristics</w:t>
      </w:r>
    </w:p>
    <w:p>
      <w:r>
        <w:rPr>
          <w:rFonts w:ascii="Times New Roman" w:hAnsi="Times New Roman"/>
          <w:i w:val="0"/>
          <w:sz w:val="22"/>
        </w:rPr>
        <w:t>The retained adjudication matrix contained 316 records; 27 were excluded and 289 randomized therapeutic trials formed the primary cohort. The cohort included 180 phase II, 18 phase II/III, and 91 phase III trials. Sponsors were academic/investigator-initiated for 145 trials, industry for 101, and government/cooperative group for 43. Two hundred thirty-nine trials (82.7%) enrolled a strict glioblastoma population, 123 (42.6%) contained a radiation intervention, and 14 (4.8%) were international-only records. Positive planned enrollment was available for 261 trials; the median was 118 participants (IQR, 60-204). NCO-positive trials had higher planned enrollment (median, 158; IQR, 94-299; P=.022) (Table 1).</w:t>
      </w:r>
    </w:p>
    <w:p>
      <w:pPr>
        <w:pStyle w:val="Heading2"/>
      </w:pPr>
      <w:r>
        <w:t>Registration and prioritization of cognition</w:t>
      </w:r>
    </w:p>
    <w:p>
      <w:r>
        <w:rPr>
          <w:rFonts w:ascii="Times New Roman" w:hAnsi="Times New Roman"/>
          <w:i w:val="0"/>
          <w:sz w:val="22"/>
        </w:rPr>
        <w:t>An objective NCO was registered in 39 of 289 trials (13.5%; 95% CI, 10.0%-17.9%). Only 2 of these 39 trials designated cognition as a primary endpoint. Among NCO-positive trials, 13 (33%) registered any ICCTF core test, 6 (15%) registered the full HVLT-R/TMT/COWAT battery, and 18 (46%) registered MMSE or MoCA without an ICCTF core test (Figure 5; Supplementary Figure S1). Under the instrument-confirmed definition, 35 of 289 trials (12.1%) remained NCO-positive.</w:t>
      </w:r>
    </w:p>
    <w:p>
      <w:pPr>
        <w:pStyle w:val="Heading2"/>
      </w:pPr>
      <w:r>
        <w:t>Paired discordance with HRQoL</w:t>
      </w:r>
    </w:p>
    <w:p>
      <w:r>
        <w:rPr>
          <w:rFonts w:ascii="Times New Roman" w:hAnsi="Times New Roman"/>
          <w:i w:val="0"/>
          <w:sz w:val="22"/>
        </w:rPr>
        <w:t>HRQoL was registered in 105 of 282 trials with complete classification (37.2%; 95% CI, 31.8%-43.0%). The absolute prevalence difference versus NCO was 23.4 percentage points (bootstrap 95% CI, 18.4-28.7). Among complete cases, 173 trials registered neither domain, 70 registered HRQoL without an NCO, 4 registered an NCO without HRQoL, and 35 registered both (Figure 1). The within-trial asymmetry was substantial (McNemar P&lt;.001).</w:t>
      </w:r>
    </w:p>
    <w:p>
      <w:pPr>
        <w:pStyle w:val="Heading2"/>
      </w:pPr>
      <w:r>
        <w:t>Modality-stratified registration</w:t>
      </w:r>
    </w:p>
    <w:p>
      <w:r>
        <w:rPr>
          <w:rFonts w:ascii="Times New Roman" w:hAnsi="Times New Roman"/>
          <w:i w:val="0"/>
          <w:sz w:val="22"/>
        </w:rPr>
        <w:t>NCO registration varied across intervention categories. Among trials containing the relevant modality, registration was 19.5% (24/123) for radiation, 14.9% (13/87) for targeted therapy, 12.2% (22/180) for cytotoxic chemotherapy, 6.9% (4/58) for immunotherapy, and 5.6% (3/54) for surgery. Tumor-treating fields had the highest point estimate but was based on 9 trials (2/9; 22.2%) (Figure 2).</w:t>
      </w:r>
    </w:p>
    <w:p>
      <w:pPr>
        <w:pStyle w:val="Heading2"/>
      </w:pPr>
      <w:r>
        <w:t>Adjusted associations with NCO registration</w:t>
      </w:r>
    </w:p>
    <w:p>
      <w:r>
        <w:rPr>
          <w:rFonts w:ascii="Times New Roman" w:hAnsi="Times New Roman"/>
          <w:i w:val="0"/>
          <w:sz w:val="22"/>
        </w:rPr>
        <w:t>The primary Firth model was significant overall (penalized likelihood-ratio chi-square=20.66 on 7 df; P=.004). Adding sponsor class improved fit relative to a model containing only phase, year, radiation, and registry source (nested penalized LR chi-square=11.20 on 2 df; P=.004). Relative to industry sponsorship, academic/investigator-initiated sponsorship was associated with greater NCO registration (OR, 2.94; 95% CI, 1.28-7.53; P=.010), as was government/cooperative-group sponsorship (OR, 3.55; 95% CI, 1.14-11.22; P=.030). Later registration year (OR, 1.05 per year; 95% CI, 1.00-1.11; P=.031) and radiation-containing intervention (OR, 2.25; 95% CI, 1.13-4.63; P=.022) were also associated with NCO registration (Table 2; Figure 3A). Apparent AUC was 0.73 and optimism-corrected AUC was 0.69; the Brier score was 0.107. Marginally adjusted NCO probabilities were 7.3% for industry, 18.0% for academic/investigator, and 20.7% for government/cooperative sponsorship (Figure 3B).</w:t>
      </w:r>
    </w:p>
    <w:p>
      <w:pPr>
        <w:pStyle w:val="Heading2"/>
      </w:pPr>
      <w:r>
        <w:t>Comparator and temporal analyses</w:t>
      </w:r>
    </w:p>
    <w:p>
      <w:r>
        <w:rPr>
          <w:rFonts w:ascii="Times New Roman" w:hAnsi="Times New Roman"/>
          <w:i w:val="0"/>
          <w:sz w:val="22"/>
        </w:rPr>
        <w:t>The corresponding HRQoL model was also significant overall (likelihood-ratio chi-square=17.25 on 7 df; P=.016). Academic/investigator sponsorship (OR, 1.76; 95% CI, 1.02-3.10; P=.043), phase III (OR, 1.79; 95% CI, 1.03-3.13; P=.040), and later registration year (OR, 1.05; 95% CI, 1.01-1.08; P=.011) were associated with HRQoL registration. The joint sponsor-by-outcome-domain interaction was not significant (Wald chi-square=1.89 on 2 df; P=.389). A binomial GAM on ClinicalTrials.gov records showed an early rise and a post-2010 plateau; the post-2010 Firth slope was null (OR, 0.99/year; 95% CI, 0.93-1.07; P=.876). Five-year rolling percentages remained lower for industry than for non-industry trials after 2015 (Figure 4).</w:t>
      </w:r>
    </w:p>
    <w:p>
      <w:pPr>
        <w:pStyle w:val="Heading2"/>
      </w:pPr>
      <w:r>
        <w:t>Sensitivity analyses</w:t>
      </w:r>
    </w:p>
    <w:p>
      <w:r>
        <w:rPr>
          <w:rFonts w:ascii="Times New Roman" w:hAnsi="Times New Roman"/>
          <w:i w:val="0"/>
          <w:sz w:val="22"/>
        </w:rPr>
        <w:t>Academic/investigator sponsorship remained associated with NCO registration in all prespecified sensitivity analyses (Supplementary Figure S2). Government/cooperative sponsorship remained associated in the strict-glioblastoma, pediatric-title-excluded, ClinicalTrials.gov-only, and enrollment-adjusted analyses, but not under the instrument-confirmed definition (OR, 3.08; 95% CI, 0.86-10.84; P=.083). Radiation was attenuated in the strict-glioblastoma (P=.082) and enrollment-adjusted (P=.078) models. These changes indicate that the direction of several associations was consistent, but their statistical stability depended on outcome definition and analytic subset.</w:t>
      </w:r>
    </w:p>
    <w:p>
      <w:pPr>
        <w:pStyle w:val="Heading1"/>
      </w:pPr>
      <w:r>
        <w:t>Discussion</w:t>
      </w:r>
    </w:p>
    <w:p>
      <w:r>
        <w:rPr>
          <w:rFonts w:ascii="Times New Roman" w:hAnsi="Times New Roman"/>
          <w:i w:val="0"/>
          <w:sz w:val="22"/>
        </w:rPr>
        <w:t>In this retained cohort of 289 randomized therapeutic glioblastoma and high-grade glioma trials, objective cognition was registered in approximately one in seven trials and was designated as primary in only two. HRQoL was registered nearly three times as often among trials with complete classification. The paired discordance analysis showed that HRQoL-only registration was far more common than NCO-only registration, indicating that trials often capture patient-reported function without registering objective cognitive performance. Post-2010 analyses showed no sustained improvement. Together, these findings identify a persistent endpoint-selection gap rather than merely a reporting-quality problem.</w:t>
      </w:r>
    </w:p>
    <w:p>
      <w:r>
        <w:rPr>
          <w:rFonts w:ascii="Times New Roman" w:hAnsi="Times New Roman"/>
          <w:i w:val="0"/>
          <w:sz w:val="22"/>
        </w:rPr>
        <w:t>The distinction between outcome domains is clinically important. HRQoL instruments capture patients' perceptions of symptoms and function and should remain central to trial evaluation. Objective cognitive tests address a different construct and can provide standardized performance data in domains such as learning, processing speed, and executive function [9,10]. Performance-status scales and structured neurological examinations likewise serve important purposes but do not replace neuropsychological assessment [13]. The present analysis therefore does not argue for substituting cognition for HRQoL; it supports considering both when the intervention or disease is plausibly relevant to cognitive function.</w:t>
      </w:r>
    </w:p>
    <w:p>
      <w:r>
        <w:rPr>
          <w:rFonts w:ascii="Times New Roman" w:hAnsi="Times New Roman"/>
          <w:i w:val="0"/>
          <w:sz w:val="22"/>
        </w:rPr>
        <w:t>Modality-stratified estimates suggest that the endpoint gap is not uniform across the therapeutic landscape. NCO registration was lower among immunotherapy and surgical trials than among radiation-containing trials, complementing prior descriptions of heterogeneous endpoint operationalization in glioblastoma immunotherapy trials [4]. This pattern may reflect trial-design conventions, perceived feasibility, or the historical integration of cognitive testing into chemoradiation protocols [12], but the registry data alone cannot distinguish these explanations. The modality findings nonetheless identify where future endpoint-harmonization efforts may have the greatest leverage.</w:t>
      </w:r>
    </w:p>
    <w:p>
      <w:r>
        <w:rPr>
          <w:rFonts w:ascii="Times New Roman" w:hAnsi="Times New Roman"/>
          <w:i w:val="0"/>
          <w:sz w:val="22"/>
        </w:rPr>
        <w:t>Sponsorship was associated with NCO registration after adjustment, with higher estimated probabilities in academic/investigator and government/cooperative trials than in industry trials. This association should not be interpreted causally or as cognition-specific. Trial size, disease setting, intervention type, network infrastructure, assessment burden, registration practices, and unmeasured design priorities may confound or mediate the observed relationship. HRQoL registration was also associated with academic/investigator sponsorship, and the formal sponsor-by-domain interaction was not significant. The available data therefore do not establish that industry sponsorship selectively suppresses cognition relative to HRQoL; explanations involving commercial strategy remain hypotheses rather than results.</w:t>
      </w:r>
    </w:p>
    <w:p>
      <w:r>
        <w:rPr>
          <w:rFonts w:ascii="Times New Roman" w:hAnsi="Times New Roman"/>
          <w:i w:val="0"/>
          <w:sz w:val="22"/>
        </w:rPr>
        <w:t>The temporal findings sharpen the implementation problem. The all-year linear term was modestly positive, but the GAM and the post-2010 slope were consistent with an early increase followed by a prolonged plateau. Rolling estimates suggested that the later plateau was more pronounced among industry-sponsored trials, although those rolling windows remain descriptive. Because only 39 NCO events were available, highly parameterized temporal models would risk overfitting.</w:t>
      </w:r>
    </w:p>
    <w:p>
      <w:r>
        <w:rPr>
          <w:rFonts w:ascii="Times New Roman" w:hAnsi="Times New Roman"/>
          <w:i w:val="0"/>
          <w:sz w:val="22"/>
        </w:rPr>
        <w:t>Among the minority of trials that did register cognition, the instruments often were not those recommended for cancer trials. MMSE or MoCA without an ICCTF core test was more common than the full HVLT-R, Trail Making, and COWAT battery. That distinction matters: screening tools designed for dementia detection are not interchangeable with a core neuropsychological battery intended to detect treatment-related cognitive change [9,10].</w:t>
      </w:r>
    </w:p>
    <w:p>
      <w:r>
        <w:rPr>
          <w:rFonts w:ascii="Times New Roman" w:hAnsi="Times New Roman"/>
          <w:i w:val="0"/>
          <w:sz w:val="22"/>
        </w:rPr>
        <w:t>Trial protocols could be asked to justify inclusion or exclusion of objective cognition using an outcome-domain framework consistent with CONSORT-Outcomes principles [7]. A brief ICCTF-based core battery, centralized training, and assessment schedules aligned with imaging visits are candidate remedies, but they should be tested for feasibility and data completeness before being treated as standards [6,11].</w:t>
      </w:r>
    </w:p>
    <w:p>
      <w:r>
        <w:rPr>
          <w:rFonts w:ascii="Times New Roman" w:hAnsi="Times New Roman"/>
          <w:i w:val="0"/>
          <w:sz w:val="22"/>
        </w:rPr>
        <w:t>This study has strengths: explicit separation of objective cognition from HRQoL and neurological/performance scales, trial-level paired comparison, modality stratification, Firth estimation for separation, direct testing of outcome-domain specificity, E-value reporting, multiple outcome-definition and population sensitivities, and a data-derived reproducibility pipeline. The analysis also has important limitations. It evaluates current retained registry fields rather than outcomes actually administered or reported. Registry entries can be retrospective or modified; original versions and record histories were not available. Source-level records excluded during the initial international searches were not retained, so the full historical search and deduplication process cannot be reproduced from the present project. Screening and abstraction were performed by one investigator without independent second-reviewer validation. Seven HRQoL classifications were missing, 50 trials included mixed high-grade glioma, four titles explicitly referenced pediatric populations, and four NCO-positive records lacked a named instrument. Sponsor class was broad, and potentially important confounders such as newly diagnosed versus recurrent disease, cooperative-network participation, prospective registration, and detailed assessment timing were unavailable. Finally, 39 NCO events limited model complexity and precision; all multivariable and sensitivity associations should be considered exploratory.</w:t>
      </w:r>
    </w:p>
    <w:p>
      <w:r>
        <w:rPr>
          <w:rFonts w:ascii="Times New Roman" w:hAnsi="Times New Roman"/>
          <w:i w:val="0"/>
          <w:sz w:val="22"/>
        </w:rPr>
        <w:t>Future work should preserve complete source-level search exports, retrieve registry version histories, use independent duplicate screening, validate registry fields against trial protocols, and prospectively evaluate whether protocol-level cognitive endpoints translate into analyzable longitudinal data. Linking registration to protocols, statistical analysis plans, publications, and data-completeness reporting would also distinguish endpoint intention from implementation.</w:t>
      </w:r>
    </w:p>
    <w:p>
      <w:pPr>
        <w:pStyle w:val="Heading1"/>
      </w:pPr>
      <w:r>
        <w:t>Conclusion</w:t>
      </w:r>
    </w:p>
    <w:p>
      <w:r>
        <w:rPr>
          <w:rFonts w:ascii="Times New Roman" w:hAnsi="Times New Roman"/>
          <w:i w:val="0"/>
          <w:sz w:val="22"/>
        </w:rPr>
        <w:t>Objective cognition was infrequently registered and rarely prioritized in randomized glioblastoma and high-grade glioma trials, with HRQoL-only registration far more common than NCO-only registration and no evidence of improvement after 2010. Modality-stratified estimates highlight particular shortfalls among immunotherapy trials. Trial sponsorship and other design features were associated with registration, but the associations were exploratory and not demonstrably cognition-specific. Transparent outcome-domain justification, reproducible registration audits, and feasibility-tested standardized cognitive assessment should be evaluated as strategies to close this measurement gap.</w:t>
      </w:r>
    </w:p>
    <w:p>
      <w:pPr>
        <w:pStyle w:val="Heading1"/>
      </w:pPr>
      <w:r>
        <w:t>Acknowledgments</w:t>
      </w:r>
    </w:p>
    <w:p>
      <w:r>
        <w:rPr>
          <w:rFonts w:ascii="Times New Roman" w:hAnsi="Times New Roman"/>
          <w:i w:val="0"/>
          <w:sz w:val="22"/>
        </w:rPr>
        <w:t>None.</w:t>
      </w:r>
    </w:p>
    <w:p>
      <w:pPr>
        <w:pStyle w:val="Heading1"/>
      </w:pPr>
      <w:r>
        <w:t>References</w:t>
      </w:r>
    </w:p>
    <w:p>
      <w:pPr>
        <w:spacing w:line="240" w:lineRule="auto" w:after="80"/>
        <w:ind w:hanging="360" w:left="360"/>
      </w:pPr>
      <w:r>
        <w:rPr>
          <w:rFonts w:ascii="Times New Roman" w:hAnsi="Times New Roman"/>
          <w:sz w:val="18"/>
        </w:rPr>
        <w:t>1. Ghadimi K, Abbas I, Karandish A, et al. Cognitive decline in glioblastoma patients with different treatment modalities and insights on untreated cases. Curr Oncol. 2025;32(3):152.</w:t>
      </w:r>
    </w:p>
    <w:p>
      <w:pPr>
        <w:spacing w:line="240" w:lineRule="auto" w:after="80"/>
        <w:ind w:hanging="360" w:left="360"/>
      </w:pPr>
      <w:r>
        <w:rPr>
          <w:rFonts w:ascii="Times New Roman" w:hAnsi="Times New Roman"/>
          <w:sz w:val="18"/>
        </w:rPr>
        <w:t>2. Habets EJJ, Taphoorn MJB, Klein M, et al. The level of reporting of neurocognitive outcomes in randomised controlled trials of brain tumour patients: a systematic review. Eur J Cancer. 2018;100:104-125.</w:t>
      </w:r>
    </w:p>
    <w:p>
      <w:pPr>
        <w:spacing w:line="240" w:lineRule="auto" w:after="80"/>
        <w:ind w:hanging="360" w:left="360"/>
      </w:pPr>
      <w:r>
        <w:rPr>
          <w:rFonts w:ascii="Times New Roman" w:hAnsi="Times New Roman"/>
          <w:sz w:val="18"/>
        </w:rPr>
        <w:t>3. Dirven L, Taphoorn MJB, Reijneveld JC, et al. The level of patient-reported outcome reporting in randomised controlled trials of brain tumour patients: a systematic review. Eur J Cancer. 2014;50(14):2432-2448.</w:t>
      </w:r>
    </w:p>
    <w:p>
      <w:pPr>
        <w:spacing w:line="240" w:lineRule="auto" w:after="80"/>
        <w:ind w:hanging="360" w:left="360"/>
      </w:pPr>
      <w:r>
        <w:rPr>
          <w:rFonts w:ascii="Times New Roman" w:hAnsi="Times New Roman"/>
          <w:sz w:val="18"/>
        </w:rPr>
        <w:t>4. Schonfeld E, Choi J, Tran A, et al. The landscape of immune checkpoint inhibitor clinical trials in glioblastoma: a systematic review. Neurooncol Adv. 2024;6(1):vdae174.</w:t>
      </w:r>
    </w:p>
    <w:p>
      <w:pPr>
        <w:spacing w:line="240" w:lineRule="auto" w:after="80"/>
        <w:ind w:hanging="360" w:left="360"/>
      </w:pPr>
      <w:r>
        <w:rPr>
          <w:rFonts w:ascii="Times New Roman" w:hAnsi="Times New Roman"/>
          <w:sz w:val="18"/>
        </w:rPr>
        <w:t>5. von Elm E, Altman DG, Egger M, et al; STROBE Initiative. The Strengthening the Reporting of Observational Studies in Epidemiology (STROBE) statement. Lancet. 2007;370(9596):1453-1457.</w:t>
      </w:r>
    </w:p>
    <w:p>
      <w:pPr>
        <w:spacing w:line="240" w:lineRule="auto" w:after="80"/>
        <w:ind w:hanging="360" w:left="360"/>
      </w:pPr>
      <w:r>
        <w:rPr>
          <w:rFonts w:ascii="Times New Roman" w:hAnsi="Times New Roman"/>
          <w:sz w:val="18"/>
        </w:rPr>
        <w:t>6. Proctor E, Silmere H, Raghavan R, et al. Outcomes for implementation research: conceptual distinctions, measurement challenges, and research agenda. Adm Policy Ment Health. 2011;38(2):65-76.</w:t>
      </w:r>
    </w:p>
    <w:p>
      <w:pPr>
        <w:spacing w:line="240" w:lineRule="auto" w:after="80"/>
        <w:ind w:hanging="360" w:left="360"/>
      </w:pPr>
      <w:r>
        <w:rPr>
          <w:rFonts w:ascii="Times New Roman" w:hAnsi="Times New Roman"/>
          <w:sz w:val="18"/>
        </w:rPr>
        <w:t>7. Butcher NJ, Monsour A, Mew EJ, et al. Guidelines for reporting outcomes in trial reports: the CONSORT-Outcomes 2022 extension. JAMA. 2022;328(22):2252-2264.</w:t>
      </w:r>
    </w:p>
    <w:p>
      <w:pPr>
        <w:spacing w:line="240" w:lineRule="auto" w:after="80"/>
        <w:ind w:hanging="360" w:left="360"/>
      </w:pPr>
      <w:r>
        <w:rPr>
          <w:rFonts w:ascii="Times New Roman" w:hAnsi="Times New Roman"/>
          <w:sz w:val="18"/>
        </w:rPr>
        <w:t>8. Stupp R, Mason WP, van den Bent MJ, et al. Radiotherapy plus concomitant and adjuvant temozolomide for glioblastoma. N Engl J Med. 2005;352(10):987-996.</w:t>
      </w:r>
    </w:p>
    <w:p>
      <w:pPr>
        <w:spacing w:line="240" w:lineRule="auto" w:after="80"/>
        <w:ind w:hanging="360" w:left="360"/>
      </w:pPr>
      <w:r>
        <w:rPr>
          <w:rFonts w:ascii="Times New Roman" w:hAnsi="Times New Roman"/>
          <w:sz w:val="18"/>
        </w:rPr>
        <w:t>9. Wefel JS, Vardy J, Ahles T, Schagen SB. International Cognition and Cancer Task Force recommendations to harmonise studies of cognitive function in patients with cancer. Lancet Oncol. 2011;12(7):703-708.</w:t>
      </w:r>
    </w:p>
    <w:p>
      <w:pPr>
        <w:spacing w:line="240" w:lineRule="auto" w:after="80"/>
        <w:ind w:hanging="360" w:left="360"/>
      </w:pPr>
      <w:r>
        <w:rPr>
          <w:rFonts w:ascii="Times New Roman" w:hAnsi="Times New Roman"/>
          <w:sz w:val="18"/>
        </w:rPr>
        <w:t>10. Meyers CA, Brown PD. Role and relevance of neurocognitive assessment in clinical trials of patients with CNS tumors. J Clin Oncol. 2006;24(8):1305-1309.</w:t>
      </w:r>
    </w:p>
    <w:p>
      <w:pPr>
        <w:spacing w:line="240" w:lineRule="auto" w:after="80"/>
        <w:ind w:hanging="360" w:left="360"/>
      </w:pPr>
      <w:r>
        <w:rPr>
          <w:rFonts w:ascii="Times New Roman" w:hAnsi="Times New Roman"/>
          <w:sz w:val="18"/>
        </w:rPr>
        <w:t>11. Gehring K, Sitskoorn MM, Aaronson NK, Taphoorn MJB. Interventions for cognitive deficits in adults with brain tumours. Lancet Neurol. 2008;7(6):548-560.</w:t>
      </w:r>
    </w:p>
    <w:p>
      <w:pPr>
        <w:spacing w:line="240" w:lineRule="auto" w:after="80"/>
        <w:ind w:hanging="360" w:left="360"/>
      </w:pPr>
      <w:r>
        <w:rPr>
          <w:rFonts w:ascii="Times New Roman" w:hAnsi="Times New Roman"/>
          <w:sz w:val="18"/>
        </w:rPr>
        <w:t>12. Armstrong TS, Wefel JS, Wang M, et al. Net clinical benefit analysis of Radiation Therapy Oncology Group 0525. J Clin Oncol. 2013;31(32):4076-4084.</w:t>
      </w:r>
    </w:p>
    <w:p>
      <w:pPr>
        <w:spacing w:line="240" w:lineRule="auto" w:after="80"/>
        <w:ind w:hanging="360" w:left="360"/>
      </w:pPr>
      <w:r>
        <w:rPr>
          <w:rFonts w:ascii="Times New Roman" w:hAnsi="Times New Roman"/>
          <w:sz w:val="18"/>
        </w:rPr>
        <w:t>13. Nayak L, DeAngelis LM, Brandes AA, et al. The Neurologic Assessment in Neuro-Oncology (NANO) scale. Neuro Oncol. 2017;19(5):625-635.</w:t>
      </w:r>
    </w:p>
    <w:p>
      <w:pPr>
        <w:spacing w:line="240" w:lineRule="auto" w:after="80"/>
        <w:ind w:hanging="360" w:left="360"/>
      </w:pPr>
      <w:r>
        <w:rPr>
          <w:rFonts w:ascii="Times New Roman" w:hAnsi="Times New Roman"/>
          <w:sz w:val="18"/>
        </w:rPr>
        <w:t>14. Aaronson NK, Ahmedzai S, Bergman B, et al. The European Organization for Research and Treatment of Cancer QLQ-C30. J Natl Cancer Inst. 1993;85(5):365-376.</w:t>
      </w:r>
    </w:p>
    <w:p>
      <w:pPr>
        <w:spacing w:line="240" w:lineRule="auto" w:after="80"/>
        <w:ind w:hanging="360" w:left="360"/>
      </w:pPr>
      <w:r>
        <w:rPr>
          <w:rFonts w:ascii="Times New Roman" w:hAnsi="Times New Roman"/>
          <w:sz w:val="18"/>
        </w:rPr>
        <w:t>15. Taphoorn MJB, Claassens L, Aaronson NK, et al. An international validation study of the EORTC QLQ-BN20. Eur J Cancer. 2010;46(6):1033-1040.</w:t>
      </w:r>
    </w:p>
    <w:p>
      <w:pPr>
        <w:spacing w:line="240" w:lineRule="auto" w:after="80"/>
        <w:ind w:hanging="360" w:left="360"/>
      </w:pPr>
      <w:r>
        <w:rPr>
          <w:rFonts w:ascii="Times New Roman" w:hAnsi="Times New Roman"/>
          <w:sz w:val="18"/>
        </w:rPr>
        <w:t>16. Wen PY, Weller M, Lee EQ, et al. Glioblastoma in adults: a Society for Neuro-Oncology and European Association of Neuro-Oncology consensus review. Neuro Oncol. 2020;22(8):1073-1113.</w:t>
      </w:r>
    </w:p>
    <w:p>
      <w:pPr>
        <w:spacing w:line="240" w:lineRule="auto" w:after="80"/>
        <w:ind w:hanging="360" w:left="360"/>
      </w:pPr>
      <w:r>
        <w:rPr>
          <w:rFonts w:ascii="Times New Roman" w:hAnsi="Times New Roman"/>
          <w:sz w:val="18"/>
        </w:rPr>
        <w:t>17. Weller M, van den Bent M, Preusser M, et al. European Association of Neuro-Oncology guidelines on the diagnosis and treatment of diffuse gliomas of adulthood. Nat Rev Clin Oncol. 2021;18(3):170-186.</w:t>
      </w:r>
    </w:p>
    <w:p>
      <w:pPr>
        <w:spacing w:line="240" w:lineRule="auto" w:after="80"/>
        <w:ind w:hanging="360" w:left="360"/>
      </w:pPr>
      <w:r>
        <w:rPr>
          <w:rFonts w:ascii="Times New Roman" w:hAnsi="Times New Roman"/>
          <w:sz w:val="18"/>
        </w:rPr>
        <w:t>18. Firth D. Bias reduction of maximum likelihood estimates. Biometrika. 1993;80(1):27-38.</w:t>
      </w:r>
    </w:p>
    <w:p>
      <w:pPr>
        <w:spacing w:line="240" w:lineRule="auto" w:after="80"/>
        <w:ind w:hanging="360" w:left="360"/>
      </w:pPr>
      <w:r>
        <w:rPr>
          <w:rFonts w:ascii="Times New Roman" w:hAnsi="Times New Roman"/>
          <w:sz w:val="18"/>
        </w:rPr>
        <w:t>19. Heinze G, Schemper M. A solution to the problem of separation in logistic regression. Stat Med. 2002;21(16):2409-2419.</w:t>
      </w:r>
    </w:p>
    <w:p>
      <w:pPr>
        <w:pStyle w:val="Heading1"/>
      </w:pPr>
      <w:r>
        <w:t>Statements and Declarations</w:t>
      </w:r>
    </w:p>
    <w:p>
      <w:pPr>
        <w:pStyle w:val="Heading2"/>
      </w:pPr>
      <w:r>
        <w:t>Funding</w:t>
      </w:r>
    </w:p>
    <w:p>
      <w:r>
        <w:rPr>
          <w:rFonts w:ascii="Times New Roman" w:hAnsi="Times New Roman"/>
          <w:i w:val="0"/>
          <w:sz w:val="22"/>
        </w:rPr>
        <w:t>The author declares that no funds, grants, or other support were received during the preparation of this manuscript.</w:t>
      </w:r>
    </w:p>
    <w:p>
      <w:pPr>
        <w:pStyle w:val="Heading2"/>
      </w:pPr>
      <w:r>
        <w:t>Competing Interests</w:t>
      </w:r>
    </w:p>
    <w:p>
      <w:r>
        <w:rPr>
          <w:rFonts w:ascii="Times New Roman" w:hAnsi="Times New Roman"/>
          <w:i w:val="0"/>
          <w:sz w:val="22"/>
        </w:rPr>
        <w:t>The author has no relevant financial or non-financial interests to disclose.</w:t>
      </w:r>
    </w:p>
    <w:p>
      <w:pPr>
        <w:pStyle w:val="Heading2"/>
      </w:pPr>
      <w:r>
        <w:t>Author Contributions</w:t>
      </w:r>
    </w:p>
    <w:p>
      <w:r>
        <w:rPr>
          <w:rFonts w:ascii="Times New Roman" w:hAnsi="Times New Roman"/>
          <w:i w:val="0"/>
          <w:sz w:val="22"/>
        </w:rPr>
        <w:t>Mubashir Ahmad Khan: conceptualization, methodology, investigation, data curation, formal analysis, visualization, writing-original draft, writing-review and editing, and final accountability for the work.</w:t>
      </w:r>
    </w:p>
    <w:p>
      <w:pPr>
        <w:pStyle w:val="Heading2"/>
      </w:pPr>
      <w:r>
        <w:t>Data Availability</w:t>
      </w:r>
    </w:p>
    <w:p>
      <w:r>
        <w:rPr>
          <w:rFonts w:ascii="Times New Roman" w:hAnsi="Times New Roman"/>
          <w:i w:val="0"/>
          <w:sz w:val="22"/>
        </w:rPr>
        <w:t>The retained trial-level matrix, analysis dataset, complete R script, machine-generated tables, and figure files will be made publicly available at [INSERT VERIFIED GITHUB OR OSF URL BEFORE SUBMISSION]. No participant-level data were used.</w:t>
      </w:r>
    </w:p>
    <w:p>
      <w:pPr>
        <w:pStyle w:val="Heading2"/>
      </w:pPr>
      <w:r>
        <w:t>Ethics Approval</w:t>
      </w:r>
    </w:p>
    <w:p>
      <w:r>
        <w:rPr>
          <w:rFonts w:ascii="Times New Roman" w:hAnsi="Times New Roman"/>
          <w:i w:val="0"/>
          <w:sz w:val="22"/>
        </w:rPr>
        <w:t>This study analyzed publicly available trial-registration records and did not involve human participants or identifiable participant-level data. Institutional review board approval and informed consent were not required.</w:t>
      </w:r>
    </w:p>
    <w:p>
      <w:pPr>
        <w:pStyle w:val="Heading2"/>
      </w:pPr>
      <w:r>
        <w:t>Use of Generative AI and AI-Assisted Technologies</w:t>
      </w:r>
    </w:p>
    <w:p>
      <w:r>
        <w:rPr>
          <w:rFonts w:ascii="Times New Roman" w:hAnsi="Times New Roman"/>
          <w:i w:val="0"/>
          <w:sz w:val="22"/>
        </w:rPr>
        <w:t>During revision, OpenAI Codex was used for language editing, coding assistance, statistical verification, and figure formatting. The author reviewed the source data, reran the complete analysis, verified the reported values, and takes full responsibility for the manuscript and all analytic decisions.</w:t>
      </w:r>
    </w:p>
    <w:p>
      <w:pPr>
        <w:pStyle w:val="Heading1"/>
      </w:pPr>
      <w:r>
        <w:t>Figure Captions</w:t>
      </w:r>
    </w:p>
    <w:p>
      <w:pPr>
        <w:keepNext/>
        <w:spacing w:line="480" w:lineRule="auto"/>
      </w:pPr>
      <w:r>
        <w:rPr>
          <w:rFonts w:ascii="Times New Roman" w:hAnsi="Times New Roman"/>
          <w:b/>
          <w:sz w:val="22"/>
        </w:rPr>
        <w:t xml:space="preserve">Figure 1. </w:t>
      </w:r>
      <w:r>
        <w:rPr>
          <w:rFonts w:ascii="Times New Roman" w:hAnsi="Times New Roman"/>
          <w:sz w:val="22"/>
        </w:rPr>
        <w:t>Paired registration of objective neurocognitive outcomes (NCOs) and health-related quality of life (HRQoL) among 282 complete-case trials. (A) Counts stacked by NCO status within HRQoL status. (B) Discordant pairs used in the McNemar test (70 versus 4; P&lt;.001). The absolute prevalence difference, HRQoL minus NCO, was 23.4 percentage points (bootstrap 95% CI, 18.4-28.7).</w:t>
      </w:r>
    </w:p>
    <w:p>
      <w:pPr>
        <w:spacing w:line="480" w:lineRule="auto"/>
      </w:pPr>
      <w:r>
        <w:rPr>
          <w:rFonts w:ascii="Times New Roman" w:hAnsi="Times New Roman"/>
          <w:i/>
          <w:sz w:val="22"/>
        </w:rPr>
        <w:t xml:space="preserve">Alt text: </w:t>
      </w:r>
      <w:r>
        <w:rPr>
          <w:rFonts w:ascii="Times New Roman" w:hAnsi="Times New Roman"/>
          <w:sz w:val="22"/>
        </w:rPr>
        <w:t>Stacked bars show 173 trials with neither endpoint, 4 with NCO only, 70 with HRQoL only, and 35 with both. The discordant-pair panel contrasts 70 HRQoL-only trials with 4 NCO-only trials.</w:t>
      </w:r>
    </w:p>
    <w:p>
      <w:pPr>
        <w:keepNext/>
        <w:spacing w:line="480" w:lineRule="auto"/>
      </w:pPr>
      <w:r>
        <w:rPr>
          <w:rFonts w:ascii="Times New Roman" w:hAnsi="Times New Roman"/>
          <w:b/>
          <w:sz w:val="22"/>
        </w:rPr>
        <w:t xml:space="preserve">Figure 2. </w:t>
      </w:r>
      <w:r>
        <w:rPr>
          <w:rFonts w:ascii="Times New Roman" w:hAnsi="Times New Roman"/>
          <w:sz w:val="22"/>
        </w:rPr>
        <w:t>Modality-stratified registration of objective NCOs, ordered by stratum size. Squares are Wilson point estimates; bars are 95% CIs. The dashed line is the cohort prevalence (13.5%). Trials may belong to more than one modality. Tumor-treating fields is based on 9 trials.</w:t>
      </w:r>
    </w:p>
    <w:p>
      <w:pPr>
        <w:spacing w:line="480" w:lineRule="auto"/>
      </w:pPr>
      <w:r>
        <w:rPr>
          <w:rFonts w:ascii="Times New Roman" w:hAnsi="Times New Roman"/>
          <w:i/>
          <w:sz w:val="22"/>
        </w:rPr>
        <w:t xml:space="preserve">Alt text: </w:t>
      </w:r>
      <w:r>
        <w:rPr>
          <w:rFonts w:ascii="Times New Roman" w:hAnsi="Times New Roman"/>
          <w:sz w:val="22"/>
        </w:rPr>
        <w:t>Radiation-containing trials register cognition more often than immunotherapy or surgical trials. Tumor-treating fields has a high point estimate but a very wide confidence interval.</w:t>
      </w:r>
    </w:p>
    <w:p>
      <w:pPr>
        <w:keepNext/>
        <w:spacing w:line="480" w:lineRule="auto"/>
      </w:pPr>
      <w:r>
        <w:rPr>
          <w:rFonts w:ascii="Times New Roman" w:hAnsi="Times New Roman"/>
          <w:b/>
          <w:sz w:val="22"/>
        </w:rPr>
        <w:t xml:space="preserve">Figure 3. </w:t>
      </w:r>
      <w:r>
        <w:rPr>
          <w:rFonts w:ascii="Times New Roman" w:hAnsi="Times New Roman"/>
          <w:sz w:val="22"/>
        </w:rPr>
        <w:t>Adjusted associations with objective NCO registration. (A) Firth odds ratios with profile penalized-likelihood 95% CIs; the international-only term is omitted from the plotted scale because 0 of 14 events produces complete separation. (B) Marginally standardized NCO probabilities by sponsor class.</w:t>
      </w:r>
    </w:p>
    <w:p>
      <w:pPr>
        <w:spacing w:line="480" w:lineRule="auto"/>
      </w:pPr>
      <w:r>
        <w:rPr>
          <w:rFonts w:ascii="Times New Roman" w:hAnsi="Times New Roman"/>
          <w:i/>
          <w:sz w:val="22"/>
        </w:rPr>
        <w:t xml:space="preserve">Alt text: </w:t>
      </w:r>
      <w:r>
        <w:rPr>
          <w:rFonts w:ascii="Times New Roman" w:hAnsi="Times New Roman"/>
          <w:sz w:val="22"/>
        </w:rPr>
        <w:t>Academic and government or cooperative sponsorship have odds ratios above one relative to industry. Adjusted probabilities are 7.3% for industry, 18.0% for academic or investigator, and 20.7% for government or cooperative sponsorship.</w:t>
      </w:r>
    </w:p>
    <w:p>
      <w:pPr>
        <w:keepNext/>
        <w:spacing w:line="480" w:lineRule="auto"/>
      </w:pPr>
      <w:r>
        <w:rPr>
          <w:rFonts w:ascii="Times New Roman" w:hAnsi="Times New Roman"/>
          <w:b/>
          <w:sz w:val="22"/>
        </w:rPr>
        <w:t xml:space="preserve">Figure 4. </w:t>
      </w:r>
      <w:r>
        <w:rPr>
          <w:rFonts w:ascii="Times New Roman" w:hAnsi="Times New Roman"/>
          <w:sz w:val="22"/>
        </w:rPr>
        <w:t>Temporal pattern among 275 ClinicalTrials.gov trials. (A) Annual trial volume. (B) Observed yearly percentages for years with at least 5 trials and a binomial GAM smooth with 95% interval; the dotted line marks 2010. (C) Centered 5-year rolling NCO percentages for industry versus non-industry trials; windows with fewer than 12 trials are omitted. The post-2010 Firth slope was OR 0.99 per year (95% CI, 0.93-1.07; P=.876).</w:t>
      </w:r>
    </w:p>
    <w:p>
      <w:pPr>
        <w:spacing w:line="480" w:lineRule="auto"/>
      </w:pPr>
      <w:r>
        <w:rPr>
          <w:rFonts w:ascii="Times New Roman" w:hAnsi="Times New Roman"/>
          <w:i/>
          <w:sz w:val="22"/>
        </w:rPr>
        <w:t xml:space="preserve">Alt text: </w:t>
      </w:r>
      <w:r>
        <w:rPr>
          <w:rFonts w:ascii="Times New Roman" w:hAnsi="Times New Roman"/>
          <w:sz w:val="22"/>
        </w:rPr>
        <w:t>Registration rose before 2010 and then plateaued. After 2015, rolling industry estimates remain lower than non-industry estimates.</w:t>
      </w:r>
    </w:p>
    <w:p>
      <w:pPr>
        <w:keepNext/>
        <w:spacing w:line="480" w:lineRule="auto"/>
      </w:pPr>
      <w:r>
        <w:rPr>
          <w:rFonts w:ascii="Times New Roman" w:hAnsi="Times New Roman"/>
          <w:b/>
          <w:sz w:val="22"/>
        </w:rPr>
        <w:t xml:space="preserve">Figure 5. </w:t>
      </w:r>
      <w:r>
        <w:rPr>
          <w:rFonts w:ascii="Times New Roman" w:hAnsi="Times New Roman"/>
          <w:sz w:val="22"/>
        </w:rPr>
        <w:t>Endpoint prevalence and instrument quality. (A) Wilson 95% CIs for NCO (N=289) and HRQoL (N=282 complete cases). (B) Among 39 NCO-positive trials, registration of any ICCTF core test, the full HVLT-R/TMT/COWAT battery, MMSE or MoCA without a core test, or a named domain only.</w:t>
      </w:r>
    </w:p>
    <w:p>
      <w:pPr>
        <w:spacing w:line="480" w:lineRule="auto"/>
      </w:pPr>
      <w:r>
        <w:rPr>
          <w:rFonts w:ascii="Times New Roman" w:hAnsi="Times New Roman"/>
          <w:i/>
          <w:sz w:val="22"/>
        </w:rPr>
        <w:t xml:space="preserve">Alt text: </w:t>
      </w:r>
      <w:r>
        <w:rPr>
          <w:rFonts w:ascii="Times New Roman" w:hAnsi="Times New Roman"/>
          <w:sz w:val="22"/>
        </w:rPr>
        <w:t>HRQoL is registered far more often than objective cognition. Among trials that did register cognition, MMSE or MoCA without an ICCTF core test was more common than the full recommended battery.</w:t>
      </w:r>
    </w:p>
    <w:p>
      <w:pPr>
        <w:pStyle w:val="Heading1"/>
      </w:pPr>
      <w:r>
        <w:t>Supplementary Figure Captions</w:t>
      </w:r>
    </w:p>
    <w:p>
      <w:pPr>
        <w:keepNext/>
      </w:pPr>
      <w:r>
        <w:rPr>
          <w:rFonts w:ascii="Times New Roman" w:hAnsi="Times New Roman"/>
          <w:b/>
          <w:sz w:val="22"/>
        </w:rPr>
        <w:t xml:space="preserve">Supplementary Figure S1. </w:t>
      </w:r>
      <w:r>
        <w:rPr>
          <w:rFonts w:ascii="Times New Roman" w:hAnsi="Times New Roman"/>
          <w:sz w:val="22"/>
        </w:rPr>
        <w:t>Registered objective neurocognitive instruments among 39 NCO-positive trials after within-trial synonym mapping. Navy bars are ICCTF core tests (HVLT-R, Trail Making Test, COWAT). A trial can contribute to more than one instrument.</w:t>
      </w:r>
    </w:p>
    <w:p>
      <w:r>
        <w:rPr>
          <w:rFonts w:ascii="Times New Roman" w:hAnsi="Times New Roman"/>
          <w:i/>
          <w:sz w:val="22"/>
        </w:rPr>
        <w:t xml:space="preserve">Alt text: </w:t>
      </w:r>
      <w:r>
        <w:rPr>
          <w:rFonts w:ascii="Times New Roman" w:hAnsi="Times New Roman"/>
          <w:sz w:val="22"/>
        </w:rPr>
        <w:t>MMSE is the most common instrument. ICCTF core tests appear less often than MMSE.</w:t>
      </w:r>
    </w:p>
    <w:p>
      <w:pPr>
        <w:keepNext/>
      </w:pPr>
      <w:r>
        <w:rPr>
          <w:rFonts w:ascii="Times New Roman" w:hAnsi="Times New Roman"/>
          <w:b/>
          <w:sz w:val="22"/>
        </w:rPr>
        <w:t xml:space="preserve">Supplementary Figure S2. </w:t>
      </w:r>
      <w:r>
        <w:rPr>
          <w:rFonts w:ascii="Times New Roman" w:hAnsi="Times New Roman"/>
          <w:sz w:val="22"/>
        </w:rPr>
        <w:t>Sensitivity of the academic-versus-industry odds ratio for NCO registration across prespecified analytic variants. Squares are Firth odds ratios; bars are profile penalized-likelihood 95% CIs.</w:t>
      </w:r>
    </w:p>
    <w:p>
      <w:r>
        <w:rPr>
          <w:rFonts w:ascii="Times New Roman" w:hAnsi="Times New Roman"/>
          <w:i/>
          <w:sz w:val="22"/>
        </w:rPr>
        <w:t xml:space="preserve">Alt text: </w:t>
      </w:r>
      <w:r>
        <w:rPr>
          <w:rFonts w:ascii="Times New Roman" w:hAnsi="Times New Roman"/>
          <w:sz w:val="22"/>
        </w:rPr>
        <w:t>The academic sponsor association remains above one in every sensitivity analysis.</w:t>
      </w:r>
    </w:p>
    <w:p>
      <w:r>
        <w:br w:type="page"/>
      </w:r>
    </w:p>
    <w:p>
      <w:pPr>
        <w:keepNext/>
        <w:spacing w:after="100"/>
      </w:pPr>
      <w:r>
        <w:rPr>
          <w:rFonts w:ascii="Times New Roman" w:hAnsi="Times New Roman"/>
          <w:b/>
          <w:sz w:val="22"/>
        </w:rPr>
        <w:t>Table 1. Characteristics of the Primary Analytic Cohort</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67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Characteristic</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Overall</w:t>
              <w:br/>
              <w:t>(N=289)</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absent</w:t>
              <w:br/>
              <w:t>(n=250)</w:t>
            </w:r>
          </w:p>
        </w:tc>
        <w:tc>
          <w:tcPr>
            <w:tcW w:type="dxa" w:w="151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w:t>
              <w:br/>
              <w:t>(n=39)</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 value</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 (62.3)</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(63.2)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 (56.4)</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.578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 (6.2)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 (6.4)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 (5.1)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91 (31.5)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76 (30.4)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 (38.5)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Sponsor: Industry</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 (34.9)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94 (37.6)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Academic/investigator</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145 (50.2)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120 (48.0)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25 (64.1)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Government/cooperative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43 (14.9)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36 (14.4)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Registry: ClinicalTrials.gov</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275 (95.2)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236 (94.4)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 (100.0)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International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(4.8)</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(5.6)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 (0.0)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Strict glioblastoma population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239 (82.7)</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205 (82.0)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 (87.2)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.503</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 (42.6)</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99 (39.6)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 (61.5)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.014</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Completed trial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 (39.1)</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96 (38.4)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 (43.6)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.598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Pediatric wording in title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 (1.2)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 (2.6)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.442</w:t>
            </w:r>
          </w:p>
        </w:tc>
      </w:tr>
      <w:tr>
        <w:tc>
          <w:tcPr>
            <w:tcW w:type="dxa" w:w="367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Planned enrollment, median [IQR]</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118 [60-204]; n=261</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 [60-200]; n=223</w:t>
            </w:r>
          </w:p>
        </w:tc>
        <w:tc>
          <w:tcPr>
            <w:tcW w:type="dxa" w:w="151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[94-299]; n=38</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bl>
    <w:p>
      <w:pPr>
        <w:spacing w:line="240" w:lineRule="auto"/>
      </w:pPr>
      <w:r>
        <w:rPr>
          <w:rFonts w:ascii="Times New Roman" w:hAnsi="Times New Roman"/>
          <w:sz w:val="17"/>
        </w:rPr>
        <w:t>Values are n (%) unless otherwise indicated. P values are overall tests for each characteristic (Fisher exact for categorical variables; Wilcoxon rank-sum for planned enrollment), not row-wise dummy tests. IQR, interquartile range; NCO, neurocognitive outcome.</w:t>
      </w:r>
    </w:p>
    <w:p>
      <w:r>
        <w:br w:type="page"/>
      </w:r>
    </w:p>
    <w:p>
      <w:pPr>
        <w:keepNext/>
        <w:spacing w:after="100"/>
      </w:pPr>
      <w:r>
        <w:rPr>
          <w:rFonts w:ascii="Times New Roman" w:hAnsi="Times New Roman"/>
          <w:b/>
          <w:sz w:val="22"/>
        </w:rPr>
        <w:t>Table 2. Adjusted Firth Models for Objective NCO and HRQoL Registration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52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Outcome and predictor</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7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95% CI</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Objective NCO (N=289; 39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0.91</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0.17-3.36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0.77-3.49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1.28-7.53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1.14-11.22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1.00-1.11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1.13-4.63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0.20</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0.00-1.59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.155</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HRQoL, complete case (N=282; 105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0.87-6.17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1.03-3.13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1.76</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1.02-3.10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0.73-3.57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.228</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1.01-1.08</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0.68-1.86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.631</w:t>
            </w:r>
          </w:p>
        </w:tc>
      </w:tr>
      <w:tr>
        <w:tc>
          <w:tcPr>
            <w:tcW w:type="dxa" w:w="52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2.02</w:t>
            </w:r>
          </w:p>
        </w:tc>
        <w:tc>
          <w:tcPr>
            <w:tcW w:type="dxa" w:w="17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0.47-9.54</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.343</w:t>
            </w:r>
          </w:p>
        </w:tc>
      </w:tr>
    </w:tbl>
    <w:p>
      <w:pPr>
        <w:spacing w:line="240" w:lineRule="auto"/>
      </w:pPr>
      <w:r>
        <w:rPr>
          <w:rFonts w:ascii="Times New Roman" w:hAnsi="Times New Roman"/>
          <w:sz w:val="17"/>
        </w:rPr>
        <w:t>Reference categories are phase II, industry sponsor, no radiation-containing intervention, and ClinicalTrials.gov. NCO model: N=289, 39 events; overall penalized likelihood-ratio chi-square=20.66 on 7 df, P=.004. HRQoL complete-case model: N=282, 105 events; overall chi-square=17.25 on 7 df, P=.016. CI, confidence interval; HRQoL, health-related quality of life; NCO, neurocognitive outcome.</w:t>
      </w:r>
    </w:p>
    <w:p>
      <w:r>
        <w:br w:type="page"/>
      </w:r>
    </w:p>
    <w:p>
      <w:pPr>
        <w:keepNext/>
        <w:spacing w:after="100"/>
      </w:pPr>
      <w:r>
        <w:rPr>
          <w:rFonts w:ascii="Times New Roman" w:hAnsi="Times New Roman"/>
          <w:b/>
          <w:sz w:val="22"/>
        </w:rPr>
        <w:t>Supplementary Table S1. Paired Registration of Objective NCOs and HRQoL</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Registration pattern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 (%)</w:t>
            </w:r>
          </w:p>
        </w:tc>
        <w:tc>
          <w:tcPr>
            <w:tcW w:type="dxa" w:w="223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Complete-case fraction</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Neither registered</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 (61.3)</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HRQoL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 (24.8)</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NCO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4/282</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Both registered</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 (12.4)</w:t>
            </w:r>
          </w:p>
        </w:tc>
        <w:tc>
          <w:tcPr>
            <w:tcW w:type="dxa" w:w="223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35/282</w:t>
            </w:r>
          </w:p>
        </w:tc>
      </w:tr>
    </w:tbl>
    <w:p>
      <w:pPr>
        <w:spacing w:line="240" w:lineRule="auto"/>
      </w:pPr>
      <w:r>
        <w:rPr>
          <w:rFonts w:ascii="Times New Roman" w:hAnsi="Times New Roman"/>
          <w:sz w:val="17"/>
        </w:rPr>
        <w:t>Complete-case analysis includes 282 trials with nonmissing classification for both domains. McNemar test for within-trial discordance, P&lt;.001. HRQoL, health-related quality of life; NCO, neurocognitive outcome.</w:t>
      </w:r>
    </w:p>
    <w:p>
      <w:r>
        <w:br w:type="page"/>
      </w:r>
    </w:p>
    <w:p>
      <w:pPr>
        <w:keepNext/>
        <w:spacing w:after="100"/>
      </w:pPr>
      <w:r>
        <w:rPr>
          <w:rFonts w:ascii="Times New Roman" w:hAnsi="Times New Roman"/>
          <w:b/>
          <w:sz w:val="22"/>
        </w:rPr>
        <w:t>Supplementary Table S2. Modality-Stratified Registration of Objective NCOs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Modality stratum</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w:t>
            </w:r>
          </w:p>
        </w:tc>
        <w:tc>
          <w:tcPr>
            <w:tcW w:type="dxa" w:w="16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 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Percent (95% CI)</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Surgery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54</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5.6 (1.9-15.1)</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Immunotherapy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58</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6.9 (2.7-16.4)</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Cytotoxic chemotherapy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12.2 (8.2-17.8)</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Targeted 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87</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14.9 (8.9-23.9)</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 (13.5-27.4)</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Tumor-treating fields</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w:t>
            </w:r>
          </w:p>
        </w:tc>
        <w:tc>
          <w:tcPr>
            <w:tcW w:type="dxa" w:w="16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22.2 (6.3-54.7)</w:t>
            </w:r>
          </w:p>
        </w:tc>
      </w:tr>
    </w:tbl>
    <w:p>
      <w:pPr>
        <w:spacing w:line="240" w:lineRule="auto"/>
      </w:pPr>
      <w:r>
        <w:rPr>
          <w:rFonts w:ascii="Times New Roman" w:hAnsi="Times New Roman"/>
          <w:sz w:val="17"/>
        </w:rPr>
        <w:t>Trials could contribute to more than one modality stratum. Percentages use Wilson 95% confidence intervals. NCO, neurocognitive outcome.</w:t>
      </w:r>
    </w:p>
    <w:p>
      <w:r>
        <w:br w:type="page"/>
      </w:r>
    </w:p>
    <w:p>
      <w:pPr>
        <w:keepNext/>
        <w:spacing w:after="100"/>
      </w:pPr>
      <w:r>
        <w:rPr>
          <w:rFonts w:ascii="Times New Roman" w:hAnsi="Times New Roman"/>
          <w:b/>
          <w:sz w:val="22"/>
        </w:rPr>
        <w:t>Supplementary Table S3. E-values for Selected Adjusted NCO Associations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5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Predictor</w:t>
            </w:r>
          </w:p>
        </w:tc>
        <w:tc>
          <w:tcPr>
            <w:tcW w:type="dxa" w:w="1080"/>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Lower 95% CI</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Point E-value</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CI-bound E-value</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5.32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1.87</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6.55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1.53</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1.07</w:t>
            </w:r>
          </w:p>
        </w:tc>
      </w:tr>
      <w:tr>
        <w:tc>
          <w:tcPr>
            <w:tcW w:type="dxa" w:w="35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080"/>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3.94</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1.50</w:t>
            </w:r>
          </w:p>
        </w:tc>
      </w:tr>
    </w:tbl>
    <w:p>
      <w:pPr>
        <w:spacing w:line="240" w:lineRule="auto"/>
      </w:pPr>
      <w:r>
        <w:rPr>
          <w:rFonts w:ascii="Times New Roman" w:hAnsi="Times New Roman"/>
          <w:sz w:val="17"/>
        </w:rPr>
        <w:t>E-values quantify the minimum strength of association, on the risk-ratio scale, that an unmeasured confounder would need with both exposure and outcome to explain away the observed association. Because the observed outcome was uncommon, odds ratios were used as risk-ratio approximations. These analyses are exploratory. CI, confidence interval; NCO, neurocognitive outcome.</w:t>
      </w:r>
    </w:p>
    <w:p>
      <w:r>
        <w:br w:type="page"/>
      </w:r>
    </w:p>
    <w:p>
      <w:pPr>
        <w:keepNext w:val="0"/>
        <w:spacing w:after="160"/>
        <w:jc w:val="center"/>
      </w:pPr>
      <w:r>
        <w:rPr>
          <w:rFonts w:ascii="Times New Roman" w:hAnsi="Times New Roman"/>
          <w:b/>
          <w:sz w:val="22"/>
        </w:rPr>
        <w:t>Figure 1</w:t>
      </w:r>
    </w:p>
    <w:p>
      <w:pPr>
        <w:spacing w:before="160"/>
        <w:jc w:val="center"/>
      </w:pPr>
      <w:r>
        <w:drawing>
          <wp:inline xmlns:a="http://schemas.openxmlformats.org/drawingml/2006/main" xmlns:pic="http://schemas.openxmlformats.org/drawingml/2006/picture">
            <wp:extent cx="5989320" cy="3170816"/>
            <wp:docPr id="1" name="Picture 1" descr="Stacked bars show 173 trials with neither endpoint, 4 with NCO only, 70 with HRQoL only, and 35 with both. The discordant-pair panel contrasts 70 HRQoL-only trials with 4 NCO-only trials." title="Stacked bars show 173 trials with neither endpoint, 4 with NCO only, 70 with HRQoL only, and 35 with"/>
            <wp:cNvGraphicFramePr>
              <a:graphicFrameLocks noChangeAspect="1"/>
            </wp:cNvGraphicFramePr>
            <a:graphic>
              <a:graphicData uri="http://schemas.openxmlformats.org/drawingml/2006/picture">
                <pic:pic>
                  <pic:nvPicPr>
                    <pic:cNvPr id="0" name="Figure1_discordance_mosaic.png"/>
                    <pic:cNvPicPr/>
                  </pic:nvPicPr>
                  <pic:blipFill>
                    <a:blip r:embed="rId10"/>
                    <a:stretch>
                      <a:fillRect/>
                    </a:stretch>
                  </pic:blipFill>
                  <pic:spPr>
                    <a:xfrm>
                      <a:off x="0" y="0"/>
                      <a:ext cx="5989320" cy="3170816"/>
                    </a:xfrm>
                    <a:prstGeom prst="rect"/>
                  </pic:spPr>
                </pic:pic>
              </a:graphicData>
            </a:graphic>
          </wp:inline>
        </w:drawing>
      </w:r>
    </w:p>
    <w:p>
      <w:r>
        <w:br w:type="page"/>
      </w:r>
    </w:p>
    <w:p>
      <w:pPr>
        <w:keepNext w:val="0"/>
        <w:spacing w:after="160"/>
        <w:jc w:val="center"/>
      </w:pPr>
      <w:r>
        <w:rPr>
          <w:rFonts w:ascii="Times New Roman" w:hAnsi="Times New Roman"/>
          <w:b/>
          <w:sz w:val="22"/>
        </w:rPr>
        <w:t>Figure 2</w:t>
      </w:r>
    </w:p>
    <w:p>
      <w:pPr>
        <w:spacing w:before="160"/>
        <w:jc w:val="center"/>
      </w:pPr>
      <w:r>
        <w:drawing>
          <wp:inline xmlns:a="http://schemas.openxmlformats.org/drawingml/2006/main" xmlns:pic="http://schemas.openxmlformats.org/drawingml/2006/picture">
            <wp:extent cx="5989320" cy="2952482"/>
            <wp:docPr id="2" name="Picture 2" descr="Radiation-containing trials register cognition more often than immunotherapy or surgical trials. Tumor-treating fields has a high point estimate but a very wide confidence interval." title="Radiation-containing trials register cognition more often than immunotherapy or surgical trials"/>
            <wp:cNvGraphicFramePr>
              <a:graphicFrameLocks noChangeAspect="1"/>
            </wp:cNvGraphicFramePr>
            <a:graphic>
              <a:graphicData uri="http://schemas.openxmlformats.org/drawingml/2006/picture">
                <pic:pic>
                  <pic:nvPicPr>
                    <pic:cNvPr id="0" name="Figure2_modality_prevalence.png"/>
                    <pic:cNvPicPr/>
                  </pic:nvPicPr>
                  <pic:blipFill>
                    <a:blip r:embed="rId11"/>
                    <a:stretch>
                      <a:fillRect/>
                    </a:stretch>
                  </pic:blipFill>
                  <pic:spPr>
                    <a:xfrm>
                      <a:off x="0" y="0"/>
                      <a:ext cx="5989320" cy="2952482"/>
                    </a:xfrm>
                    <a:prstGeom prst="rect"/>
                  </pic:spPr>
                </pic:pic>
              </a:graphicData>
            </a:graphic>
          </wp:inline>
        </w:drawing>
      </w:r>
    </w:p>
    <w:p>
      <w:r>
        <w:br w:type="page"/>
      </w:r>
    </w:p>
    <w:p>
      <w:pPr>
        <w:keepNext w:val="0"/>
        <w:spacing w:after="160"/>
        <w:jc w:val="center"/>
      </w:pPr>
      <w:r>
        <w:rPr>
          <w:rFonts w:ascii="Times New Roman" w:hAnsi="Times New Roman"/>
          <w:b/>
          <w:sz w:val="22"/>
        </w:rPr>
        <w:t>Figure 3</w:t>
      </w:r>
    </w:p>
    <w:p>
      <w:pPr>
        <w:spacing w:before="160"/>
        <w:jc w:val="center"/>
      </w:pPr>
      <w:r>
        <w:drawing>
          <wp:inline xmlns:a="http://schemas.openxmlformats.org/drawingml/2006/main" xmlns:pic="http://schemas.openxmlformats.org/drawingml/2006/picture">
            <wp:extent cx="5989320" cy="4325620"/>
            <wp:docPr id="3" name="Picture 3" descr="Academic and government or cooperative sponsorship have odds ratios above one relative to industry. Adjusted probabilities are 7.3% for industry, 18.0% for academic or investigator, and 20.7% for government or cooperative sponsorship." title="Academic and government or cooperative sponsorship have odds ratios above one relative to industry"/>
            <wp:cNvGraphicFramePr>
              <a:graphicFrameLocks noChangeAspect="1"/>
            </wp:cNvGraphicFramePr>
            <a:graphic>
              <a:graphicData uri="http://schemas.openxmlformats.org/drawingml/2006/picture">
                <pic:pic>
                  <pic:nvPicPr>
                    <pic:cNvPr id="0" name="Figure3_adjusted_associations.png"/>
                    <pic:cNvPicPr/>
                  </pic:nvPicPr>
                  <pic:blipFill>
                    <a:blip r:embed="rId12"/>
                    <a:stretch>
                      <a:fillRect/>
                    </a:stretch>
                  </pic:blipFill>
                  <pic:spPr>
                    <a:xfrm>
                      <a:off x="0" y="0"/>
                      <a:ext cx="5989320" cy="4325620"/>
                    </a:xfrm>
                    <a:prstGeom prst="rect"/>
                  </pic:spPr>
                </pic:pic>
              </a:graphicData>
            </a:graphic>
          </wp:inline>
        </w:drawing>
      </w:r>
    </w:p>
    <w:p>
      <w:r>
        <w:br w:type="page"/>
      </w:r>
    </w:p>
    <w:p>
      <w:pPr>
        <w:keepNext w:val="0"/>
        <w:spacing w:after="160"/>
        <w:jc w:val="center"/>
      </w:pPr>
      <w:r>
        <w:rPr>
          <w:rFonts w:ascii="Times New Roman" w:hAnsi="Times New Roman"/>
          <w:b/>
          <w:sz w:val="22"/>
        </w:rPr>
        <w:t>Figure 4</w:t>
      </w:r>
    </w:p>
    <w:p>
      <w:pPr>
        <w:spacing w:before="160"/>
        <w:jc w:val="center"/>
      </w:pPr>
      <w:r>
        <w:drawing>
          <wp:inline xmlns:a="http://schemas.openxmlformats.org/drawingml/2006/main" xmlns:pic="http://schemas.openxmlformats.org/drawingml/2006/picture">
            <wp:extent cx="5989320" cy="5230110"/>
            <wp:docPr id="4" name="Picture 4" descr="Registration rose before 2010 and then plateaued. After 2015, rolling industry estimates remain lower than non-industry estimates." title="Registration rose before 2010 and then plateaued"/>
            <wp:cNvGraphicFramePr>
              <a:graphicFrameLocks noChangeAspect="1"/>
            </wp:cNvGraphicFramePr>
            <a:graphic>
              <a:graphicData uri="http://schemas.openxmlformats.org/drawingml/2006/picture">
                <pic:pic>
                  <pic:nvPicPr>
                    <pic:cNvPr id="0" name="Figure4_temporal_by_sponsor.png"/>
                    <pic:cNvPicPr/>
                  </pic:nvPicPr>
                  <pic:blipFill>
                    <a:blip r:embed="rId13"/>
                    <a:stretch>
                      <a:fillRect/>
                    </a:stretch>
                  </pic:blipFill>
                  <pic:spPr>
                    <a:xfrm>
                      <a:off x="0" y="0"/>
                      <a:ext cx="5989320" cy="5230110"/>
                    </a:xfrm>
                    <a:prstGeom prst="rect"/>
                  </pic:spPr>
                </pic:pic>
              </a:graphicData>
            </a:graphic>
          </wp:inline>
        </w:drawing>
      </w:r>
    </w:p>
    <w:p>
      <w:r>
        <w:br w:type="page"/>
      </w:r>
    </w:p>
    <w:p>
      <w:pPr>
        <w:keepNext w:val="0"/>
        <w:spacing w:after="160"/>
        <w:jc w:val="center"/>
      </w:pPr>
      <w:r>
        <w:rPr>
          <w:rFonts w:ascii="Times New Roman" w:hAnsi="Times New Roman"/>
          <w:b/>
          <w:sz w:val="22"/>
        </w:rPr>
        <w:t>Figure 5</w:t>
      </w:r>
    </w:p>
    <w:p>
      <w:pPr>
        <w:spacing w:before="160"/>
        <w:jc w:val="center"/>
      </w:pPr>
      <w:r>
        <w:drawing>
          <wp:inline xmlns:a="http://schemas.openxmlformats.org/drawingml/2006/main" xmlns:pic="http://schemas.openxmlformats.org/drawingml/2006/picture">
            <wp:extent cx="5989320" cy="2745105"/>
            <wp:docPr id="5" name="Picture 5" descr="HRQoL is registered far more often than objective cognition. Among trials that did register cognition, MMSE or MoCA without an ICCTF core test was more common than the full recommended battery." title="HRQoL is registered far more often than objective cognition"/>
            <wp:cNvGraphicFramePr>
              <a:graphicFrameLocks noChangeAspect="1"/>
            </wp:cNvGraphicFramePr>
            <a:graphic>
              <a:graphicData uri="http://schemas.openxmlformats.org/drawingml/2006/picture">
                <pic:pic>
                  <pic:nvPicPr>
                    <pic:cNvPr id="0" name="Figure5_endpoint_summary.png"/>
                    <pic:cNvPicPr/>
                  </pic:nvPicPr>
                  <pic:blipFill>
                    <a:blip r:embed="rId14"/>
                    <a:stretch>
                      <a:fillRect/>
                    </a:stretch>
                  </pic:blipFill>
                  <pic:spPr>
                    <a:xfrm>
                      <a:off x="0" y="0"/>
                      <a:ext cx="5989320" cy="2745105"/>
                    </a:xfrm>
                    <a:prstGeom prst="rect"/>
                  </pic:spPr>
                </pic:pic>
              </a:graphicData>
            </a:graphic>
          </wp:inline>
        </w:drawing>
      </w:r>
    </w:p>
    <w:p>
      <w:r>
        <w:br w:type="page"/>
      </w:r>
    </w:p>
    <w:p>
      <w:pPr>
        <w:keepNext w:val="0"/>
        <w:spacing w:after="160"/>
        <w:jc w:val="center"/>
      </w:pPr>
      <w:r>
        <w:rPr>
          <w:rFonts w:ascii="Times New Roman" w:hAnsi="Times New Roman"/>
          <w:b/>
          <w:sz w:val="22"/>
        </w:rPr>
        <w:t>Supplementary Figure S1</w:t>
      </w:r>
    </w:p>
    <w:p>
      <w:pPr>
        <w:spacing w:before="160"/>
        <w:jc w:val="center"/>
      </w:pPr>
      <w:r>
        <w:drawing>
          <wp:inline xmlns:a="http://schemas.openxmlformats.org/drawingml/2006/main" xmlns:pic="http://schemas.openxmlformats.org/drawingml/2006/picture">
            <wp:extent cx="5806440" cy="4204663"/>
            <wp:docPr id="6" name="Picture 6" descr="MMSE is the most common instrument. ICCTF core tests appear less often than MMSE." title="MMSE is the most common instrument"/>
            <wp:cNvGraphicFramePr>
              <a:graphicFrameLocks noChangeAspect="1"/>
            </wp:cNvGraphicFramePr>
            <a:graphic>
              <a:graphicData uri="http://schemas.openxmlformats.org/drawingml/2006/picture">
                <pic:pic>
                  <pic:nvPicPr>
                    <pic:cNvPr id="0" name="FigureS1_instruments.png"/>
                    <pic:cNvPicPr/>
                  </pic:nvPicPr>
                  <pic:blipFill>
                    <a:blip r:embed="rId15"/>
                    <a:stretch>
                      <a:fillRect/>
                    </a:stretch>
                  </pic:blipFill>
                  <pic:spPr>
                    <a:xfrm>
                      <a:off x="0" y="0"/>
                      <a:ext cx="5806440" cy="4204663"/>
                    </a:xfrm>
                    <a:prstGeom prst="rect"/>
                  </pic:spPr>
                </pic:pic>
              </a:graphicData>
            </a:graphic>
          </wp:inline>
        </w:drawing>
      </w:r>
    </w:p>
    <w:p>
      <w:r>
        <w:br w:type="page"/>
      </w:r>
    </w:p>
    <w:p>
      <w:pPr>
        <w:keepNext w:val="0"/>
        <w:spacing w:after="160"/>
        <w:jc w:val="center"/>
      </w:pPr>
      <w:r>
        <w:rPr>
          <w:rFonts w:ascii="Times New Roman" w:hAnsi="Times New Roman"/>
          <w:b/>
          <w:sz w:val="22"/>
        </w:rPr>
        <w:t>Supplementary Figure S2</w:t>
      </w:r>
    </w:p>
    <w:p>
      <w:pPr>
        <w:spacing w:before="160"/>
        <w:jc w:val="center"/>
      </w:pPr>
      <w:r>
        <w:drawing>
          <wp:inline xmlns:a="http://schemas.openxmlformats.org/drawingml/2006/main" xmlns:pic="http://schemas.openxmlformats.org/drawingml/2006/picture">
            <wp:extent cx="5806440" cy="2991196"/>
            <wp:docPr id="7" name="Picture 7" descr="The academic sponsor association remains above one in every sensitivity analysis." title="The academic sponsor association remains above one in every sensitivity analysis"/>
            <wp:cNvGraphicFramePr>
              <a:graphicFrameLocks noChangeAspect="1"/>
            </wp:cNvGraphicFramePr>
            <a:graphic>
              <a:graphicData uri="http://schemas.openxmlformats.org/drawingml/2006/picture">
                <pic:pic>
                  <pic:nvPicPr>
                    <pic:cNvPr id="0" name="FigureS2_sensitivity_academic.png"/>
                    <pic:cNvPicPr/>
                  </pic:nvPicPr>
                  <pic:blipFill>
                    <a:blip r:embed="rId16"/>
                    <a:stretch>
                      <a:fillRect/>
                    </a:stretch>
                  </pic:blipFill>
                  <pic:spPr>
                    <a:xfrm>
                      <a:off x="0" y="0"/>
                      <a:ext cx="5806440" cy="2991196"/>
                    </a:xfrm>
                    <a:prstGeom prst="rect"/>
                  </pic:spPr>
                </pic:pic>
              </a:graphicData>
            </a:graphic>
          </wp:inline>
        </w:drawing>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Neurocognitive Endpoints in Randomized Glioblastoma and High-Grade Glioma Trials: A Cross-Sectional Registry Analysis</dc:title>
  <dc:subject>Cross-sectional registry analysis of neurocognitive endpoints in randomized glioma trials</dc:subject>
  <dc:creator>Mubashir Ahmad Khan, MBBS</dc:creator>
  <cp:keywords>glioblastoma, high-grade glioma, neurocognition, clinical trials, outcomes</cp:keywords>
  <dc:description>Revised manuscript prepared for author review; highlighted contact placeholders must be completed before submission.</dc:description>
  <cp:lastModifiedBy/>
  <cp:revision>1</cp:revision>
  <dcterms:created xsi:type="dcterms:W3CDTF">2013-12-23T23:15:00Z</dcterms:created>
  <dcterms:modified xsi:type="dcterms:W3CDTF">2013-12-23T23:15:00Z</dcterms:modified>
  <cp:category/>
</cp:coreProperties>
</file>