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5"/>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CellMar>
          <w:top w:w="0" w:type="dxa"/>
          <w:left w:w="0" w:type="dxa"/>
          <w:bottom w:w="0" w:type="dxa"/>
          <w:right w:w="0" w:type="dxa"/>
        </w:tblCellMar>
      </w:tblPr>
      <w:tblGrid>
        <w:gridCol w:w="8674"/>
        <w:gridCol w:w="1191"/>
      </w:tblGrid>
      <w:tr>
        <w:trPr>
          <w:trHeight w:val="1332" w:hRule="atLeast"/>
        </w:trPr>
        <w:tc>
          <w:tcPr>
            <w:tcW w:type="dxa" w:w="8674"/>
            <w:vAlign w:val="center"/>
            <w:tcMar>
              <w:top w:w="40" w:type="dxa"/>
              <w:left w:w="40" w:type="dxa"/>
              <w:bottom w:w="40" w:type="dxa"/>
              <w:right w:w="40" w:type="dxa"/>
            </w:tcMar>
            <w:tcBorders>
              <w:top w:val="nil" w:sz="0" w:space="0" w:color="auto"/>
              <w:left w:val="nil" w:sz="0" w:space="0" w:color="auto"/>
              <w:bottom w:val="nil" w:sz="0" w:space="0" w:color="auto"/>
              <w:right w:val="nil" w:sz="0" w:space="0" w:color="auto"/>
            </w:tcBorders>
          </w:tcPr>
          <w:p>
            <w:pPr>
              <w:spacing w:before="0" w:after="0"/>
              <w:jc w:val="start"/>
              <w:bidi w:val="0"/>
            </w:pPr>
            <w:r/>
            <w:r>
              <w:rPr>
                <w:rFonts w:ascii="IBM Plex Sans Arabic" w:hAnsi="IBM Plex Sans Arabic" w:cs="IBM Plex Sans Arabic" w:eastAsia="IBM Plex Sans Arabic"/>
                <w:b/>
                <w:color w:val="16223A"/>
                <w:sz w:val="36"/>
                <w:szCs w:val="36"/>
              </w:rPr>
              <w:t>Kazma</w:t>
            </w:r>
          </w:p>
          <w:p>
            <w:pPr>
              <w:spacing w:before="0" w:after="0"/>
              <w:jc w:val="start"/>
              <w:bidi w:val="0"/>
            </w:pPr>
            <w:r/>
            <w:r>
              <w:rPr>
                <w:rFonts w:ascii="IBM Plex Sans Arabic" w:hAnsi="IBM Plex Sans Arabic" w:cs="IBM Plex Sans Arabic" w:eastAsia="IBM Plex Sans Arabic"/>
                <w:b w:val="0"/>
                <w:color w:val="94A3B8"/>
                <w:sz w:val="20"/>
                <w:szCs w:val="20"/>
              </w:rPr>
              <w:t>Kazma AI Platform</w:t>
            </w:r>
          </w:p>
          <w:p>
            <w:pPr>
              <w:spacing w:before="0" w:after="0"/>
              <w:jc w:val="start"/>
              <w:bidi w:val="0"/>
            </w:pPr>
            <w:r/>
            <w:r>
              <w:rPr>
                <w:rFonts w:ascii="IBM Plex Sans Arabic" w:hAnsi="IBM Plex Sans Arabic" w:cs="IBM Plex Sans Arabic" w:eastAsia="IBM Plex Sans Arabic"/>
                <w:b w:val="0"/>
                <w:color w:val="94A3B8"/>
                <w:sz w:val="16"/>
                <w:szCs w:val="16"/>
              </w:rPr>
              <w:t>07:41  ·  31 August 2026</w:t>
            </w:r>
          </w:p>
        </w:tc>
        <w:tc>
          <w:tcPr>
            <w:tcW w:type="dxa" w:w="1191"/>
            <w:vAlign w:val="center"/>
            <w:tcMar>
              <w:top w:w="40" w:type="dxa"/>
              <w:left w:w="40" w:type="dxa"/>
              <w:bottom w:w="40" w:type="dxa"/>
              <w:right w:w="40" w:type="dxa"/>
            </w:tcMar>
            <w:tcBorders>
              <w:top w:val="nil" w:sz="0" w:space="0" w:color="auto"/>
              <w:left w:val="nil" w:sz="0" w:space="0" w:color="auto"/>
              <w:bottom w:val="nil" w:sz="0" w:space="0" w:color="auto"/>
              <w:right w:val="nil" w:sz="0" w:space="0" w:color="auto"/>
            </w:tcBorders>
          </w:tcPr>
          <w:p>
            <w:pPr>
              <w:spacing w:before="0" w:after="0"/>
              <w:jc w:val="center"/>
              <w:bidi w:val="1"/>
            </w:pPr>
            <w:r/>
            <w:r>
              <w:drawing>
                <wp:inline xmlns:a="http://schemas.openxmlformats.org/drawingml/2006/main" xmlns:pic="http://schemas.openxmlformats.org/drawingml/2006/picture">
                  <wp:extent cx="612000" cy="772248"/>
                  <wp:docPr id="1" name="Picture 1"/>
                  <wp:cNvGraphicFramePr>
                    <a:graphicFrameLocks noChangeAspect="1"/>
                  </wp:cNvGraphicFramePr>
                  <a:graphic>
                    <a:graphicData uri="http://schemas.openxmlformats.org/drawingml/2006/picture">
                      <pic:pic>
                        <pic:nvPicPr>
                          <pic:cNvPr id="0" name="logo-dark.png"/>
                          <pic:cNvPicPr/>
                        </pic:nvPicPr>
                        <pic:blipFill>
                          <a:blip r:embed="rId11"/>
                          <a:stretch>
                            <a:fillRect/>
                          </a:stretch>
                        </pic:blipFill>
                        <pic:spPr>
                          <a:xfrm>
                            <a:off x="0" y="0"/>
                            <a:ext cx="612000" cy="772248"/>
                          </a:xfrm>
                          <a:prstGeom prst="rect"/>
                        </pic:spPr>
                      </pic:pic>
                    </a:graphicData>
                  </a:graphic>
                </wp:inline>
              </w:drawing>
            </w:r>
          </w:p>
        </w:tc>
      </w:tr>
    </w:tbl>
    <w:tbl>
      <w:tblPr>
        <w:tblW w:type="dxa" w:w="9865"/>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Ind w:w="0" w:type="dxa"/>
      </w:tblPr>
      <w:tblGrid>
        <w:gridCol w:w="9865"/>
      </w:tblGrid>
      <w:tr>
        <w:trPr>
          <w:trHeight w:val="64" w:hRule="exact"/>
        </w:trPr>
        <w:tc>
          <w:tcPr>
            <w:tcW w:type="dxa" w:w="9865"/>
            <w:shd w:fill="3B82F6" w:val="clear"/>
            <w:tcBorders>
              <w:top w:val="nil" w:sz="0" w:space="0" w:color="auto"/>
              <w:left w:val="nil" w:sz="0" w:space="0" w:color="auto"/>
              <w:bottom w:val="nil" w:sz="0" w:space="0" w:color="auto"/>
              <w:right w:val="nil" w:sz="0" w:space="0" w:color="auto"/>
            </w:tcBorders>
            <w:tcMar>
              <w:top w:w="0" w:type="dxa"/>
              <w:left w:w="0" w:type="dxa"/>
              <w:bottom w:w="0" w:type="dxa"/>
              <w:right w:w="0" w:type="dxa"/>
            </w:tcMar>
          </w:tcPr>
          <w:p>
            <w:pPr>
              <w:spacing w:before="0" w:after="0" w:line="20" w:lineRule="exact"/>
            </w:pPr>
            <w:r/>
            <w:r>
              <w:rPr>
                <w:sz w:val="2"/>
              </w:rPr>
              <w:t xml:space="preserve"> </w:t>
            </w:r>
          </w:p>
        </w:tc>
      </w:tr>
    </w:tbl>
    <w:tbl>
      <w:tblPr>
        <w:tblW w:type="dxa" w:w="9865"/>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Ind w:w="0" w:type="dxa"/>
      </w:tblPr>
      <w:tblGrid>
        <w:gridCol w:w="9865"/>
      </w:tblGrid>
      <w:tr>
        <w:trPr>
          <w:trHeight w:val="32" w:hRule="exact"/>
        </w:trPr>
        <w:tc>
          <w:tcPr>
            <w:tcW w:type="dxa" w:w="9865"/>
            <w:shd w:fill="38BDF8" w:val="clear"/>
            <w:tcBorders>
              <w:top w:val="nil" w:sz="0" w:space="0" w:color="auto"/>
              <w:left w:val="nil" w:sz="0" w:space="0" w:color="auto"/>
              <w:bottom w:val="nil" w:sz="0" w:space="0" w:color="auto"/>
              <w:right w:val="nil" w:sz="0" w:space="0" w:color="auto"/>
            </w:tcBorders>
            <w:tcMar>
              <w:top w:w="0" w:type="dxa"/>
              <w:left w:w="0" w:type="dxa"/>
              <w:bottom w:w="0" w:type="dxa"/>
              <w:right w:w="0" w:type="dxa"/>
            </w:tcMar>
          </w:tcPr>
          <w:p>
            <w:pPr>
              <w:spacing w:before="0" w:after="0" w:line="20" w:lineRule="exact"/>
            </w:pPr>
            <w:r/>
            <w:r>
              <w:rPr>
                <w:sz w:val="2"/>
              </w:rPr>
              <w:t xml:space="preserve"> </w:t>
            </w:r>
          </w:p>
        </w:tc>
      </w:tr>
    </w:tbl>
    <w:p>
      <w:pPr>
        <w:spacing w:before="0" w:after="240"/>
      </w:pPr>
    </w:p>
    <w:p>
      <w:pPr>
        <w:pBdr>
          <w:bottom w:val="single" w:sz="16" w:space="6" w:color="3B82F6"/>
        </w:pBdr>
        <w:bidi w:val="0"/>
        <w:spacing w:before="80" w:after="160"/>
        <w:jc w:val="start"/>
        <w:keepNext w:val="1"/>
        <w:keepLines w:val="1"/>
        <w:widowControl w:val="1"/>
      </w:pPr>
      <w:r>
        <w:rPr>
          <w:rFonts w:ascii="IBM Plex Sans Arabic" w:hAnsi="IBM Plex Sans Arabic"/>
          <w:b/>
          <w:color w:val="16223A"/>
          <w:sz w:val="48"/>
        </w:rPr>
        <w:t>Kazma product note</w:t>
      </w:r>
    </w:p>
    <w:p>
      <w:pPr>
        <w:bidi w:val="0"/>
        <w:jc w:val="both"/>
      </w:pPr>
      <w:r>
        <w:t>Kazma is a multi-platform AI agent: one supervisor brain, swarm workers, and the same tools on Telegram, Discord, Slack, the web app, and the TUI. This file is the English twin of stationery B. Header, footer, and page label must read in English because the document language is English — not because a second template exists.</w:t>
      </w:r>
    </w:p>
    <w:p>
      <w:pPr>
        <w:pBdr>
          <w:bottom w:val="single" w:sz="8" w:space="6" w:color="3B82F6"/>
          <w:left w:val="single" w:sz="18" w:space="8" w:color="3B82F6"/>
        </w:pBdr>
        <w:bidi w:val="0"/>
        <w:spacing w:before="200" w:after="160"/>
        <w:jc w:val="start"/>
        <w:keepNext w:val="1"/>
        <w:keepLines w:val="1"/>
        <w:widowControl w:val="1"/>
        <w:outlineLvl w:val="0"/>
      </w:pPr>
      <w:r>
        <w:rPr>
          <w:rFonts w:ascii="IBM Plex Sans Arabic" w:hAnsi="IBM Plex Sans Arabic"/>
          <w:b/>
          <w:color w:val="16223A"/>
          <w:sz w:val="34"/>
        </w:rPr>
        <w:t>Memory and tools</w:t>
      </w:r>
    </w:p>
    <w:p>
      <w:pPr>
        <w:bidi w:val="0"/>
        <w:jc w:val="both"/>
      </w:pPr>
      <w:r>
        <w:t>Memory is not the last twenty turns of a chat. Kazma stores beliefs, episodes, and commitments in a durable engine: hot reads on one database, maintenance on another, so a backup job cannot stall recall. A user-asserted fact is not overwritten by a guess the model invented mid-sentence.</w:t>
      </w:r>
    </w:p>
    <w:p>
      <w:pPr>
        <w:bidi w:val="0"/>
        <w:jc w:val="both"/>
      </w:pPr>
      <w:r>
        <w:t>MCP is the open standard that connects a model to tools. Point Kazma at any MCP server — databases, design tools, internal APIs, custom automation — and the agent calls those tools under the same HITL gates as native skills.</w:t>
      </w:r>
    </w:p>
    <w:p>
      <w:pPr>
        <w:pBdr>
          <w:bottom w:val="single" w:sz="8" w:space="6" w:color="3B82F6"/>
          <w:left w:val="single" w:sz="18" w:space="8" w:color="3B82F6"/>
        </w:pBdr>
        <w:bidi w:val="0"/>
        <w:spacing w:before="200" w:after="160"/>
        <w:jc w:val="start"/>
        <w:keepNext w:val="1"/>
        <w:keepLines w:val="1"/>
        <w:widowControl w:val="1"/>
        <w:outlineLvl w:val="0"/>
      </w:pPr>
      <w:r>
        <w:rPr>
          <w:rFonts w:ascii="IBM Plex Sans Arabic" w:hAnsi="IBM Plex Sans Arabic"/>
          <w:b/>
          <w:color w:val="16223A"/>
          <w:sz w:val="34"/>
        </w:rPr>
        <w:t>What to check</w:t>
      </w:r>
    </w:p>
    <w:p>
      <w:pPr>
        <w:bidi w:val="0"/>
        <w:jc w:val="both"/>
      </w:pPr>
      <w:r>
        <w:t>Page 1 carries the full letterhead with the short brand 'Kazma' and the long footer 'Kazma AI Platform'. Page 2 keeps a running header and a footer that says Page 2 — not a bare digit, and not the Arabic chrome. If you still see منظومة or صفحة, language routing failed.</w:t>
      </w:r>
    </w:p>
    <w:p>
      <w:pPr>
        <w:bidi w:val="0"/>
        <w:jc w:val="both"/>
      </w:pPr>
      <w:r>
        <w:t>This second page exists so the continuation header and the live PAGE field can be judged. Your agent. Your data. Your machine.</w:t>
      </w:r>
    </w:p>
    <w:sectPr w:rsidR="00FC693F" w:rsidRPr="0006063C" w:rsidSect="00034616">
      <w:headerReference w:type="default" r:id="rId9"/>
      <w:footerReference w:type="default" r:id="rId10"/>
      <w:headerReference w:type="first" r:id="rId12"/>
      <w:footerReference w:type="first" r:id="rId13"/>
      <w:pgSz w:w="11906" w:h="16838"/>
      <w:pgMar w:top="1020" w:right="1020" w:bottom="1020" w:left="1020" w:header="312"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start"/>
    </w:pPr>
    <w:r>
      <w:rPr>
        <w:sz w:val="16"/>
      </w:rPr>
    </w:r>
    <w:r>
      <w:rPr>
        <w:sz w:val="16"/>
      </w:rPr>
      <w:t>Kazma AI Platform</w:t>
    </w:r>
    <w:r>
      <w:rPr>
        <w:sz w:val="16"/>
      </w:rPr>
      <w:t xml:space="preserve">    —    </w:t>
    </w:r>
    <w:r>
      <w:rPr>
        <w:sz w:val="16"/>
      </w:rPr>
      <w:t xml:space="preserve">Page </w:t>
    </w:r>
    <w:r>
      <w:rPr>
        <w:sz w:val="16"/>
      </w:rPr>
      <w:fldChar w:fldCharType="begin"/>
    </w:r>
    <w:r>
      <w:rPr>
        <w:sz w:val="16"/>
      </w:rPr>
      <w:instrText xml:space="preserve"> PAGE </w:instrText>
    </w:r>
    <w:r>
      <w:rPr>
        <w:sz w:val="16"/>
      </w:rPr>
      <w:fldChar w:fldCharType="separate"/>
    </w:r>
    <w:r>
      <w:rPr>
        <w:sz w:val="16"/>
      </w:rPr>
      <w:t xml:space="preserve">1</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start"/>
    </w:pPr>
    <w:r>
      <w:rPr>
        <w:sz w:val="16"/>
      </w:rPr>
    </w:r>
    <w:r>
      <w:rPr>
        <w:sz w:val="16"/>
      </w:rPr>
      <w:t>Kazma AI Platform</w:t>
    </w:r>
    <w:r>
      <w:rPr>
        <w:sz w:val="16"/>
      </w:rPr>
      <w:t xml:space="preserve">    —    </w:t>
    </w:r>
    <w:r>
      <w:rPr>
        <w:sz w:val="16"/>
      </w:rPr>
      <w:t xml:space="preserve">Page </w:t>
    </w:r>
    <w:r>
      <w:rPr>
        <w:sz w:val="16"/>
      </w:rPr>
      <w:fldChar w:fldCharType="begin"/>
    </w:r>
    <w:r>
      <w:rPr>
        <w:sz w:val="16"/>
      </w:rPr>
      <w:instrText xml:space="preserve"> PAGE </w:instrText>
    </w:r>
    <w:r>
      <w:rPr>
        <w:sz w:val="16"/>
      </w:rPr>
      <w:fldChar w:fldCharType="separate"/>
    </w:r>
    <w:r>
      <w:rPr>
        <w:sz w:val="16"/>
      </w:rPr>
      <w:t xml:space="preserve">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start"/>
      <w:bidi w:val="0"/>
    </w:pPr>
    <w:r/>
    <w:r>
      <w:rPr>
        <w:rFonts w:ascii="IBM Plex Sans Arabic" w:hAnsi="IBM Plex Sans Arabic" w:cs="IBM Plex Sans Arabic" w:eastAsia="IBM Plex Sans Arabic"/>
        <w:b/>
        <w:color w:val="16223A"/>
        <w:sz w:val="20"/>
        <w:szCs w:val="20"/>
      </w:rPr>
      <w:t>Kazma</w:t>
    </w:r>
  </w:p>
  <w:p>
    <w:pPr>
      <w:spacing w:before="0" w:after="0"/>
      <w:jc w:val="start"/>
      <w:bidi w:val="0"/>
      <w:pBdr>
        <w:bottom w:val="single" w:sz="12" w:space="2" w:color="3B82F6"/>
      </w:pBdr>
    </w:pPr>
    <w:r>
      <w:rPr>
        <w:rFonts w:ascii="IBM Plex Sans Arabic" w:hAnsi="IBM Plex Sans Arabic" w:cs="IBM Plex Sans Arabic" w:eastAsia="IBM Plex Sans Arabic"/>
        <w:b w:val="0"/>
        <w:color w:val="94A3B8"/>
        <w:sz w:val="16"/>
        <w:szCs w:val="16"/>
      </w:rPr>
      <w:t>07:41  ·  31 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96" w:lineRule="auto"/>
      <w:jc w:val="both"/>
    </w:pPr>
    <w:rPr>
      <w:rFonts w:ascii="IBM Plex Sans Arabic" w:hAnsi="IBM Plex Sans Arabic" w:cs="IBM Plex Sans Arabic"/>
      <w:sz w:val="22"/>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Kazma product note</dc:title>
  <dc:subject>Letterhead B — English chrome proof</dc:subject>
  <dc:creator>Kazma</dc:creator>
  <cp:keywords/>
  <dc:description>generated by python-docx</dc:description>
  <cp:lastModifiedBy/>
  <cp:revision>1</cp:revision>
  <dcterms:created xsi:type="dcterms:W3CDTF">2013-12-23T23:15:00Z</dcterms:created>
  <dcterms:modified xsi:type="dcterms:W3CDTF">2013-12-23T23:15:00Z</dcterms:modified>
  <cp:category/>
</cp:coreProperties>
</file>