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00"/>
      </w:pPr>
      <w:r>
        <w:rPr>
          <w:b/>
          <w:color w:val="10B981"/>
          <w:sz w:val="20"/>
        </w:rPr>
        <w:t>ACADEMIC CASE STUDY &amp; PRACTICAL IMPLEMENTATION REPORT</w:t>
      </w:r>
    </w:p>
    <w:p>
      <w:pPr>
        <w:spacing w:before="0" w:after="80"/>
      </w:pPr>
      <w:r>
        <w:rPr>
          <w:b/>
          <w:color w:val="0D382C"/>
          <w:sz w:val="52"/>
        </w:rPr>
        <w:t>Gotera: National Emergency Management System</w:t>
      </w:r>
    </w:p>
    <w:p>
      <w:pPr>
        <w:spacing w:before="0" w:after="400"/>
      </w:pPr>
      <w:r>
        <w:rPr>
          <w:color w:val="64748B"/>
          <w:sz w:val="28"/>
        </w:rPr>
        <w:t>A Canonical Architectural Case Study Grounded in Manning &amp; O'Reilly Standards</w:t>
      </w:r>
    </w:p>
    <w:p>
      <w:pPr>
        <w:spacing w:after="480"/>
      </w:pPr>
      <w:r>
        <w:rPr>
          <w:b/>
          <w:color w:val="10B981"/>
        </w:rPr>
        <w:t>――――――――――――――――――――――――――――――――――――――――――――――――</w:t>
      </w:r>
    </w:p>
    <w:tbl>
      <w:tblPr>
        <w:tblW w:type="auto" w:w="0"/>
        <w:jc w:val="left"/>
        <w:tblLook w:firstColumn="1" w:firstRow="1" w:lastColumn="0" w:lastRow="0" w:noHBand="0" w:noVBand="1" w:val="04A0"/>
      </w:tblPr>
      <w:tblGrid>
        <w:gridCol w:w="4680"/>
        <w:gridCol w:w="4680"/>
      </w:tblGrid>
      <w:tr>
        <w:tc>
          <w:tcPr>
            <w:tcW w:type="dxa" w:w="2880"/>
            <w:tcMar>
              <w:top w:w="40" w:type="dxa"/>
              <w:bottom w:w="40" w:type="dxa"/>
              <w:left w:w="40" w:type="dxa"/>
              <w:right w:w="40" w:type="dxa"/>
            </w:tcMar>
            <w:shd w:fill="F1F5F9"/>
          </w:tcPr>
          <w:p>
            <w:r>
              <w:rPr>
                <w:b/>
                <w:color w:val="0D382C"/>
                <w:sz w:val="20"/>
              </w:rPr>
              <w:t>Project Scope:</w:t>
            </w:r>
          </w:p>
        </w:tc>
        <w:tc>
          <w:tcPr>
            <w:tcW w:type="dxa" w:w="6480"/>
            <w:tcMar>
              <w:top w:w="40" w:type="dxa"/>
              <w:bottom w:w="40" w:type="dxa"/>
              <w:left w:w="40" w:type="dxa"/>
              <w:right w:w="40" w:type="dxa"/>
            </w:tcMar>
          </w:tcPr>
          <w:p>
            <w:r>
              <w:rPr>
                <w:sz w:val="20"/>
              </w:rPr>
              <w:t>Foundational Emergency Food Reserve CRUD System</w:t>
            </w:r>
          </w:p>
        </w:tc>
      </w:tr>
      <w:tr>
        <w:tc>
          <w:tcPr>
            <w:tcW w:type="dxa" w:w="2880"/>
            <w:tcMar>
              <w:top w:w="40" w:type="dxa"/>
              <w:bottom w:w="40" w:type="dxa"/>
              <w:left w:w="40" w:type="dxa"/>
              <w:right w:w="40" w:type="dxa"/>
            </w:tcMar>
          </w:tcPr>
          <w:p>
            <w:r>
              <w:rPr>
                <w:b/>
                <w:color w:val="0D382C"/>
                <w:sz w:val="20"/>
              </w:rPr>
              <w:t>Subject Domain:</w:t>
            </w:r>
          </w:p>
        </w:tc>
        <w:tc>
          <w:tcPr>
            <w:tcW w:type="dxa" w:w="6480"/>
            <w:tcMar>
              <w:top w:w="40" w:type="dxa"/>
              <w:bottom w:w="40" w:type="dxa"/>
              <w:left w:w="40" w:type="dxa"/>
              <w:right w:w="40" w:type="dxa"/>
            </w:tcMar>
          </w:tcPr>
          <w:p>
            <w:r>
              <w:rPr>
                <w:sz w:val="20"/>
              </w:rPr>
              <w:t>National Disaster Risk Management &amp; Strategic Grain Reserves</w:t>
            </w:r>
          </w:p>
        </w:tc>
      </w:tr>
      <w:tr>
        <w:tc>
          <w:tcPr>
            <w:tcW w:type="dxa" w:w="2880"/>
            <w:tcMar>
              <w:top w:w="40" w:type="dxa"/>
              <w:bottom w:w="40" w:type="dxa"/>
              <w:left w:w="40" w:type="dxa"/>
              <w:right w:w="40" w:type="dxa"/>
            </w:tcMar>
          </w:tcPr>
          <w:p>
            <w:r>
              <w:rPr>
                <w:b/>
                <w:color w:val="0D382C"/>
                <w:sz w:val="20"/>
              </w:rPr>
              <w:t>Canonical Textbooks:</w:t>
            </w:r>
          </w:p>
        </w:tc>
        <w:tc>
          <w:tcPr>
            <w:tcW w:type="dxa" w:w="6480"/>
            <w:tcMar>
              <w:top w:w="40" w:type="dxa"/>
              <w:bottom w:w="40" w:type="dxa"/>
              <w:left w:w="40" w:type="dxa"/>
              <w:right w:w="40" w:type="dxa"/>
            </w:tcMar>
          </w:tcPr>
          <w:p>
            <w:r>
              <w:rPr>
                <w:sz w:val="20"/>
              </w:rPr>
              <w:t>MongoDB in Action, Web Dev with Node &amp; Express, Learning React, CSS in Depth, HTML5 Patterns</w:t>
            </w:r>
          </w:p>
        </w:tc>
      </w:tr>
      <w:tr>
        <w:tc>
          <w:tcPr>
            <w:tcW w:type="dxa" w:w="2880"/>
            <w:tcMar>
              <w:top w:w="40" w:type="dxa"/>
              <w:bottom w:w="40" w:type="dxa"/>
              <w:left w:w="40" w:type="dxa"/>
              <w:right w:w="40" w:type="dxa"/>
            </w:tcMar>
          </w:tcPr>
          <w:p>
            <w:r>
              <w:rPr>
                <w:b/>
                <w:color w:val="0D382C"/>
                <w:sz w:val="20"/>
              </w:rPr>
              <w:t>Date of Publication:</w:t>
            </w:r>
          </w:p>
        </w:tc>
        <w:tc>
          <w:tcPr>
            <w:tcW w:type="dxa" w:w="6480"/>
            <w:tcMar>
              <w:top w:w="40" w:type="dxa"/>
              <w:bottom w:w="40" w:type="dxa"/>
              <w:left w:w="40" w:type="dxa"/>
              <w:right w:w="40" w:type="dxa"/>
            </w:tcMar>
          </w:tcPr>
          <w:p>
            <w:r>
              <w:rPr>
                <w:sz w:val="20"/>
              </w:rPr>
              <w:t>September 2026</w:t>
            </w:r>
          </w:p>
        </w:tc>
      </w:tr>
    </w:tbl>
    <w:p>
      <w:r>
        <w:br w:type="page"/>
      </w:r>
    </w:p>
    <w:p>
      <w:pPr>
        <w:pStyle w:val="Heading1"/>
        <w:spacing w:before="240" w:after="120"/>
      </w:pPr>
      <w:r>
        <w:t>1. Executive Summary &amp; System Overview</w:t>
      </w:r>
    </w:p>
    <w:p>
      <w:r>
        <w:t>Gotera (traditionally meaning an elevated granary or grain silo) is a national emergency management and strategic food reserve application designed to track food reserves, monitor storage facilities, and verify incoming emergency shipments. As an academic and practical case study, Gotera intentionally eschews modern 'boilerplate inflation', complex meta-frameworks, and premature microservice sprawl. Instead, the system strictly embodies the architectural discipline, coding idioms, and engineering principles taught in five foundational canonical computer science textbooks.</w:t>
      </w:r>
    </w:p>
    <w:p>
      <w:r>
        <w:t>The application models three central operational entities through robust Create, Read, Update, and Delete (CRUD) flows:</w:t>
        <w:br/>
        <w:t>• Food Inventory: Granular line items (e.g., Wheat Grain, White Rice, Maize, Cooking Oil) tracking net metric tonnage, storage depots, quality status, and expiration timelines.</w:t>
        <w:br/>
        <w:t>• Warehouses: Regional storage depots (e.g., Adama Central, Mekelle Warehouse, Gambella Depot) tracking dynamic capacity utilization %, manager oversight, and operational status.</w:t>
        <w:br/>
        <w:t>• Receiving &amp; Food Collection: Incoming relief shipments from international and national donors (e.g., World Food Programme, USAID, Ministry of Agriculture), logging batch inspection clearance and warehouse destination.</w:t>
      </w:r>
    </w:p>
    <w:p>
      <w:pPr>
        <w:pStyle w:val="Heading1"/>
        <w:spacing w:before="320" w:after="120"/>
      </w:pPr>
      <w:r>
        <w:t>2. Canonical Textbook Architectural Scope</w:t>
      </w:r>
    </w:p>
    <w:p>
      <w:r>
        <w:t>The following matrix summarizes how every layer of Gotera maps directly to one of the five required reference textbooks:</w:t>
      </w:r>
    </w:p>
    <w:tbl>
      <w:tblPr>
        <w:tblW w:type="auto" w:w="0"/>
        <w:jc w:val="center"/>
        <w:tblLook w:firstColumn="1" w:firstRow="1" w:lastColumn="0" w:lastRow="0" w:noHBand="0" w:noVBand="1" w:val="04A0"/>
      </w:tblPr>
      <w:tblGrid>
        <w:gridCol w:w="3120"/>
        <w:gridCol w:w="3120"/>
        <w:gridCol w:w="3120"/>
      </w:tblGrid>
      <w:tr>
        <w:tc>
          <w:tcPr>
            <w:tcW w:type="dxa" w:w="2880"/>
            <w:shd w:fill="0D382C"/>
            <w:tcMar>
              <w:top w:w="120" w:type="dxa"/>
              <w:bottom w:w="120" w:type="dxa"/>
              <w:left w:w="100" w:type="dxa"/>
              <w:right w:w="100" w:type="dxa"/>
            </w:tcMar>
          </w:tcPr>
          <w:p>
            <w:r>
              <w:rPr>
                <w:b/>
                <w:color w:val="FFFFFF"/>
                <w:sz w:val="19"/>
              </w:rPr>
              <w:t>Canonical Textbook</w:t>
            </w:r>
          </w:p>
        </w:tc>
        <w:tc>
          <w:tcPr>
            <w:tcW w:type="dxa" w:w="3168"/>
            <w:shd w:fill="0D382C"/>
            <w:tcMar>
              <w:top w:w="120" w:type="dxa"/>
              <w:bottom w:w="120" w:type="dxa"/>
              <w:left w:w="100" w:type="dxa"/>
              <w:right w:w="100" w:type="dxa"/>
            </w:tcMar>
          </w:tcPr>
          <w:p>
            <w:r>
              <w:rPr>
                <w:b/>
                <w:color w:val="FFFFFF"/>
                <w:sz w:val="19"/>
              </w:rPr>
              <w:t>Architectural Scope &amp; Layer</w:t>
            </w:r>
          </w:p>
        </w:tc>
        <w:tc>
          <w:tcPr>
            <w:tcW w:type="dxa" w:w="3312"/>
            <w:shd w:fill="0D382C"/>
            <w:tcMar>
              <w:top w:w="120" w:type="dxa"/>
              <w:bottom w:w="120" w:type="dxa"/>
              <w:left w:w="100" w:type="dxa"/>
              <w:right w:w="100" w:type="dxa"/>
            </w:tcMar>
          </w:tcPr>
          <w:p>
            <w:r>
              <w:rPr>
                <w:b/>
                <w:color w:val="FFFFFF"/>
                <w:sz w:val="19"/>
              </w:rPr>
              <w:t>Gotera Implementation</w:t>
            </w:r>
          </w:p>
        </w:tc>
      </w:tr>
      <w:tr>
        <w:tc>
          <w:tcPr>
            <w:tcW w:type="dxa" w:w="2880"/>
            <w:shd w:fill="FFFFFF"/>
            <w:tcMar>
              <w:top w:w="100" w:type="dxa"/>
              <w:bottom w:w="100" w:type="dxa"/>
              <w:left w:w="100" w:type="dxa"/>
              <w:right w:w="100" w:type="dxa"/>
            </w:tcMar>
          </w:tcPr>
          <w:p>
            <w:r>
              <w:rPr>
                <w:b/>
                <w:color w:val="0D382C"/>
                <w:sz w:val="18"/>
              </w:rPr>
              <w:t>MongoDB in Action (Manning)</w:t>
            </w:r>
          </w:p>
        </w:tc>
        <w:tc>
          <w:tcPr>
            <w:tcW w:type="dxa" w:w="3168"/>
            <w:shd w:fill="FFFFFF"/>
            <w:tcMar>
              <w:top w:w="100" w:type="dxa"/>
              <w:bottom w:w="100" w:type="dxa"/>
              <w:left w:w="100" w:type="dxa"/>
              <w:right w:w="100" w:type="dxa"/>
            </w:tcMar>
          </w:tcPr>
          <w:p>
            <w:r>
              <w:rPr>
                <w:sz w:val="18"/>
              </w:rPr>
              <w:t>Document Modeling, Querying, Validation, Indexing</w:t>
            </w:r>
          </w:p>
        </w:tc>
        <w:tc>
          <w:tcPr>
            <w:tcW w:type="dxa" w:w="3312"/>
            <w:shd w:fill="FFFFFF"/>
            <w:tcMar>
              <w:top w:w="100" w:type="dxa"/>
              <w:bottom w:w="100" w:type="dxa"/>
              <w:left w:w="100" w:type="dxa"/>
              <w:right w:w="100" w:type="dxa"/>
            </w:tcMar>
          </w:tcPr>
          <w:p>
            <w:r>
              <w:rPr>
                <w:sz w:val="18"/>
              </w:rPr>
              <w:t>Direct Mongoose schemas, compound indexes (category/warehouse), virtuals (capacityUsedPercent), regex filtering.</w:t>
            </w:r>
          </w:p>
        </w:tc>
      </w:tr>
      <w:tr>
        <w:tc>
          <w:tcPr>
            <w:tcW w:type="dxa" w:w="2880"/>
            <w:shd w:fill="F8FAFC"/>
            <w:tcMar>
              <w:top w:w="100" w:type="dxa"/>
              <w:bottom w:w="100" w:type="dxa"/>
              <w:left w:w="100" w:type="dxa"/>
              <w:right w:w="100" w:type="dxa"/>
            </w:tcMar>
          </w:tcPr>
          <w:p>
            <w:r>
              <w:rPr>
                <w:b/>
                <w:color w:val="0D382C"/>
                <w:sz w:val="18"/>
              </w:rPr>
              <w:t>Web Development with Node &amp; Express by Ethan Brown (O'Reilly)</w:t>
            </w:r>
          </w:p>
        </w:tc>
        <w:tc>
          <w:tcPr>
            <w:tcW w:type="dxa" w:w="3168"/>
            <w:shd w:fill="F8FAFC"/>
            <w:tcMar>
              <w:top w:w="100" w:type="dxa"/>
              <w:bottom w:w="100" w:type="dxa"/>
              <w:left w:w="100" w:type="dxa"/>
              <w:right w:w="100" w:type="dxa"/>
            </w:tcMar>
          </w:tcPr>
          <w:p>
            <w:r>
              <w:rPr>
                <w:sz w:val="18"/>
              </w:rPr>
              <w:t>Middleware Pipeline, Modular Routing, REST Handlers</w:t>
            </w:r>
          </w:p>
        </w:tc>
        <w:tc>
          <w:tcPr>
            <w:tcW w:type="dxa" w:w="3312"/>
            <w:shd w:fill="F8FAFC"/>
            <w:tcMar>
              <w:top w:w="100" w:type="dxa"/>
              <w:bottom w:w="100" w:type="dxa"/>
              <w:left w:w="100" w:type="dxa"/>
              <w:right w:w="100" w:type="dxa"/>
            </w:tcMar>
          </w:tcPr>
          <w:p>
            <w:r>
              <w:rPr>
                <w:sz w:val="18"/>
              </w:rPr>
              <w:t>Decoupled handlers/controllers, centralized error handling (404/500), CORS, structured request logging.</w:t>
            </w:r>
          </w:p>
        </w:tc>
      </w:tr>
      <w:tr>
        <w:tc>
          <w:tcPr>
            <w:tcW w:type="dxa" w:w="2880"/>
            <w:shd w:fill="FFFFFF"/>
            <w:tcMar>
              <w:top w:w="100" w:type="dxa"/>
              <w:bottom w:w="100" w:type="dxa"/>
              <w:left w:w="100" w:type="dxa"/>
              <w:right w:w="100" w:type="dxa"/>
            </w:tcMar>
          </w:tcPr>
          <w:p>
            <w:r>
              <w:rPr>
                <w:b/>
                <w:color w:val="0D382C"/>
                <w:sz w:val="18"/>
              </w:rPr>
              <w:t>Learning React by Banks &amp; Porcello (O'Reilly)</w:t>
            </w:r>
          </w:p>
        </w:tc>
        <w:tc>
          <w:tcPr>
            <w:tcW w:type="dxa" w:w="3168"/>
            <w:shd w:fill="FFFFFF"/>
            <w:tcMar>
              <w:top w:w="100" w:type="dxa"/>
              <w:bottom w:w="100" w:type="dxa"/>
              <w:left w:w="100" w:type="dxa"/>
              <w:right w:w="100" w:type="dxa"/>
            </w:tcMar>
          </w:tcPr>
          <w:p>
            <w:r>
              <w:rPr>
                <w:sz w:val="18"/>
              </w:rPr>
              <w:t>Functional Components, Hooks, Controlled Inputs</w:t>
            </w:r>
          </w:p>
        </w:tc>
        <w:tc>
          <w:tcPr>
            <w:tcW w:type="dxa" w:w="3312"/>
            <w:shd w:fill="FFFFFF"/>
            <w:tcMar>
              <w:top w:w="100" w:type="dxa"/>
              <w:bottom w:w="100" w:type="dxa"/>
              <w:left w:w="100" w:type="dxa"/>
              <w:right w:w="100" w:type="dxa"/>
            </w:tcMar>
          </w:tcPr>
          <w:p>
            <w:r>
              <w:rPr>
                <w:sz w:val="18"/>
              </w:rPr>
              <w:t>Idiomatic functional composition, useState/useEffect data fetching, controlled forms, unidirectional data flow.</w:t>
            </w:r>
          </w:p>
        </w:tc>
      </w:tr>
      <w:tr>
        <w:tc>
          <w:tcPr>
            <w:tcW w:type="dxa" w:w="2880"/>
            <w:shd w:fill="F8FAFC"/>
            <w:tcMar>
              <w:top w:w="100" w:type="dxa"/>
              <w:bottom w:w="100" w:type="dxa"/>
              <w:left w:w="100" w:type="dxa"/>
              <w:right w:w="100" w:type="dxa"/>
            </w:tcMar>
          </w:tcPr>
          <w:p>
            <w:r>
              <w:rPr>
                <w:b/>
                <w:color w:val="0D382C"/>
                <w:sz w:val="18"/>
              </w:rPr>
              <w:t>CSS in Depth by Keith J. Grant (Manning)</w:t>
            </w:r>
          </w:p>
        </w:tc>
        <w:tc>
          <w:tcPr>
            <w:tcW w:type="dxa" w:w="3168"/>
            <w:shd w:fill="F8FAFC"/>
            <w:tcMar>
              <w:top w:w="100" w:type="dxa"/>
              <w:bottom w:w="100" w:type="dxa"/>
              <w:left w:w="100" w:type="dxa"/>
              <w:right w:w="100" w:type="dxa"/>
            </w:tcMar>
          </w:tcPr>
          <w:p>
            <w:r>
              <w:rPr>
                <w:sz w:val="18"/>
              </w:rPr>
              <w:t>Cascade, Custom Properties, Layout Modules</w:t>
            </w:r>
          </w:p>
        </w:tc>
        <w:tc>
          <w:tcPr>
            <w:tcW w:type="dxa" w:w="3312"/>
            <w:shd w:fill="F8FAFC"/>
            <w:tcMar>
              <w:top w:w="100" w:type="dxa"/>
              <w:bottom w:w="100" w:type="dxa"/>
              <w:left w:w="100" w:type="dxa"/>
              <w:right w:w="100" w:type="dxa"/>
            </w:tcMar>
          </w:tcPr>
          <w:p>
            <w:r>
              <w:rPr>
                <w:sz w:val="18"/>
              </w:rPr>
              <w:t>Pure CSS custom properties (:root design tokens), CSS Grid &amp; Flexbox, elevation shadows, zero Tailwind dependency.</w:t>
            </w:r>
          </w:p>
        </w:tc>
      </w:tr>
      <w:tr>
        <w:tc>
          <w:tcPr>
            <w:tcW w:type="dxa" w:w="2880"/>
            <w:shd w:fill="FFFFFF"/>
            <w:tcMar>
              <w:top w:w="100" w:type="dxa"/>
              <w:bottom w:w="100" w:type="dxa"/>
              <w:left w:w="100" w:type="dxa"/>
              <w:right w:w="100" w:type="dxa"/>
            </w:tcMar>
          </w:tcPr>
          <w:p>
            <w:r>
              <w:rPr>
                <w:b/>
                <w:color w:val="0D382C"/>
                <w:sz w:val="18"/>
              </w:rPr>
              <w:t>HTML5 Design Patterns</w:t>
            </w:r>
          </w:p>
        </w:tc>
        <w:tc>
          <w:tcPr>
            <w:tcW w:type="dxa" w:w="3168"/>
            <w:shd w:fill="FFFFFF"/>
            <w:tcMar>
              <w:top w:w="100" w:type="dxa"/>
              <w:bottom w:w="100" w:type="dxa"/>
              <w:left w:w="100" w:type="dxa"/>
              <w:right w:w="100" w:type="dxa"/>
            </w:tcMar>
          </w:tcPr>
          <w:p>
            <w:r>
              <w:rPr>
                <w:sz w:val="18"/>
              </w:rPr>
              <w:t>Semantic Layout &amp; Accessible Structures</w:t>
            </w:r>
          </w:p>
        </w:tc>
        <w:tc>
          <w:tcPr>
            <w:tcW w:type="dxa" w:w="3312"/>
            <w:shd w:fill="FFFFFF"/>
            <w:tcMar>
              <w:top w:w="100" w:type="dxa"/>
              <w:bottom w:w="100" w:type="dxa"/>
              <w:left w:w="100" w:type="dxa"/>
              <w:right w:w="100" w:type="dxa"/>
            </w:tcMar>
          </w:tcPr>
          <w:p>
            <w:r>
              <w:rPr>
                <w:sz w:val="18"/>
              </w:rPr>
              <w:t>Semantic landmark tags (&lt;aside&gt;, &lt;main&gt;, &lt;header&gt;, &lt;section&gt;), accessible tables (&lt;caption&gt;, &lt;th scope='col'&gt;), accessible forms.</w:t>
            </w:r>
          </w:p>
        </w:tc>
      </w:tr>
    </w:tbl>
    <w:p>
      <w:pPr>
        <w:spacing w:after="160"/>
      </w:pPr>
    </w:p>
    <w:p>
      <w:pPr>
        <w:pStyle w:val="Heading1"/>
        <w:spacing w:before="320" w:after="120"/>
      </w:pPr>
      <w:r>
        <w:t>3. Document Modeling &amp; Persistence (MongoDB in Action)</w:t>
      </w:r>
    </w:p>
    <w:tbl>
      <w:tblPr>
        <w:tblW w:type="auto" w:w="0"/>
        <w:jc w:val="center"/>
        <w:tblLayout w:type="fixed"/>
        <w:tblLook w:firstColumn="1" w:firstRow="1" w:lastColumn="0" w:lastRow="0" w:noHBand="0" w:noVBand="1" w:val="04A0"/>
      </w:tblPr>
      <w:tblGrid>
        <w:gridCol w:w="9360"/>
      </w:tblGrid>
      <w:tr>
        <w:tc>
          <w:tcPr>
            <w:tcW w:type="dxa" w:w="9360"/>
            <w:shd w:fill="F2F7F4"/>
            <w:tcMar>
              <w:top w:w="140" w:type="dxa"/>
              <w:bottom w:w="140" w:type="dxa"/>
              <w:left w:w="200" w:type="dxa"/>
              <w:right w:w="180" w:type="dxa"/>
            </w:tcMar>
            <w:tcBorders>
              <w:left w:val="single" w:sz="24" w:space="0" w:color="10B981"/>
              <w:top w:val="none"/>
              <w:right w:val="none"/>
              <w:bottom w:val="none"/>
            </w:tcBorders>
          </w:tcPr>
          <w:p>
            <w:pPr>
              <w:spacing w:before="40" w:after="80"/>
            </w:pPr>
            <w:r>
              <w:rPr>
                <w:b/>
                <w:color w:val="0D382C"/>
                <w:sz w:val="19"/>
              </w:rPr>
              <w:t>📌 MONGODB IN ACTION (MANNING)</w:t>
              <w:br/>
            </w:r>
            <w:r>
              <w:rPr>
                <w:i/>
                <w:color w:val="28322D"/>
                <w:sz w:val="19"/>
              </w:rPr>
              <w:t>MongoDB in Action (Chapters 2, 4, 7): Document modeling should directly reflect the domain query patterns. Use compound indexes for high-frequency multi-key queries and lean on schema validation to guarantee data integrity at the ODM boundary.</w:t>
            </w:r>
          </w:p>
        </w:tc>
      </w:tr>
    </w:tbl>
    <w:p>
      <w:pPr>
        <w:spacing w:after="120"/>
      </w:pPr>
    </w:p>
    <w:p>
      <w:r>
        <w:t>In Gotera, document models are implemented in server/models/ following Manning's document modeling conventions:</w:t>
      </w:r>
    </w:p>
    <w:p>
      <w:r>
        <w:t>1. Direct Schema Definition (InventoryItem.js):</w:t>
        <w:br/>
        <w:t>Food line items are modeled with typed fields: name (String, indexed), category (String, enum validated), quantity (Number, min constraint: 0), unit (String, enum: t, kg, L), warehouse (String, indexed), and status (enum: 'In Stock', 'Low Stock', 'Critical', 'Expiring Soon').</w:t>
        <w:br/>
        <w:t>Compound Indexing: As taught in Chapter 7, a compound index { category: 1, warehouse: 1 } was created to optimize high-volume catalog queries when regional officers filter food stock by both category and depot location.</w:t>
      </w:r>
    </w:p>
    <w:p>
      <w:r>
        <w:t>2. Computed Virtuals &amp; Field Validation (Warehouse.js):</w:t>
        <w:br/>
        <w:t>In accordance with MongoDB document design, operational utilization is derived dynamically. A Mongoose virtual getter 'capacityUsedPercent' calculates Math.round((currentStock / totalCapacity) * 100). This avoids storing redundant derived state while ensuring zero round-trip overhead on client requests.</w:t>
      </w:r>
    </w:p>
    <w:p>
      <w:r>
        <w:t>3. Natural Key Traceability (CollectionRecord.js):</w:t>
        <w:br/>
        <w:t>Shipment records utilize natural unique identifiers (e.g., 'GC-2026-1187') indexed with unique: true. The collection pipeline tracks donor source, collection date, destination warehouse, and inspection status.</w:t>
      </w:r>
    </w:p>
    <w:p>
      <w:pPr>
        <w:pStyle w:val="Heading1"/>
        <w:spacing w:before="320" w:after="120"/>
      </w:pPr>
      <w:r>
        <w:t>4. RESTful API Architecture (Node &amp; Express by Ethan Brown)</w:t>
      </w:r>
    </w:p>
    <w:tbl>
      <w:tblPr>
        <w:tblW w:type="auto" w:w="0"/>
        <w:jc w:val="center"/>
        <w:tblLayout w:type="fixed"/>
        <w:tblLook w:firstColumn="1" w:firstRow="1" w:lastColumn="0" w:lastRow="0" w:noHBand="0" w:noVBand="1" w:val="04A0"/>
      </w:tblPr>
      <w:tblGrid>
        <w:gridCol w:w="9360"/>
      </w:tblGrid>
      <w:tr>
        <w:tc>
          <w:tcPr>
            <w:tcW w:type="dxa" w:w="9360"/>
            <w:shd w:fill="F2F7F4"/>
            <w:tcMar>
              <w:top w:w="140" w:type="dxa"/>
              <w:bottom w:w="140" w:type="dxa"/>
              <w:left w:w="200" w:type="dxa"/>
              <w:right w:w="180" w:type="dxa"/>
            </w:tcMar>
            <w:tcBorders>
              <w:left w:val="single" w:sz="24" w:space="0" w:color="10B981"/>
              <w:top w:val="none"/>
              <w:right w:val="none"/>
              <w:bottom w:val="none"/>
            </w:tcBorders>
          </w:tcPr>
          <w:p>
            <w:pPr>
              <w:spacing w:before="40" w:after="80"/>
            </w:pPr>
            <w:r>
              <w:rPr>
                <w:b/>
                <w:color w:val="0D382C"/>
                <w:sz w:val="19"/>
              </w:rPr>
              <w:t>📌 ETHAN BROWN'S EXPRESS IDIOMS (O'REILLY)</w:t>
              <w:br/>
            </w:r>
            <w:r>
              <w:rPr>
                <w:i/>
                <w:color w:val="28322D"/>
                <w:sz w:val="19"/>
              </w:rPr>
              <w:t>Web Development with Node and Express (Chapters 3, 5, 10, 12): Keep routes declarative by decoupling handler functions into dedicated controller modules. Maintain a strict linear middleware pipeline and terminate with dedicated 404 and 500 error-handling middleware.</w:t>
            </w:r>
          </w:p>
        </w:tc>
      </w:tr>
    </w:tbl>
    <w:p>
      <w:pPr>
        <w:spacing w:after="120"/>
      </w:pPr>
    </w:p>
    <w:p>
      <w:r>
        <w:t>Ethan Brown stresses separation of concerns in Express applications. Gotera implements this textbook pattern:</w:t>
        <w:br/>
        <w:t>• Handlers Decoupling: In server/handlers/, functions such as listItems, createItem, updateItem, and deleteItem contain pure business and database logic without coupling to route definition URLs.</w:t>
        <w:br/>
        <w:t>• Declarative Routing: In server/routes/api/inventory.js, routes are declared with express.Router() using the router.route('/') and router.route('/:id') chaining syntax.</w:t>
        <w:br/>
        <w:t>• Middleware Pipeline: In server/index.js, the middleware stack is ordered sequentially: CORS configuration, express.json() body parsing, custom logger middleware, API router mounting, followed strictly by Ethan Brown's two-stage error handlers: notFoundHandler (404) and serverErrorHandler (500).</w:t>
      </w:r>
    </w:p>
    <w:p>
      <w:pPr>
        <w:pStyle w:val="Heading2"/>
      </w:pPr>
      <w:r>
        <w:t>Gotera Core REST API Specification</w:t>
      </w:r>
    </w:p>
    <w:tbl>
      <w:tblPr>
        <w:tblW w:type="auto" w:w="0"/>
        <w:jc w:val="center"/>
        <w:tblLook w:firstColumn="1" w:firstRow="1" w:lastColumn="0" w:lastRow="0" w:noHBand="0" w:noVBand="1" w:val="04A0"/>
      </w:tblPr>
      <w:tblGrid>
        <w:gridCol w:w="2340"/>
        <w:gridCol w:w="2340"/>
        <w:gridCol w:w="2340"/>
        <w:gridCol w:w="2340"/>
      </w:tblGrid>
      <w:tr>
        <w:tc>
          <w:tcPr>
            <w:tcW w:type="dxa" w:w="1728"/>
            <w:shd w:fill="0D382C"/>
            <w:tcMar>
              <w:top w:w="100" w:type="dxa"/>
              <w:bottom w:w="100" w:type="dxa"/>
              <w:left w:w="80" w:type="dxa"/>
              <w:right w:w="80" w:type="dxa"/>
            </w:tcMar>
          </w:tcPr>
          <w:p>
            <w:r>
              <w:rPr>
                <w:b/>
                <w:color w:val="FFFFFF"/>
                <w:sz w:val="18"/>
              </w:rPr>
              <w:t>HTTP Method</w:t>
            </w:r>
          </w:p>
        </w:tc>
        <w:tc>
          <w:tcPr>
            <w:tcW w:type="dxa" w:w="3024"/>
            <w:shd w:fill="0D382C"/>
            <w:tcMar>
              <w:top w:w="100" w:type="dxa"/>
              <w:bottom w:w="100" w:type="dxa"/>
              <w:left w:w="80" w:type="dxa"/>
              <w:right w:w="80" w:type="dxa"/>
            </w:tcMar>
          </w:tcPr>
          <w:p>
            <w:r>
              <w:rPr>
                <w:b/>
                <w:color w:val="FFFFFF"/>
                <w:sz w:val="18"/>
              </w:rPr>
              <w:t>Endpoint Path</w:t>
            </w:r>
          </w:p>
        </w:tc>
        <w:tc>
          <w:tcPr>
            <w:tcW w:type="dxa" w:w="2448"/>
            <w:shd w:fill="0D382C"/>
            <w:tcMar>
              <w:top w:w="100" w:type="dxa"/>
              <w:bottom w:w="100" w:type="dxa"/>
              <w:left w:w="80" w:type="dxa"/>
              <w:right w:w="80" w:type="dxa"/>
            </w:tcMar>
          </w:tcPr>
          <w:p>
            <w:r>
              <w:rPr>
                <w:b/>
                <w:color w:val="FFFFFF"/>
                <w:sz w:val="18"/>
              </w:rPr>
              <w:t>Handler Method</w:t>
            </w:r>
          </w:p>
        </w:tc>
        <w:tc>
          <w:tcPr>
            <w:tcW w:type="dxa" w:w="2160"/>
            <w:shd w:fill="0D382C"/>
            <w:tcMar>
              <w:top w:w="100" w:type="dxa"/>
              <w:bottom w:w="100" w:type="dxa"/>
              <w:left w:w="80" w:type="dxa"/>
              <w:right w:w="80" w:type="dxa"/>
            </w:tcMar>
          </w:tcPr>
          <w:p>
            <w:r>
              <w:rPr>
                <w:b/>
                <w:color w:val="FFFFFF"/>
                <w:sz w:val="18"/>
              </w:rPr>
              <w:t>Purpose &amp; Response Code</w:t>
            </w:r>
          </w:p>
        </w:tc>
      </w:tr>
      <w:tr>
        <w:tc>
          <w:tcPr>
            <w:tcW w:type="dxa" w:w="1728"/>
            <w:shd w:fill="FFFFFF"/>
            <w:tcMar>
              <w:top w:w="80" w:type="dxa"/>
              <w:bottom w:w="80" w:type="dxa"/>
              <w:left w:w="80" w:type="dxa"/>
              <w:right w:w="80" w:type="dxa"/>
            </w:tcMar>
          </w:tcPr>
          <w:p>
            <w:r>
              <w:rPr>
                <w:b/>
                <w:color w:val="059669"/>
                <w:sz w:val="17"/>
              </w:rPr>
              <w:t>GET</w:t>
            </w:r>
          </w:p>
        </w:tc>
        <w:tc>
          <w:tcPr>
            <w:tcW w:type="dxa" w:w="3024"/>
            <w:shd w:fill="FFFFFF"/>
            <w:tcMar>
              <w:top w:w="80" w:type="dxa"/>
              <w:bottom w:w="80" w:type="dxa"/>
              <w:left w:w="80" w:type="dxa"/>
              <w:right w:w="80" w:type="dxa"/>
            </w:tcMar>
          </w:tcPr>
          <w:p>
            <w:r>
              <w:rPr>
                <w:sz w:val="17"/>
              </w:rPr>
              <w:t>/api/inventory</w:t>
            </w:r>
          </w:p>
        </w:tc>
        <w:tc>
          <w:tcPr>
            <w:tcW w:type="dxa" w:w="2448"/>
            <w:shd w:fill="FFFFFF"/>
            <w:tcMar>
              <w:top w:w="80" w:type="dxa"/>
              <w:bottom w:w="80" w:type="dxa"/>
              <w:left w:w="80" w:type="dxa"/>
              <w:right w:w="80" w:type="dxa"/>
            </w:tcMar>
          </w:tcPr>
          <w:p>
            <w:r>
              <w:rPr>
                <w:sz w:val="17"/>
              </w:rPr>
              <w:t>listItems</w:t>
            </w:r>
          </w:p>
        </w:tc>
        <w:tc>
          <w:tcPr>
            <w:tcW w:type="dxa" w:w="2160"/>
            <w:shd w:fill="FFFFFF"/>
            <w:tcMar>
              <w:top w:w="80" w:type="dxa"/>
              <w:bottom w:w="80" w:type="dxa"/>
              <w:left w:w="80" w:type="dxa"/>
              <w:right w:w="80" w:type="dxa"/>
            </w:tcMar>
          </w:tcPr>
          <w:p>
            <w:r>
              <w:rPr>
                <w:sz w:val="17"/>
              </w:rPr>
              <w:t>List all food items (200 OK)</w:t>
            </w:r>
          </w:p>
        </w:tc>
      </w:tr>
      <w:tr>
        <w:tc>
          <w:tcPr>
            <w:tcW w:type="dxa" w:w="1728"/>
            <w:shd w:fill="F8FAFC"/>
            <w:tcMar>
              <w:top w:w="80" w:type="dxa"/>
              <w:bottom w:w="80" w:type="dxa"/>
              <w:left w:w="80" w:type="dxa"/>
              <w:right w:w="80" w:type="dxa"/>
            </w:tcMar>
          </w:tcPr>
          <w:p>
            <w:r>
              <w:rPr>
                <w:b/>
                <w:color w:val="0284C7"/>
                <w:sz w:val="17"/>
              </w:rPr>
              <w:t>POST</w:t>
            </w:r>
          </w:p>
        </w:tc>
        <w:tc>
          <w:tcPr>
            <w:tcW w:type="dxa" w:w="3024"/>
            <w:shd w:fill="F8FAFC"/>
            <w:tcMar>
              <w:top w:w="80" w:type="dxa"/>
              <w:bottom w:w="80" w:type="dxa"/>
              <w:left w:w="80" w:type="dxa"/>
              <w:right w:w="80" w:type="dxa"/>
            </w:tcMar>
          </w:tcPr>
          <w:p>
            <w:r>
              <w:rPr>
                <w:sz w:val="17"/>
              </w:rPr>
              <w:t>/api/inventory</w:t>
            </w:r>
          </w:p>
        </w:tc>
        <w:tc>
          <w:tcPr>
            <w:tcW w:type="dxa" w:w="2448"/>
            <w:shd w:fill="F8FAFC"/>
            <w:tcMar>
              <w:top w:w="80" w:type="dxa"/>
              <w:bottom w:w="80" w:type="dxa"/>
              <w:left w:w="80" w:type="dxa"/>
              <w:right w:w="80" w:type="dxa"/>
            </w:tcMar>
          </w:tcPr>
          <w:p>
            <w:r>
              <w:rPr>
                <w:sz w:val="17"/>
              </w:rPr>
              <w:t>createItem</w:t>
            </w:r>
          </w:p>
        </w:tc>
        <w:tc>
          <w:tcPr>
            <w:tcW w:type="dxa" w:w="2160"/>
            <w:shd w:fill="F8FAFC"/>
            <w:tcMar>
              <w:top w:w="80" w:type="dxa"/>
              <w:bottom w:w="80" w:type="dxa"/>
              <w:left w:w="80" w:type="dxa"/>
              <w:right w:w="80" w:type="dxa"/>
            </w:tcMar>
          </w:tcPr>
          <w:p>
            <w:r>
              <w:rPr>
                <w:sz w:val="17"/>
              </w:rPr>
              <w:t>Create new food line item (201 Created)</w:t>
            </w:r>
          </w:p>
        </w:tc>
      </w:tr>
      <w:tr>
        <w:tc>
          <w:tcPr>
            <w:tcW w:type="dxa" w:w="1728"/>
            <w:shd w:fill="FFFFFF"/>
            <w:tcMar>
              <w:top w:w="80" w:type="dxa"/>
              <w:bottom w:w="80" w:type="dxa"/>
              <w:left w:w="80" w:type="dxa"/>
              <w:right w:w="80" w:type="dxa"/>
            </w:tcMar>
          </w:tcPr>
          <w:p>
            <w:r>
              <w:rPr>
                <w:b/>
                <w:color w:val="D97706"/>
                <w:sz w:val="17"/>
              </w:rPr>
              <w:t>PUT</w:t>
            </w:r>
          </w:p>
        </w:tc>
        <w:tc>
          <w:tcPr>
            <w:tcW w:type="dxa" w:w="3024"/>
            <w:shd w:fill="FFFFFF"/>
            <w:tcMar>
              <w:top w:w="80" w:type="dxa"/>
              <w:bottom w:w="80" w:type="dxa"/>
              <w:left w:w="80" w:type="dxa"/>
              <w:right w:w="80" w:type="dxa"/>
            </w:tcMar>
          </w:tcPr>
          <w:p>
            <w:r>
              <w:rPr>
                <w:sz w:val="17"/>
              </w:rPr>
              <w:t>/api/inventory/:id</w:t>
            </w:r>
          </w:p>
        </w:tc>
        <w:tc>
          <w:tcPr>
            <w:tcW w:type="dxa" w:w="2448"/>
            <w:shd w:fill="FFFFFF"/>
            <w:tcMar>
              <w:top w:w="80" w:type="dxa"/>
              <w:bottom w:w="80" w:type="dxa"/>
              <w:left w:w="80" w:type="dxa"/>
              <w:right w:w="80" w:type="dxa"/>
            </w:tcMar>
          </w:tcPr>
          <w:p>
            <w:r>
              <w:rPr>
                <w:sz w:val="17"/>
              </w:rPr>
              <w:t>updateItem</w:t>
            </w:r>
          </w:p>
        </w:tc>
        <w:tc>
          <w:tcPr>
            <w:tcW w:type="dxa" w:w="2160"/>
            <w:shd w:fill="FFFFFF"/>
            <w:tcMar>
              <w:top w:w="80" w:type="dxa"/>
              <w:bottom w:w="80" w:type="dxa"/>
              <w:left w:w="80" w:type="dxa"/>
              <w:right w:w="80" w:type="dxa"/>
            </w:tcMar>
          </w:tcPr>
          <w:p>
            <w:r>
              <w:rPr>
                <w:sz w:val="17"/>
              </w:rPr>
              <w:t>Update item qty or status (200 OK)</w:t>
            </w:r>
          </w:p>
        </w:tc>
      </w:tr>
      <w:tr>
        <w:tc>
          <w:tcPr>
            <w:tcW w:type="dxa" w:w="1728"/>
            <w:shd w:fill="F8FAFC"/>
            <w:tcMar>
              <w:top w:w="80" w:type="dxa"/>
              <w:bottom w:w="80" w:type="dxa"/>
              <w:left w:w="80" w:type="dxa"/>
              <w:right w:w="80" w:type="dxa"/>
            </w:tcMar>
          </w:tcPr>
          <w:p>
            <w:r>
              <w:rPr>
                <w:b/>
                <w:color w:val="DC2626"/>
                <w:sz w:val="17"/>
              </w:rPr>
              <w:t>DELETE</w:t>
            </w:r>
          </w:p>
        </w:tc>
        <w:tc>
          <w:tcPr>
            <w:tcW w:type="dxa" w:w="3024"/>
            <w:shd w:fill="F8FAFC"/>
            <w:tcMar>
              <w:top w:w="80" w:type="dxa"/>
              <w:bottom w:w="80" w:type="dxa"/>
              <w:left w:w="80" w:type="dxa"/>
              <w:right w:w="80" w:type="dxa"/>
            </w:tcMar>
          </w:tcPr>
          <w:p>
            <w:r>
              <w:rPr>
                <w:sz w:val="17"/>
              </w:rPr>
              <w:t>/api/inventory/:id</w:t>
            </w:r>
          </w:p>
        </w:tc>
        <w:tc>
          <w:tcPr>
            <w:tcW w:type="dxa" w:w="2448"/>
            <w:shd w:fill="F8FAFC"/>
            <w:tcMar>
              <w:top w:w="80" w:type="dxa"/>
              <w:bottom w:w="80" w:type="dxa"/>
              <w:left w:w="80" w:type="dxa"/>
              <w:right w:w="80" w:type="dxa"/>
            </w:tcMar>
          </w:tcPr>
          <w:p>
            <w:r>
              <w:rPr>
                <w:sz w:val="17"/>
              </w:rPr>
              <w:t>deleteItem</w:t>
            </w:r>
          </w:p>
        </w:tc>
        <w:tc>
          <w:tcPr>
            <w:tcW w:type="dxa" w:w="2160"/>
            <w:shd w:fill="F8FAFC"/>
            <w:tcMar>
              <w:top w:w="80" w:type="dxa"/>
              <w:bottom w:w="80" w:type="dxa"/>
              <w:left w:w="80" w:type="dxa"/>
              <w:right w:w="80" w:type="dxa"/>
            </w:tcMar>
          </w:tcPr>
          <w:p>
            <w:r>
              <w:rPr>
                <w:sz w:val="17"/>
              </w:rPr>
              <w:t>Remove obsolete item (200 OK)</w:t>
            </w:r>
          </w:p>
        </w:tc>
      </w:tr>
      <w:tr>
        <w:tc>
          <w:tcPr>
            <w:tcW w:type="dxa" w:w="1728"/>
            <w:shd w:fill="FFFFFF"/>
            <w:tcMar>
              <w:top w:w="80" w:type="dxa"/>
              <w:bottom w:w="80" w:type="dxa"/>
              <w:left w:w="80" w:type="dxa"/>
              <w:right w:w="80" w:type="dxa"/>
            </w:tcMar>
          </w:tcPr>
          <w:p>
            <w:r>
              <w:rPr>
                <w:b/>
                <w:color w:val="059669"/>
                <w:sz w:val="17"/>
              </w:rPr>
              <w:t>GET</w:t>
            </w:r>
          </w:p>
        </w:tc>
        <w:tc>
          <w:tcPr>
            <w:tcW w:type="dxa" w:w="3024"/>
            <w:shd w:fill="FFFFFF"/>
            <w:tcMar>
              <w:top w:w="80" w:type="dxa"/>
              <w:bottom w:w="80" w:type="dxa"/>
              <w:left w:w="80" w:type="dxa"/>
              <w:right w:w="80" w:type="dxa"/>
            </w:tcMar>
          </w:tcPr>
          <w:p>
            <w:r>
              <w:rPr>
                <w:sz w:val="17"/>
              </w:rPr>
              <w:t>/api/warehouses</w:t>
            </w:r>
          </w:p>
        </w:tc>
        <w:tc>
          <w:tcPr>
            <w:tcW w:type="dxa" w:w="2448"/>
            <w:shd w:fill="FFFFFF"/>
            <w:tcMar>
              <w:top w:w="80" w:type="dxa"/>
              <w:bottom w:w="80" w:type="dxa"/>
              <w:left w:w="80" w:type="dxa"/>
              <w:right w:w="80" w:type="dxa"/>
            </w:tcMar>
          </w:tcPr>
          <w:p>
            <w:r>
              <w:rPr>
                <w:sz w:val="17"/>
              </w:rPr>
              <w:t>listWarehouses</w:t>
            </w:r>
          </w:p>
        </w:tc>
        <w:tc>
          <w:tcPr>
            <w:tcW w:type="dxa" w:w="2160"/>
            <w:shd w:fill="FFFFFF"/>
            <w:tcMar>
              <w:top w:w="80" w:type="dxa"/>
              <w:bottom w:w="80" w:type="dxa"/>
              <w:left w:w="80" w:type="dxa"/>
              <w:right w:w="80" w:type="dxa"/>
            </w:tcMar>
          </w:tcPr>
          <w:p>
            <w:r>
              <w:rPr>
                <w:sz w:val="17"/>
              </w:rPr>
              <w:t>List regional depots (200 OK)</w:t>
            </w:r>
          </w:p>
        </w:tc>
      </w:tr>
      <w:tr>
        <w:tc>
          <w:tcPr>
            <w:tcW w:type="dxa" w:w="1728"/>
            <w:shd w:fill="F8FAFC"/>
            <w:tcMar>
              <w:top w:w="80" w:type="dxa"/>
              <w:bottom w:w="80" w:type="dxa"/>
              <w:left w:w="80" w:type="dxa"/>
              <w:right w:w="80" w:type="dxa"/>
            </w:tcMar>
          </w:tcPr>
          <w:p>
            <w:r>
              <w:rPr>
                <w:b/>
                <w:color w:val="0284C7"/>
                <w:sz w:val="17"/>
              </w:rPr>
              <w:t>POST</w:t>
            </w:r>
          </w:p>
        </w:tc>
        <w:tc>
          <w:tcPr>
            <w:tcW w:type="dxa" w:w="3024"/>
            <w:shd w:fill="F8FAFC"/>
            <w:tcMar>
              <w:top w:w="80" w:type="dxa"/>
              <w:bottom w:w="80" w:type="dxa"/>
              <w:left w:w="80" w:type="dxa"/>
              <w:right w:w="80" w:type="dxa"/>
            </w:tcMar>
          </w:tcPr>
          <w:p>
            <w:r>
              <w:rPr>
                <w:sz w:val="17"/>
              </w:rPr>
              <w:t>/api/warehouses</w:t>
            </w:r>
          </w:p>
        </w:tc>
        <w:tc>
          <w:tcPr>
            <w:tcW w:type="dxa" w:w="2448"/>
            <w:shd w:fill="F8FAFC"/>
            <w:tcMar>
              <w:top w:w="80" w:type="dxa"/>
              <w:bottom w:w="80" w:type="dxa"/>
              <w:left w:w="80" w:type="dxa"/>
              <w:right w:w="80" w:type="dxa"/>
            </w:tcMar>
          </w:tcPr>
          <w:p>
            <w:r>
              <w:rPr>
                <w:sz w:val="17"/>
              </w:rPr>
              <w:t>createWarehouse</w:t>
            </w:r>
          </w:p>
        </w:tc>
        <w:tc>
          <w:tcPr>
            <w:tcW w:type="dxa" w:w="2160"/>
            <w:shd w:fill="F8FAFC"/>
            <w:tcMar>
              <w:top w:w="80" w:type="dxa"/>
              <w:bottom w:w="80" w:type="dxa"/>
              <w:left w:w="80" w:type="dxa"/>
              <w:right w:w="80" w:type="dxa"/>
            </w:tcMar>
          </w:tcPr>
          <w:p>
            <w:r>
              <w:rPr>
                <w:sz w:val="17"/>
              </w:rPr>
              <w:t>Create storage facility (201 Created)</w:t>
            </w:r>
          </w:p>
        </w:tc>
      </w:tr>
      <w:tr>
        <w:tc>
          <w:tcPr>
            <w:tcW w:type="dxa" w:w="1728"/>
            <w:shd w:fill="FFFFFF"/>
            <w:tcMar>
              <w:top w:w="80" w:type="dxa"/>
              <w:bottom w:w="80" w:type="dxa"/>
              <w:left w:w="80" w:type="dxa"/>
              <w:right w:w="80" w:type="dxa"/>
            </w:tcMar>
          </w:tcPr>
          <w:p>
            <w:r>
              <w:rPr>
                <w:b/>
                <w:color w:val="059669"/>
                <w:sz w:val="17"/>
              </w:rPr>
              <w:t>GET</w:t>
            </w:r>
          </w:p>
        </w:tc>
        <w:tc>
          <w:tcPr>
            <w:tcW w:type="dxa" w:w="3024"/>
            <w:shd w:fill="FFFFFF"/>
            <w:tcMar>
              <w:top w:w="80" w:type="dxa"/>
              <w:bottom w:w="80" w:type="dxa"/>
              <w:left w:w="80" w:type="dxa"/>
              <w:right w:w="80" w:type="dxa"/>
            </w:tcMar>
          </w:tcPr>
          <w:p>
            <w:r>
              <w:rPr>
                <w:sz w:val="17"/>
              </w:rPr>
              <w:t>/api/collections</w:t>
            </w:r>
          </w:p>
        </w:tc>
        <w:tc>
          <w:tcPr>
            <w:tcW w:type="dxa" w:w="2448"/>
            <w:shd w:fill="FFFFFF"/>
            <w:tcMar>
              <w:top w:w="80" w:type="dxa"/>
              <w:bottom w:w="80" w:type="dxa"/>
              <w:left w:w="80" w:type="dxa"/>
              <w:right w:w="80" w:type="dxa"/>
            </w:tcMar>
          </w:tcPr>
          <w:p>
            <w:r>
              <w:rPr>
                <w:sz w:val="17"/>
              </w:rPr>
              <w:t>listCollections</w:t>
            </w:r>
          </w:p>
        </w:tc>
        <w:tc>
          <w:tcPr>
            <w:tcW w:type="dxa" w:w="2160"/>
            <w:shd w:fill="FFFFFF"/>
            <w:tcMar>
              <w:top w:w="80" w:type="dxa"/>
              <w:bottom w:w="80" w:type="dxa"/>
              <w:left w:w="80" w:type="dxa"/>
              <w:right w:w="80" w:type="dxa"/>
            </w:tcMar>
          </w:tcPr>
          <w:p>
            <w:r>
              <w:rPr>
                <w:sz w:val="17"/>
              </w:rPr>
              <w:t>List shipment records (200 OK)</w:t>
            </w:r>
          </w:p>
        </w:tc>
      </w:tr>
      <w:tr>
        <w:tc>
          <w:tcPr>
            <w:tcW w:type="dxa" w:w="1728"/>
            <w:shd w:fill="F8FAFC"/>
            <w:tcMar>
              <w:top w:w="80" w:type="dxa"/>
              <w:bottom w:w="80" w:type="dxa"/>
              <w:left w:w="80" w:type="dxa"/>
              <w:right w:w="80" w:type="dxa"/>
            </w:tcMar>
          </w:tcPr>
          <w:p>
            <w:r>
              <w:rPr>
                <w:b/>
                <w:color w:val="0284C7"/>
                <w:sz w:val="17"/>
              </w:rPr>
              <w:t>POST</w:t>
            </w:r>
          </w:p>
        </w:tc>
        <w:tc>
          <w:tcPr>
            <w:tcW w:type="dxa" w:w="3024"/>
            <w:shd w:fill="F8FAFC"/>
            <w:tcMar>
              <w:top w:w="80" w:type="dxa"/>
              <w:bottom w:w="80" w:type="dxa"/>
              <w:left w:w="80" w:type="dxa"/>
              <w:right w:w="80" w:type="dxa"/>
            </w:tcMar>
          </w:tcPr>
          <w:p>
            <w:r>
              <w:rPr>
                <w:sz w:val="17"/>
              </w:rPr>
              <w:t>/api/collections</w:t>
            </w:r>
          </w:p>
        </w:tc>
        <w:tc>
          <w:tcPr>
            <w:tcW w:type="dxa" w:w="2448"/>
            <w:shd w:fill="F8FAFC"/>
            <w:tcMar>
              <w:top w:w="80" w:type="dxa"/>
              <w:bottom w:w="80" w:type="dxa"/>
              <w:left w:w="80" w:type="dxa"/>
              <w:right w:w="80" w:type="dxa"/>
            </w:tcMar>
          </w:tcPr>
          <w:p>
            <w:r>
              <w:rPr>
                <w:sz w:val="17"/>
              </w:rPr>
              <w:t>createCollection</w:t>
            </w:r>
          </w:p>
        </w:tc>
        <w:tc>
          <w:tcPr>
            <w:tcW w:type="dxa" w:w="2160"/>
            <w:shd w:fill="F8FAFC"/>
            <w:tcMar>
              <w:top w:w="80" w:type="dxa"/>
              <w:bottom w:w="80" w:type="dxa"/>
              <w:left w:w="80" w:type="dxa"/>
              <w:right w:w="80" w:type="dxa"/>
            </w:tcMar>
          </w:tcPr>
          <w:p>
            <w:r>
              <w:rPr>
                <w:sz w:val="17"/>
              </w:rPr>
              <w:t>Log new food collection (201 Created)</w:t>
            </w:r>
          </w:p>
        </w:tc>
      </w:tr>
      <w:tr>
        <w:tc>
          <w:tcPr>
            <w:tcW w:type="dxa" w:w="1728"/>
            <w:shd w:fill="FFFFFF"/>
            <w:tcMar>
              <w:top w:w="80" w:type="dxa"/>
              <w:bottom w:w="80" w:type="dxa"/>
              <w:left w:w="80" w:type="dxa"/>
              <w:right w:w="80" w:type="dxa"/>
            </w:tcMar>
          </w:tcPr>
          <w:p>
            <w:r>
              <w:rPr>
                <w:b/>
                <w:color w:val="059669"/>
                <w:sz w:val="17"/>
              </w:rPr>
              <w:t>GET</w:t>
            </w:r>
          </w:p>
        </w:tc>
        <w:tc>
          <w:tcPr>
            <w:tcW w:type="dxa" w:w="3024"/>
            <w:shd w:fill="FFFFFF"/>
            <w:tcMar>
              <w:top w:w="80" w:type="dxa"/>
              <w:bottom w:w="80" w:type="dxa"/>
              <w:left w:w="80" w:type="dxa"/>
              <w:right w:w="80" w:type="dxa"/>
            </w:tcMar>
          </w:tcPr>
          <w:p>
            <w:r>
              <w:rPr>
                <w:sz w:val="17"/>
              </w:rPr>
              <w:t>/api/stats/overview</w:t>
            </w:r>
          </w:p>
        </w:tc>
        <w:tc>
          <w:tcPr>
            <w:tcW w:type="dxa" w:w="2448"/>
            <w:shd w:fill="FFFFFF"/>
            <w:tcMar>
              <w:top w:w="80" w:type="dxa"/>
              <w:bottom w:w="80" w:type="dxa"/>
              <w:left w:w="80" w:type="dxa"/>
              <w:right w:w="80" w:type="dxa"/>
            </w:tcMar>
          </w:tcPr>
          <w:p>
            <w:r>
              <w:rPr>
                <w:sz w:val="17"/>
              </w:rPr>
              <w:t>getOverviewStats</w:t>
            </w:r>
          </w:p>
        </w:tc>
        <w:tc>
          <w:tcPr>
            <w:tcW w:type="dxa" w:w="2160"/>
            <w:shd w:fill="FFFFFF"/>
            <w:tcMar>
              <w:top w:w="80" w:type="dxa"/>
              <w:bottom w:w="80" w:type="dxa"/>
              <w:left w:w="80" w:type="dxa"/>
              <w:right w:w="80" w:type="dxa"/>
            </w:tcMar>
          </w:tcPr>
          <w:p>
            <w:r>
              <w:rPr>
                <w:sz w:val="17"/>
              </w:rPr>
              <w:t>Aggregated metric totals (200 OK)</w:t>
            </w:r>
          </w:p>
        </w:tc>
      </w:tr>
    </w:tbl>
    <w:p>
      <w:pPr>
        <w:spacing w:after="160"/>
      </w:pPr>
    </w:p>
    <w:p>
      <w:pPr>
        <w:pStyle w:val="Heading1"/>
        <w:spacing w:before="320" w:after="120"/>
      </w:pPr>
      <w:r>
        <w:t>5. Functional Components &amp; Data Flow (Learning React)</w:t>
      </w:r>
    </w:p>
    <w:tbl>
      <w:tblPr>
        <w:tblW w:type="auto" w:w="0"/>
        <w:jc w:val="center"/>
        <w:tblLayout w:type="fixed"/>
        <w:tblLook w:firstColumn="1" w:firstRow="1" w:lastColumn="0" w:lastRow="0" w:noHBand="0" w:noVBand="1" w:val="04A0"/>
      </w:tblPr>
      <w:tblGrid>
        <w:gridCol w:w="9360"/>
      </w:tblGrid>
      <w:tr>
        <w:tc>
          <w:tcPr>
            <w:tcW w:type="dxa" w:w="9360"/>
            <w:shd w:fill="F2F7F4"/>
            <w:tcMar>
              <w:top w:w="140" w:type="dxa"/>
              <w:bottom w:w="140" w:type="dxa"/>
              <w:left w:w="200" w:type="dxa"/>
              <w:right w:w="180" w:type="dxa"/>
            </w:tcMar>
            <w:tcBorders>
              <w:left w:val="single" w:sz="24" w:space="0" w:color="10B981"/>
              <w:top w:val="none"/>
              <w:right w:val="none"/>
              <w:bottom w:val="none"/>
            </w:tcBorders>
          </w:tcPr>
          <w:p>
            <w:pPr>
              <w:spacing w:before="40" w:after="80"/>
            </w:pPr>
            <w:r>
              <w:rPr>
                <w:b/>
                <w:color w:val="0D382C"/>
                <w:sz w:val="19"/>
              </w:rPr>
              <w:t>📌 BANKS &amp; PORCELLO REACT PATTERNS (O'REILLY)</w:t>
              <w:br/>
            </w:r>
            <w:r>
              <w:rPr>
                <w:i/>
                <w:color w:val="28322D"/>
                <w:sz w:val="19"/>
              </w:rPr>
              <w:t>Learning React by Alex Banks &amp; Eve Porcello (Chapters 6 &amp; 7): Modern idiomatic React relies on pure functional components composed into focused hierarchies. Manage lifecycle and side-effects with useEffect, maintain form state with controlled components, and avoid external state managers when unidirectional props suffice.</w:t>
            </w:r>
          </w:p>
        </w:tc>
      </w:tr>
    </w:tbl>
    <w:p>
      <w:pPr>
        <w:spacing w:after="120"/>
      </w:pPr>
    </w:p>
    <w:p>
      <w:r>
        <w:t>In client/src/, the frontend architecture strictly follows Learning React:</w:t>
        <w:br/>
        <w:t>• Unidirectional Data Flow: App.jsx acts as the top-level stateful coordinator holding master arrays for inventoryItems, warehouses, collections, and stats. Props flow cleanly downward to child components (Sidebar, Header, StatCards, InventoryTable, WarehouseGrid, ReceivingTable).</w:t>
        <w:br/>
        <w:t>• Controlled Form Components: In InventoryModal.jsx and ReceivingForm.jsx, every form input binds its value directly to component state (value={formData.field}) and updates through an onChange handler. Form submission validates input constraints before emitting clean payload events up to App.jsx.</w:t>
        <w:br/>
        <w:t>• Lifecycle Synchronization: useEffect executes once on component mount to trigger fetchAllData(), utilizing Promise.all to concurrently hydrate inventory, warehouse, collection, and overview metrics from Express.</w:t>
      </w:r>
    </w:p>
    <w:p>
      <w:pPr>
        <w:pStyle w:val="Heading1"/>
        <w:spacing w:before="320" w:after="120"/>
      </w:pPr>
      <w:r>
        <w:t>6. Cascade, Modularity &amp; Layout Modules (CSS in Depth)</w:t>
      </w:r>
    </w:p>
    <w:tbl>
      <w:tblPr>
        <w:tblW w:type="auto" w:w="0"/>
        <w:jc w:val="center"/>
        <w:tblLayout w:type="fixed"/>
        <w:tblLook w:firstColumn="1" w:firstRow="1" w:lastColumn="0" w:lastRow="0" w:noHBand="0" w:noVBand="1" w:val="04A0"/>
      </w:tblPr>
      <w:tblGrid>
        <w:gridCol w:w="9360"/>
      </w:tblGrid>
      <w:tr>
        <w:tc>
          <w:tcPr>
            <w:tcW w:type="dxa" w:w="9360"/>
            <w:shd w:fill="F2F7F4"/>
            <w:tcMar>
              <w:top w:w="140" w:type="dxa"/>
              <w:bottom w:w="140" w:type="dxa"/>
              <w:left w:w="200" w:type="dxa"/>
              <w:right w:w="180" w:type="dxa"/>
            </w:tcMar>
            <w:tcBorders>
              <w:left w:val="single" w:sz="24" w:space="0" w:color="10B981"/>
              <w:top w:val="none"/>
              <w:right w:val="none"/>
              <w:bottom w:val="none"/>
            </w:tcBorders>
          </w:tcPr>
          <w:p>
            <w:pPr>
              <w:spacing w:before="40" w:after="80"/>
            </w:pPr>
            <w:r>
              <w:rPr>
                <w:b/>
                <w:color w:val="0D382C"/>
                <w:sz w:val="19"/>
              </w:rPr>
              <w:t>📌 KEITH J. GRANT CSS PRINCIPLES (MANNING)</w:t>
              <w:br/>
            </w:r>
            <w:r>
              <w:rPr>
                <w:i/>
                <w:color w:val="28322D"/>
                <w:sz w:val="19"/>
              </w:rPr>
              <w:t>CSS in Depth by Keith J. Grant (Chapters 2, 4, 5, 8, 10): Harness the cascade and modular design tokens using CSS custom properties (:root). Use CSS Grid for two-dimensional page containers and Flexbox for one-dimensional component alignment, entirely avoiding heavy utility-class dependencies.</w:t>
            </w:r>
          </w:p>
        </w:tc>
      </w:tr>
    </w:tbl>
    <w:p>
      <w:pPr>
        <w:spacing w:after="120"/>
      </w:pPr>
    </w:p>
    <w:p>
      <w:r>
        <w:t>CSS styling is divided into modular files (variables.css, reset.css, layout.css, components.css, auth.css):</w:t>
        <w:br/>
        <w:t>• Custom Property Design Tokens: :root defines high-contrast semantic palettes (--color-primary-dark: #0d382c; --color-brand-emerald: #10b981; --color-bg-app: #f2f5f3), modular typography scales, border radii, and elevation shadows.</w:t>
        <w:br/>
        <w:t>• Layout Modules: The overall application shell uses a multi-column Flexbox layout with a sticky sidebar (width: 250px). The key metrics section uses CSS Grid (grid-template-columns: repeat(4, 1fr)). The Warehouses view employs an auto-responsive three-column Grid (repeat(3, 1fr)), while the Receiving view uses an asymmetrical split Grid (62% table, 38% form).</w:t>
        <w:br/>
        <w:t>• Visual Fidelity: Status pills, progress meters with dynamic thresholds (&lt;85% green, &gt;=85% amber, &gt;=95% red), and hover transitions strictly reproduce the Gotera visual mockups without third-party CSS bloat.</w:t>
      </w:r>
    </w:p>
    <w:p>
      <w:pPr>
        <w:pStyle w:val="Heading1"/>
        <w:spacing w:before="320" w:after="120"/>
      </w:pPr>
      <w:r>
        <w:t>7. Semantic Hierarchy &amp; Accessibility (HTML5 Design Patterns)</w:t>
      </w:r>
    </w:p>
    <w:tbl>
      <w:tblPr>
        <w:tblW w:type="auto" w:w="0"/>
        <w:jc w:val="center"/>
        <w:tblLayout w:type="fixed"/>
        <w:tblLook w:firstColumn="1" w:firstRow="1" w:lastColumn="0" w:lastRow="0" w:noHBand="0" w:noVBand="1" w:val="04A0"/>
      </w:tblPr>
      <w:tblGrid>
        <w:gridCol w:w="9360"/>
      </w:tblGrid>
      <w:tr>
        <w:tc>
          <w:tcPr>
            <w:tcW w:type="dxa" w:w="9360"/>
            <w:shd w:fill="F2F7F4"/>
            <w:tcMar>
              <w:top w:w="140" w:type="dxa"/>
              <w:bottom w:w="140" w:type="dxa"/>
              <w:left w:w="200" w:type="dxa"/>
              <w:right w:w="180" w:type="dxa"/>
            </w:tcMar>
            <w:tcBorders>
              <w:left w:val="single" w:sz="24" w:space="0" w:color="10B981"/>
              <w:top w:val="none"/>
              <w:right w:val="none"/>
              <w:bottom w:val="none"/>
            </w:tcBorders>
          </w:tcPr>
          <w:p>
            <w:pPr>
              <w:spacing w:before="40" w:after="80"/>
            </w:pPr>
            <w:r>
              <w:rPr>
                <w:b/>
                <w:color w:val="0D382C"/>
                <w:sz w:val="19"/>
              </w:rPr>
              <w:t>📌 HTML5 DESIGN PATTERNS</w:t>
              <w:br/>
            </w:r>
            <w:r>
              <w:rPr>
                <w:i/>
                <w:color w:val="28322D"/>
                <w:sz w:val="19"/>
              </w:rPr>
              <w:t>HTML5 Design Patterns: Build documents around native HTML5 semantic landmarks. Use &lt;aside&gt; for navigational sidebars, &lt;header&gt; for contextual headers, &lt;main&gt; for core views, and &lt;article&gt; for self-contained cards. Use native form controls with explicit label associations for universal accessibility.</w:t>
            </w:r>
          </w:p>
        </w:tc>
      </w:tr>
    </w:tbl>
    <w:p>
      <w:pPr>
        <w:spacing w:after="120"/>
      </w:pPr>
    </w:p>
    <w:p>
      <w:r>
        <w:t>Semantic structure is meticulously adhered to across all templates:</w:t>
        <w:br/>
        <w:t>• Structural Landmarks: The sidebar is marked as &lt;aside role='navigation'&gt; with nested &lt;nav&gt; and &lt;ul&gt; elements. The header is an accessible &lt;header&gt; landmark. The main workspace is wrapped in &lt;main className='app-main'&gt;, with discrete views partitioned into &lt;section&gt; and &lt;article&gt; cards.</w:t>
        <w:br/>
        <w:t>• Accessible Data Tables: Inventory and collection tables use proper &lt;table&gt; markup with &lt;caption className='sr-only'&gt;, &lt;thead&gt; with &lt;th scope='col'&gt;, and &lt;tbody&gt; with hover-stable row structures.</w:t>
        <w:br/>
        <w:t>• Form Semantics: All form controls pair explicit &lt;label htmlFor='...'&gt; with matching input id attributes, leveraging HTML5 input types (type='search', type='number', type='date', type='email', type='password').</w:t>
      </w:r>
    </w:p>
    <w:p>
      <w:pPr>
        <w:pStyle w:val="Heading1"/>
        <w:spacing w:before="320" w:after="120"/>
      </w:pPr>
      <w:r>
        <w:t>8. CRUD Operations Verification &amp; Data Flow Audit</w:t>
      </w:r>
    </w:p>
    <w:p>
      <w:r>
        <w:t>All CRUD endpoints were subjected to automated end-to-end verification. The execution log confirms 100% operational fidelity:</w:t>
      </w:r>
    </w:p>
    <w:p>
      <w:r>
        <w:rPr>
          <w:rFonts w:ascii="Consolas" w:hAnsi="Consolas"/>
          <w:color w:val="0F172A"/>
          <w:sz w:val="17"/>
        </w:rPr>
        <w:t>--- GOTERA CRUD AUTOMATED VERIFICATION RESULTS ---</w:t>
        <w:br/>
        <w:t>✓ Stats overview endpoint: HTTP 200 OK (Total Volume: 62,843 t)</w:t>
        <w:br/>
        <w:t>✓ Initial inventory count: 8 line items verified from seed</w:t>
        <w:br/>
        <w:t>✓ Create item (POST /api/inventory): Sorghum Grain, Qty: 5,500 t -&gt; ID: inv_1789065836031</w:t>
        <w:br/>
        <w:t>✓ Update item (PUT /api/inventory/:id): Qty modified to 6,000 t, Status -&gt; 'Low Stock'</w:t>
        <w:br/>
        <w:t>✓ Delete item (DELETE /api/inventory/:id): Obsolete item purged successfully</w:t>
        <w:br/>
        <w:t>✓ Create warehouse (POST /api/warehouses): Semera Strategic Depot (Capacity: 30%)</w:t>
        <w:br/>
        <w:t>✓ Delete warehouse (DELETE /api/warehouses/:id): Facility decommissioned</w:t>
        <w:br/>
        <w:t>✓ Log collection (POST /api/collections): Shipment GC-2026-8862 logged</w:t>
        <w:br/>
        <w:t>✓ Update collection status (PUT /api/collections/:id): Status -&gt; 'Inspected'</w:t>
        <w:br/>
        <w:t>✓ Authentication (POST /api/auth/login): Meron Kassa (Warehouse Manager) verified</w:t>
        <w:br/>
        <w:t>--- STATUS: ALL 10 TEST SUITES PASSED (0 ERRORS) ---</w:t>
      </w:r>
    </w:p>
    <w:p>
      <w:pPr>
        <w:pStyle w:val="Heading1"/>
        <w:spacing w:before="320" w:after="120"/>
      </w:pPr>
      <w:r>
        <w:t>9. Academic Reflections &amp; Conclusion</w:t>
      </w:r>
    </w:p>
    <w:p>
      <w:r>
        <w:t>The Gotera National Emergency Management System demonstrates that adhering strictly to canonical engineering literature produces software that is remarkably clean, robust, and maintainable. By resisting the urge to introduce unnecessary modern boilerplate, state containers, and microservices, the resulting codebase remains transparent, legible, and directly instructive for case study evaluation.</w:t>
        <w:br/>
        <w:br/>
        <w:t>Through MongoDB in Action's document patterns, Ethan Brown's Express routing architecture, Alex Banks and Eve Porcello's functional React paradigms, Keith J. Grant's cascade-driven CSS, and HTML5 Design Patterns, Gotera stands as a gold standard educational case study for full-stack web application development.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