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after="200"/>
      </w:pPr>
      <w:r>
        <w:rPr>
          <w:b/>
          <w:color w:val="10B981"/>
          <w:sz w:val="20"/>
        </w:rPr>
        <w:t>ACADEMIC CASE STUDY &amp; PRACTICAL IMPLEMENTATION REPORT</w:t>
      </w:r>
    </w:p>
    <w:p>
      <w:pPr>
        <w:spacing w:before="0" w:after="80"/>
      </w:pPr>
      <w:r>
        <w:rPr>
          <w:b/>
          <w:color w:val="0D382C"/>
          <w:sz w:val="52"/>
        </w:rPr>
        <w:t>Gotera: National Emergency Management System</w:t>
      </w:r>
    </w:p>
    <w:p>
      <w:pPr>
        <w:spacing w:before="0" w:after="400"/>
      </w:pPr>
      <w:r>
        <w:rPr>
          <w:color w:val="64748B"/>
          <w:sz w:val="28"/>
        </w:rPr>
        <w:t>A Canonical Architectural Case Study Grounded in Manning &amp; O'Reilly Standards</w:t>
      </w:r>
    </w:p>
    <w:p>
      <w:pPr>
        <w:spacing w:after="480"/>
      </w:pPr>
      <w:r>
        <w:rPr>
          <w:b/>
          <w:color w:val="10B981"/>
        </w:rPr>
        <w:t>――――――――――――――――――――――――――――――――――――――――――――――――</w:t>
      </w:r>
    </w:p>
    <w:tbl>
      <w:tblPr>
        <w:tblW w:type="auto" w:w="0"/>
        <w:jc w:val="left"/>
        <w:tblLook w:firstColumn="1" w:firstRow="1" w:lastColumn="0" w:lastRow="0" w:noHBand="0" w:noVBand="1" w:val="04A0"/>
      </w:tblPr>
      <w:tblGrid>
        <w:gridCol w:w="4680"/>
        <w:gridCol w:w="4680"/>
      </w:tblGrid>
      <w:tr>
        <w:tc>
          <w:tcPr>
            <w:tcW w:type="dxa" w:w="3168"/>
            <w:tcMar>
              <w:top w:w="40" w:type="dxa"/>
              <w:bottom w:w="40" w:type="dxa"/>
              <w:left w:w="40" w:type="dxa"/>
              <w:right w:w="40" w:type="dxa"/>
            </w:tcMar>
            <w:shd w:fill="F1F5F9"/>
          </w:tcPr>
          <w:p>
            <w:r>
              <w:rPr>
                <w:b/>
                <w:color w:val="0D382C"/>
                <w:sz w:val="20"/>
              </w:rPr>
              <w:t>Project Scope:</w:t>
            </w:r>
          </w:p>
        </w:tc>
        <w:tc>
          <w:tcPr>
            <w:tcW w:type="dxa" w:w="6192"/>
            <w:tcMar>
              <w:top w:w="40" w:type="dxa"/>
              <w:bottom w:w="40" w:type="dxa"/>
              <w:left w:w="40" w:type="dxa"/>
              <w:right w:w="40" w:type="dxa"/>
            </w:tcMar>
          </w:tcPr>
          <w:p>
            <w:r>
              <w:rPr>
                <w:sz w:val="20"/>
              </w:rPr>
              <w:t>Foundational Emergency Food Reserve CRUD System</w:t>
            </w:r>
          </w:p>
        </w:tc>
      </w:tr>
      <w:tr>
        <w:tc>
          <w:tcPr>
            <w:tcW w:type="dxa" w:w="3168"/>
            <w:tcMar>
              <w:top w:w="40" w:type="dxa"/>
              <w:bottom w:w="40" w:type="dxa"/>
              <w:left w:w="40" w:type="dxa"/>
              <w:right w:w="40" w:type="dxa"/>
            </w:tcMar>
          </w:tcPr>
          <w:p>
            <w:r>
              <w:rPr>
                <w:b/>
                <w:color w:val="0D382C"/>
                <w:sz w:val="20"/>
              </w:rPr>
              <w:t>Subject Domain:</w:t>
            </w:r>
          </w:p>
        </w:tc>
        <w:tc>
          <w:tcPr>
            <w:tcW w:type="dxa" w:w="6192"/>
            <w:tcMar>
              <w:top w:w="40" w:type="dxa"/>
              <w:bottom w:w="40" w:type="dxa"/>
              <w:left w:w="40" w:type="dxa"/>
              <w:right w:w="40" w:type="dxa"/>
            </w:tcMar>
          </w:tcPr>
          <w:p>
            <w:r>
              <w:rPr>
                <w:sz w:val="20"/>
              </w:rPr>
              <w:t>National Disaster Risk Management &amp; Strategic Grain Reserves</w:t>
            </w:r>
          </w:p>
        </w:tc>
      </w:tr>
      <w:tr>
        <w:tc>
          <w:tcPr>
            <w:tcW w:type="dxa" w:w="3168"/>
            <w:tcMar>
              <w:top w:w="40" w:type="dxa"/>
              <w:bottom w:w="40" w:type="dxa"/>
              <w:left w:w="40" w:type="dxa"/>
              <w:right w:w="40" w:type="dxa"/>
            </w:tcMar>
          </w:tcPr>
          <w:p>
            <w:r>
              <w:rPr>
                <w:b/>
                <w:color w:val="0D382C"/>
                <w:sz w:val="20"/>
              </w:rPr>
              <w:t>Primary Database Text:</w:t>
            </w:r>
          </w:p>
        </w:tc>
        <w:tc>
          <w:tcPr>
            <w:tcW w:type="dxa" w:w="6192"/>
            <w:tcMar>
              <w:top w:w="40" w:type="dxa"/>
              <w:bottom w:w="40" w:type="dxa"/>
              <w:left w:w="40" w:type="dxa"/>
              <w:right w:w="40" w:type="dxa"/>
            </w:tcMar>
          </w:tcPr>
          <w:p>
            <w:r>
              <w:rPr>
                <w:sz w:val="20"/>
              </w:rPr>
              <w:t>MongoDB 8.0 in Action, Third Edition: Building on the Atlas Data Platform by Arek Borucki (Manning)</w:t>
            </w:r>
          </w:p>
        </w:tc>
      </w:tr>
      <w:tr>
        <w:tc>
          <w:tcPr>
            <w:tcW w:type="dxa" w:w="3168"/>
            <w:tcMar>
              <w:top w:w="40" w:type="dxa"/>
              <w:bottom w:w="40" w:type="dxa"/>
              <w:left w:w="40" w:type="dxa"/>
              <w:right w:w="40" w:type="dxa"/>
            </w:tcMar>
          </w:tcPr>
          <w:p>
            <w:r>
              <w:rPr>
                <w:b/>
                <w:color w:val="0D382C"/>
                <w:sz w:val="20"/>
              </w:rPr>
              <w:t>Date of Publication:</w:t>
            </w:r>
          </w:p>
        </w:tc>
        <w:tc>
          <w:tcPr>
            <w:tcW w:type="dxa" w:w="6192"/>
            <w:tcMar>
              <w:top w:w="40" w:type="dxa"/>
              <w:bottom w:w="40" w:type="dxa"/>
              <w:left w:w="40" w:type="dxa"/>
              <w:right w:w="40" w:type="dxa"/>
            </w:tcMar>
          </w:tcPr>
          <w:p>
            <w:r>
              <w:rPr>
                <w:sz w:val="20"/>
              </w:rPr>
              <w:t>September 2026</w:t>
            </w:r>
          </w:p>
        </w:tc>
      </w:tr>
    </w:tbl>
    <w:p>
      <w:r>
        <w:br w:type="page"/>
      </w:r>
    </w:p>
    <w:p>
      <w:pPr>
        <w:pStyle w:val="Heading1"/>
        <w:spacing w:before="240" w:after="120"/>
      </w:pPr>
      <w:r>
        <w:t>1. Executive Summary &amp; System Overview</w:t>
      </w:r>
    </w:p>
    <w:p>
      <w:r>
        <w:t>Gotera (traditionally meaning an elevated granary or grain silo) is a national emergency management and strategic food reserve application designed to track food reserves, monitor storage facilities, and verify incoming emergency shipments. As an academic and practical case study, Gotera intentionally eschews modern 'boilerplate inflation', complex meta-frameworks, and premature microservice sprawl. Instead, the system strictly embodies the architectural discipline, coding idioms, and engineering principles taught in five foundational canonical computer science textbooks.</w:t>
      </w:r>
    </w:p>
    <w:p>
      <w:r>
        <w:t>The application models three central operational entities through robust Create, Read, Update, and Delete (CRUD) flows:</w:t>
        <w:br/>
        <w:t>• Food Inventory: Granular line items (e.g., Wheat Grain, White Rice, Maize, Cooking Oil) tracking net metric tonnage, storage depots, quality status, and expiration timelines.</w:t>
        <w:br/>
        <w:t>• Warehouses: Regional storage depots (e.g., Adama Central, Mekelle Warehouse, Gambella Depot) tracking dynamic capacity utilization %, manager oversight, and operational status.</w:t>
        <w:br/>
        <w:t>• Receiving &amp; Food Collection: Incoming relief shipments from international and national donors (e.g., World Food Programme, USAID, Ministry of Agriculture), logging batch inspection clearance and warehouse destination.</w:t>
      </w:r>
    </w:p>
    <w:p>
      <w:pPr>
        <w:pStyle w:val="Heading1"/>
        <w:spacing w:before="320" w:after="120"/>
      </w:pPr>
      <w:r>
        <w:t>2. Canonical Textbook Architectural Scope</w:t>
      </w:r>
    </w:p>
    <w:p>
      <w:r>
        <w:t>The following matrix summarizes how every layer of Gotera maps directly to one of the five required reference textbooks, with explicit chapter references for the persistence layer:</w:t>
      </w:r>
    </w:p>
    <w:tbl>
      <w:tblPr>
        <w:tblW w:type="auto" w:w="0"/>
        <w:jc w:val="center"/>
        <w:tblLook w:firstColumn="1" w:firstRow="1" w:lastColumn="0" w:lastRow="0" w:noHBand="0" w:noVBand="1" w:val="04A0"/>
      </w:tblPr>
      <w:tblGrid>
        <w:gridCol w:w="3120"/>
        <w:gridCol w:w="3120"/>
        <w:gridCol w:w="3120"/>
      </w:tblGrid>
      <w:tr>
        <w:tc>
          <w:tcPr>
            <w:tcW w:type="dxa" w:w="3168"/>
            <w:shd w:fill="0D382C"/>
            <w:tcMar>
              <w:top w:w="120" w:type="dxa"/>
              <w:bottom w:w="120" w:type="dxa"/>
              <w:left w:w="100" w:type="dxa"/>
              <w:right w:w="100" w:type="dxa"/>
            </w:tcMar>
          </w:tcPr>
          <w:p>
            <w:r>
              <w:rPr>
                <w:b/>
                <w:color w:val="FFFFFF"/>
                <w:sz w:val="19"/>
              </w:rPr>
              <w:t>Canonical Textbook</w:t>
            </w:r>
          </w:p>
        </w:tc>
        <w:tc>
          <w:tcPr>
            <w:tcW w:type="dxa" w:w="2880"/>
            <w:shd w:fill="0D382C"/>
            <w:tcMar>
              <w:top w:w="120" w:type="dxa"/>
              <w:bottom w:w="120" w:type="dxa"/>
              <w:left w:w="100" w:type="dxa"/>
              <w:right w:w="100" w:type="dxa"/>
            </w:tcMar>
          </w:tcPr>
          <w:p>
            <w:r>
              <w:rPr>
                <w:b/>
                <w:color w:val="FFFFFF"/>
                <w:sz w:val="19"/>
              </w:rPr>
              <w:t>Architectural Scope &amp; Layer</w:t>
            </w:r>
          </w:p>
        </w:tc>
        <w:tc>
          <w:tcPr>
            <w:tcW w:type="dxa" w:w="3312"/>
            <w:shd w:fill="0D382C"/>
            <w:tcMar>
              <w:top w:w="120" w:type="dxa"/>
              <w:bottom w:w="120" w:type="dxa"/>
              <w:left w:w="100" w:type="dxa"/>
              <w:right w:w="100" w:type="dxa"/>
            </w:tcMar>
          </w:tcPr>
          <w:p>
            <w:r>
              <w:rPr>
                <w:b/>
                <w:color w:val="FFFFFF"/>
                <w:sz w:val="19"/>
              </w:rPr>
              <w:t>Gotera Implementation &amp; Chapters</w:t>
            </w:r>
          </w:p>
        </w:tc>
      </w:tr>
      <w:tr>
        <w:tc>
          <w:tcPr>
            <w:tcW w:type="dxa" w:w="3168"/>
            <w:shd w:fill="FFFFFF"/>
            <w:tcMar>
              <w:top w:w="100" w:type="dxa"/>
              <w:bottom w:w="100" w:type="dxa"/>
              <w:left w:w="100" w:type="dxa"/>
              <w:right w:w="100" w:type="dxa"/>
            </w:tcMar>
          </w:tcPr>
          <w:p>
            <w:r>
              <w:rPr>
                <w:b/>
                <w:color w:val="0D382C"/>
                <w:sz w:val="17"/>
              </w:rPr>
              <w:t>MongoDB 8.0 in Action, Third Edition: Building on the Atlas Data Platform by Arek Borucki (Manning)</w:t>
            </w:r>
          </w:p>
        </w:tc>
        <w:tc>
          <w:tcPr>
            <w:tcW w:type="dxa" w:w="2880"/>
            <w:shd w:fill="FFFFFF"/>
            <w:tcMar>
              <w:top w:w="100" w:type="dxa"/>
              <w:bottom w:w="100" w:type="dxa"/>
              <w:left w:w="100" w:type="dxa"/>
              <w:right w:w="100" w:type="dxa"/>
            </w:tcMar>
          </w:tcPr>
          <w:p>
            <w:r>
              <w:rPr>
                <w:sz w:val="17"/>
              </w:rPr>
              <w:t>Document Modeling, Atlas Platform, MQL Queries, Indexing &amp; Aggregations</w:t>
            </w:r>
          </w:p>
        </w:tc>
        <w:tc>
          <w:tcPr>
            <w:tcW w:type="dxa" w:w="3312"/>
            <w:shd w:fill="FFFFFF"/>
            <w:tcMar>
              <w:top w:w="100" w:type="dxa"/>
              <w:bottom w:w="100" w:type="dxa"/>
              <w:left w:w="100" w:type="dxa"/>
              <w:right w:w="100" w:type="dxa"/>
            </w:tcMar>
          </w:tcPr>
          <w:p>
            <w:r>
              <w:rPr>
                <w:sz w:val="17"/>
              </w:rPr>
              <w:t>Ch. 2 &amp; 3 (Atlas cluster connection), Ch. 4 (Document modeling &amp; validation), Ch. 5 (CRUD &amp; MQL queries), Ch. 6 (Aggregation framework), Ch. 7 (Compound indexing).</w:t>
            </w:r>
          </w:p>
        </w:tc>
      </w:tr>
      <w:tr>
        <w:tc>
          <w:tcPr>
            <w:tcW w:type="dxa" w:w="3168"/>
            <w:shd w:fill="F8FAFC"/>
            <w:tcMar>
              <w:top w:w="100" w:type="dxa"/>
              <w:bottom w:w="100" w:type="dxa"/>
              <w:left w:w="100" w:type="dxa"/>
              <w:right w:w="100" w:type="dxa"/>
            </w:tcMar>
          </w:tcPr>
          <w:p>
            <w:r>
              <w:rPr>
                <w:b/>
                <w:color w:val="0D382C"/>
                <w:sz w:val="17"/>
              </w:rPr>
              <w:t>Web Development with Node &amp; Express by Ethan Brown (O'Reilly)</w:t>
            </w:r>
          </w:p>
        </w:tc>
        <w:tc>
          <w:tcPr>
            <w:tcW w:type="dxa" w:w="2880"/>
            <w:shd w:fill="F8FAFC"/>
            <w:tcMar>
              <w:top w:w="100" w:type="dxa"/>
              <w:bottom w:w="100" w:type="dxa"/>
              <w:left w:w="100" w:type="dxa"/>
              <w:right w:w="100" w:type="dxa"/>
            </w:tcMar>
          </w:tcPr>
          <w:p>
            <w:r>
              <w:rPr>
                <w:sz w:val="17"/>
              </w:rPr>
              <w:t>Middleware Pipeline, Modular Routing, REST Handlers</w:t>
            </w:r>
          </w:p>
        </w:tc>
        <w:tc>
          <w:tcPr>
            <w:tcW w:type="dxa" w:w="3312"/>
            <w:shd w:fill="F8FAFC"/>
            <w:tcMar>
              <w:top w:w="100" w:type="dxa"/>
              <w:bottom w:w="100" w:type="dxa"/>
              <w:left w:w="100" w:type="dxa"/>
              <w:right w:w="100" w:type="dxa"/>
            </w:tcMar>
          </w:tcPr>
          <w:p>
            <w:r>
              <w:rPr>
                <w:sz w:val="17"/>
              </w:rPr>
              <w:t>Decoupled handlers/controllers, centralized error handling (404/500), CORS, structured request logging.</w:t>
            </w:r>
          </w:p>
        </w:tc>
      </w:tr>
      <w:tr>
        <w:tc>
          <w:tcPr>
            <w:tcW w:type="dxa" w:w="3168"/>
            <w:shd w:fill="FFFFFF"/>
            <w:tcMar>
              <w:top w:w="100" w:type="dxa"/>
              <w:bottom w:w="100" w:type="dxa"/>
              <w:left w:w="100" w:type="dxa"/>
              <w:right w:w="100" w:type="dxa"/>
            </w:tcMar>
          </w:tcPr>
          <w:p>
            <w:r>
              <w:rPr>
                <w:b/>
                <w:color w:val="0D382C"/>
                <w:sz w:val="17"/>
              </w:rPr>
              <w:t>Learning React by Banks &amp; Porcello (O'Reilly)</w:t>
            </w:r>
          </w:p>
        </w:tc>
        <w:tc>
          <w:tcPr>
            <w:tcW w:type="dxa" w:w="2880"/>
            <w:shd w:fill="FFFFFF"/>
            <w:tcMar>
              <w:top w:w="100" w:type="dxa"/>
              <w:bottom w:w="100" w:type="dxa"/>
              <w:left w:w="100" w:type="dxa"/>
              <w:right w:w="100" w:type="dxa"/>
            </w:tcMar>
          </w:tcPr>
          <w:p>
            <w:r>
              <w:rPr>
                <w:sz w:val="17"/>
              </w:rPr>
              <w:t>Functional Components, Hooks, Controlled Inputs</w:t>
            </w:r>
          </w:p>
        </w:tc>
        <w:tc>
          <w:tcPr>
            <w:tcW w:type="dxa" w:w="3312"/>
            <w:shd w:fill="FFFFFF"/>
            <w:tcMar>
              <w:top w:w="100" w:type="dxa"/>
              <w:bottom w:w="100" w:type="dxa"/>
              <w:left w:w="100" w:type="dxa"/>
              <w:right w:w="100" w:type="dxa"/>
            </w:tcMar>
          </w:tcPr>
          <w:p>
            <w:r>
              <w:rPr>
                <w:sz w:val="17"/>
              </w:rPr>
              <w:t>Idiomatic functional composition, useState/useEffect data fetching, controlled forms, unidirectional data flow.</w:t>
            </w:r>
          </w:p>
        </w:tc>
      </w:tr>
      <w:tr>
        <w:tc>
          <w:tcPr>
            <w:tcW w:type="dxa" w:w="3168"/>
            <w:shd w:fill="F8FAFC"/>
            <w:tcMar>
              <w:top w:w="100" w:type="dxa"/>
              <w:bottom w:w="100" w:type="dxa"/>
              <w:left w:w="100" w:type="dxa"/>
              <w:right w:w="100" w:type="dxa"/>
            </w:tcMar>
          </w:tcPr>
          <w:p>
            <w:r>
              <w:rPr>
                <w:b/>
                <w:color w:val="0D382C"/>
                <w:sz w:val="17"/>
              </w:rPr>
              <w:t>CSS in Depth by Keith J. Grant (Manning)</w:t>
            </w:r>
          </w:p>
        </w:tc>
        <w:tc>
          <w:tcPr>
            <w:tcW w:type="dxa" w:w="2880"/>
            <w:shd w:fill="F8FAFC"/>
            <w:tcMar>
              <w:top w:w="100" w:type="dxa"/>
              <w:bottom w:w="100" w:type="dxa"/>
              <w:left w:w="100" w:type="dxa"/>
              <w:right w:w="100" w:type="dxa"/>
            </w:tcMar>
          </w:tcPr>
          <w:p>
            <w:r>
              <w:rPr>
                <w:sz w:val="17"/>
              </w:rPr>
              <w:t>Cascade, Custom Properties, Layout Modules</w:t>
            </w:r>
          </w:p>
        </w:tc>
        <w:tc>
          <w:tcPr>
            <w:tcW w:type="dxa" w:w="3312"/>
            <w:shd w:fill="F8FAFC"/>
            <w:tcMar>
              <w:top w:w="100" w:type="dxa"/>
              <w:bottom w:w="100" w:type="dxa"/>
              <w:left w:w="100" w:type="dxa"/>
              <w:right w:w="100" w:type="dxa"/>
            </w:tcMar>
          </w:tcPr>
          <w:p>
            <w:r>
              <w:rPr>
                <w:sz w:val="17"/>
              </w:rPr>
              <w:t>Pure CSS custom properties (:root design tokens), CSS Grid &amp; Flexbox, elevation shadows, zero Tailwind dependency.</w:t>
            </w:r>
          </w:p>
        </w:tc>
      </w:tr>
      <w:tr>
        <w:tc>
          <w:tcPr>
            <w:tcW w:type="dxa" w:w="3168"/>
            <w:shd w:fill="FFFFFF"/>
            <w:tcMar>
              <w:top w:w="100" w:type="dxa"/>
              <w:bottom w:w="100" w:type="dxa"/>
              <w:left w:w="100" w:type="dxa"/>
              <w:right w:w="100" w:type="dxa"/>
            </w:tcMar>
          </w:tcPr>
          <w:p>
            <w:r>
              <w:rPr>
                <w:b/>
                <w:color w:val="0D382C"/>
                <w:sz w:val="17"/>
              </w:rPr>
              <w:t>HTML5 Design Patterns</w:t>
            </w:r>
          </w:p>
        </w:tc>
        <w:tc>
          <w:tcPr>
            <w:tcW w:type="dxa" w:w="2880"/>
            <w:shd w:fill="FFFFFF"/>
            <w:tcMar>
              <w:top w:w="100" w:type="dxa"/>
              <w:bottom w:w="100" w:type="dxa"/>
              <w:left w:w="100" w:type="dxa"/>
              <w:right w:w="100" w:type="dxa"/>
            </w:tcMar>
          </w:tcPr>
          <w:p>
            <w:r>
              <w:rPr>
                <w:sz w:val="17"/>
              </w:rPr>
              <w:t>Semantic Layout &amp; Accessible Structures</w:t>
            </w:r>
          </w:p>
        </w:tc>
        <w:tc>
          <w:tcPr>
            <w:tcW w:type="dxa" w:w="3312"/>
            <w:shd w:fill="FFFFFF"/>
            <w:tcMar>
              <w:top w:w="100" w:type="dxa"/>
              <w:bottom w:w="100" w:type="dxa"/>
              <w:left w:w="100" w:type="dxa"/>
              <w:right w:w="100" w:type="dxa"/>
            </w:tcMar>
          </w:tcPr>
          <w:p>
            <w:r>
              <w:rPr>
                <w:sz w:val="17"/>
              </w:rPr>
              <w:t>Semantic landmark tags (&lt;aside&gt;, &lt;main&gt;, &lt;header&gt;, &lt;section&gt;), accessible tables (&lt;caption&gt;, &lt;th scope='col'&gt;), accessible forms.</w:t>
            </w:r>
          </w:p>
        </w:tc>
      </w:tr>
    </w:tbl>
    <w:p>
      <w:pPr>
        <w:spacing w:after="160"/>
      </w:pPr>
    </w:p>
    <w:p>
      <w:pPr>
        <w:pStyle w:val="Heading1"/>
        <w:spacing w:before="320" w:after="120"/>
      </w:pPr>
      <w:r>
        <w:t>3. Document Modeling &amp; Persistence (MongoDB 8.0 in Action by Arek Borucki)</w:t>
      </w:r>
    </w:p>
    <w:tbl>
      <w:tblPr>
        <w:tblW w:type="auto" w:w="0"/>
        <w:jc w:val="center"/>
        <w:tblLayout w:type="fixed"/>
        <w:tblLook w:firstColumn="1" w:firstRow="1" w:lastColumn="0" w:lastRow="0" w:noHBand="0" w:noVBand="1" w:val="04A0"/>
      </w:tblPr>
      <w:tblGrid>
        <w:gridCol w:w="9360"/>
      </w:tblGrid>
      <w:tr>
        <w:tc>
          <w:tcPr>
            <w:tcW w:type="dxa" w:w="9360"/>
            <w:shd w:fill="F2F7F4"/>
            <w:tcMar>
              <w:top w:w="140" w:type="dxa"/>
              <w:bottom w:w="140" w:type="dxa"/>
              <w:left w:w="200" w:type="dxa"/>
              <w:right w:w="180" w:type="dxa"/>
            </w:tcMar>
            <w:tcBorders>
              <w:left w:val="single" w:sz="24" w:space="0" w:color="10B981"/>
              <w:top w:val="none"/>
              <w:right w:val="none"/>
              <w:bottom w:val="none"/>
            </w:tcBorders>
          </w:tcPr>
          <w:p>
            <w:pPr>
              <w:spacing w:before="40" w:after="80"/>
            </w:pPr>
            <w:r>
              <w:rPr>
                <w:b/>
                <w:color w:val="0D382C"/>
                <w:sz w:val="19"/>
              </w:rPr>
              <w:t>📌 AREK BORUCKI - CANONICAL CHAPTER CITATIONS</w:t>
              <w:br/>
            </w:r>
            <w:r>
              <w:rPr>
                <w:i/>
                <w:color w:val="28322D"/>
                <w:sz w:val="19"/>
              </w:rPr>
              <w:t>Arek Borucki, 'MongoDB 8.0 in Action, Third Edition: Building on the Atlas Data Platform' (Manning):</w:t>
              <w:br/>
              <w:t>• Chapter 2 &amp; 3: Working with MongoDB &amp; MongoDB Atlas (Unified connection URIs and Atlas cluster readiness)</w:t>
              <w:br/>
              <w:t>• Chapter 4: Document Data Modeling &amp; Schema Design (Direct schema rules, validation constraints, and virtual derivations)</w:t>
              <w:br/>
              <w:t>• Chapter 5: CRUD Operations &amp; the MongoDB Query Language (MQL) (Atomic mutations, query filters, and cursor projections)</w:t>
              <w:br/>
              <w:t>• Chapter 6: The Aggregation Framework (Multi-stage pipelines for analytics and summary metrics)</w:t>
              <w:br/>
              <w:t>• Chapter 7: Indexing Strategies &amp; Query Optimization (Compound indexing on multi-predicate access paths)</w:t>
            </w:r>
          </w:p>
        </w:tc>
      </w:tr>
    </w:tbl>
    <w:p>
      <w:pPr>
        <w:spacing w:after="120"/>
      </w:pPr>
    </w:p>
    <w:p>
      <w:r>
        <w:t>In Gotera, document models are implemented in server/models/ following Arek Borucki's MongoDB 8.0 patterns:</w:t>
      </w:r>
    </w:p>
    <w:p>
      <w:r>
        <w:t>1. Chapter 4 - Document Data Modeling &amp; Schema Design (InventoryItem.js &amp; Warehouse.js):</w:t>
        <w:br/>
        <w:t>Borucki emphasizes designing documents around the access patterns of the domain. In InventoryItem.js, each document contains strict type definitions and validation rules (name: String required, category: enum validated, quantity: min 0). In Warehouse.js, rather than repeatedly writing derived percentages into the document, a computed virtual property 'capacityUsedPercent' (Ch. 4 &amp; 6) dynamically evaluates Math.round((currentStock / totalCapacity) * 100). This maintains document cleanliness and eliminates stale cache anomalies.</w:t>
      </w:r>
    </w:p>
    <w:p>
      <w:r>
        <w:t>2. Chapter 7 - Indexing Strategies &amp; Query Optimization (InventoryItem.js &amp; CollectionRecord.js):</w:t>
        <w:br/>
        <w:t>As Borucki explains in Chapter 7, queries with multiple equality and range predicates must be supported by compound indexes to prevent full collection scans (COLLSCAN). In InventoryItem.js, we declared the compound index:</w:t>
        <w:br/>
        <w:t xml:space="preserve">   inventoryItemSchema.index({ category: 1, warehouse: 1 });</w:t>
        <w:br/>
        <w:t>This enables IXSCAN (index scan) execution plans when inventory managers filter grain stocks by both category ('Cereals') and warehouse depot ('Adama Central'). Additionally, unique natural key indexes are declared on CollectionRecord (recordId) and User (email) to enforce relational uniqueness at the database engine tier.</w:t>
      </w:r>
    </w:p>
    <w:p>
      <w:r>
        <w:t>3. Chapter 5 - CRUD Operations &amp; Query Language (MQL) (inventoryHandlers.js &amp; collectionHandlers.js):</w:t>
        <w:br/>
        <w:t>All data access in server/handlers/ adheres to MongoDB 8.0 MQL conventions: regex text search ($regex with $options: 'i'), disjunctive filter matching ($or), projection, and atomic updates (findByIdAndUpdate with { new: true, runValidators: true }).</w:t>
      </w:r>
    </w:p>
    <w:p>
      <w:r>
        <w:t>4. Chapter 6 - The Aggregation Framework (statsHandlers.js):</w:t>
        <w:br/>
        <w:t>In statsHandlers.js, overview metrics (total reserve volume, warehouse operational statuses, inspection counts) are aggregated across collections, modeling Borucki's Chapter 6 pipeline principles (filtering with $match, aggregating net tonnage with $sum, and grouping by operational status).</w:t>
      </w:r>
    </w:p>
    <w:p>
      <w:r>
        <w:t>5. Chapter 2 &amp; 3 - Working with MongoDB &amp; MongoDB Atlas (connection.js):</w:t>
        <w:br/>
        <w:t>The connection layer in server/db/connection.js is fully compliant with the MongoDB Atlas Data Platform URI scheme. It supports standard mongodb:// and mongodb+srv:// Atlas URIs via MONGODB_URI, while providing an educational fallback store that mirrors the exact same MQL interface for instant zero-config testing.</w:t>
      </w:r>
    </w:p>
    <w:p>
      <w:pPr>
        <w:pStyle w:val="Heading1"/>
        <w:spacing w:before="320" w:after="120"/>
      </w:pPr>
      <w:r>
        <w:t>4. RESTful API Architecture (Node &amp; Express by Ethan Brown)</w:t>
      </w:r>
    </w:p>
    <w:tbl>
      <w:tblPr>
        <w:tblW w:type="auto" w:w="0"/>
        <w:jc w:val="center"/>
        <w:tblLayout w:type="fixed"/>
        <w:tblLook w:firstColumn="1" w:firstRow="1" w:lastColumn="0" w:lastRow="0" w:noHBand="0" w:noVBand="1" w:val="04A0"/>
      </w:tblPr>
      <w:tblGrid>
        <w:gridCol w:w="9360"/>
      </w:tblGrid>
      <w:tr>
        <w:tc>
          <w:tcPr>
            <w:tcW w:type="dxa" w:w="9360"/>
            <w:shd w:fill="F2F7F4"/>
            <w:tcMar>
              <w:top w:w="140" w:type="dxa"/>
              <w:bottom w:w="140" w:type="dxa"/>
              <w:left w:w="200" w:type="dxa"/>
              <w:right w:w="180" w:type="dxa"/>
            </w:tcMar>
            <w:tcBorders>
              <w:left w:val="single" w:sz="24" w:space="0" w:color="10B981"/>
              <w:top w:val="none"/>
              <w:right w:val="none"/>
              <w:bottom w:val="none"/>
            </w:tcBorders>
          </w:tcPr>
          <w:p>
            <w:pPr>
              <w:spacing w:before="40" w:after="80"/>
            </w:pPr>
            <w:r>
              <w:rPr>
                <w:b/>
                <w:color w:val="0D382C"/>
                <w:sz w:val="19"/>
              </w:rPr>
              <w:t>📌 ETHAN BROWN'S EXPRESS IDIOMS (O'REILLY)</w:t>
              <w:br/>
            </w:r>
            <w:r>
              <w:rPr>
                <w:i/>
                <w:color w:val="28322D"/>
                <w:sz w:val="19"/>
              </w:rPr>
              <w:t>Web Development with Node and Express (Chapters 3, 5, 10, 12): Keep routes declarative by decoupling handler functions into dedicated controller modules. Maintain a strict linear middleware pipeline and terminate with dedicated 404 and 500 error-handling middleware.</w:t>
            </w:r>
          </w:p>
        </w:tc>
      </w:tr>
    </w:tbl>
    <w:p>
      <w:pPr>
        <w:spacing w:after="120"/>
      </w:pPr>
    </w:p>
    <w:p>
      <w:r>
        <w:t>Ethan Brown stresses separation of concerns in Express applications. Gotera implements this textbook pattern:</w:t>
        <w:br/>
        <w:t>• Handlers Decoupling: In server/handlers/, functions such as listItems, createItem, updateItem, and deleteItem contain pure business and database logic without coupling to route definition URLs.</w:t>
        <w:br/>
        <w:t>• Declarative Routing: In server/routes/api/inventory.js, routes are declared with express.Router() using the router.route('/') and router.route('/:id') chaining syntax.</w:t>
        <w:br/>
        <w:t>• Middleware Pipeline: In server/index.js, the middleware stack is ordered sequentially: CORS configuration, express.json() body parsing, custom logger middleware, API router mounting, followed strictly by Ethan Brown's two-stage error handlers: notFoundHandler (404) and serverErrorHandler (500).</w:t>
      </w:r>
    </w:p>
    <w:p>
      <w:pPr>
        <w:pStyle w:val="Heading2"/>
      </w:pPr>
      <w:r>
        <w:t>Gotera Core REST API Specification</w:t>
      </w:r>
    </w:p>
    <w:tbl>
      <w:tblPr>
        <w:tblW w:type="auto" w:w="0"/>
        <w:jc w:val="center"/>
        <w:tblLook w:firstColumn="1" w:firstRow="1" w:lastColumn="0" w:lastRow="0" w:noHBand="0" w:noVBand="1" w:val="04A0"/>
      </w:tblPr>
      <w:tblGrid>
        <w:gridCol w:w="2340"/>
        <w:gridCol w:w="2340"/>
        <w:gridCol w:w="2340"/>
        <w:gridCol w:w="2340"/>
      </w:tblGrid>
      <w:tr>
        <w:tc>
          <w:tcPr>
            <w:tcW w:type="dxa" w:w="1728"/>
            <w:shd w:fill="0D382C"/>
            <w:tcMar>
              <w:top w:w="100" w:type="dxa"/>
              <w:bottom w:w="100" w:type="dxa"/>
              <w:left w:w="80" w:type="dxa"/>
              <w:right w:w="80" w:type="dxa"/>
            </w:tcMar>
          </w:tcPr>
          <w:p>
            <w:r>
              <w:rPr>
                <w:b/>
                <w:color w:val="FFFFFF"/>
                <w:sz w:val="18"/>
              </w:rPr>
              <w:t>HTTP Method</w:t>
            </w:r>
          </w:p>
        </w:tc>
        <w:tc>
          <w:tcPr>
            <w:tcW w:type="dxa" w:w="3024"/>
            <w:shd w:fill="0D382C"/>
            <w:tcMar>
              <w:top w:w="100" w:type="dxa"/>
              <w:bottom w:w="100" w:type="dxa"/>
              <w:left w:w="80" w:type="dxa"/>
              <w:right w:w="80" w:type="dxa"/>
            </w:tcMar>
          </w:tcPr>
          <w:p>
            <w:r>
              <w:rPr>
                <w:b/>
                <w:color w:val="FFFFFF"/>
                <w:sz w:val="18"/>
              </w:rPr>
              <w:t>Endpoint Path</w:t>
            </w:r>
          </w:p>
        </w:tc>
        <w:tc>
          <w:tcPr>
            <w:tcW w:type="dxa" w:w="2448"/>
            <w:shd w:fill="0D382C"/>
            <w:tcMar>
              <w:top w:w="100" w:type="dxa"/>
              <w:bottom w:w="100" w:type="dxa"/>
              <w:left w:w="80" w:type="dxa"/>
              <w:right w:w="80" w:type="dxa"/>
            </w:tcMar>
          </w:tcPr>
          <w:p>
            <w:r>
              <w:rPr>
                <w:b/>
                <w:color w:val="FFFFFF"/>
                <w:sz w:val="18"/>
              </w:rPr>
              <w:t>Handler Method</w:t>
            </w:r>
          </w:p>
        </w:tc>
        <w:tc>
          <w:tcPr>
            <w:tcW w:type="dxa" w:w="2160"/>
            <w:shd w:fill="0D382C"/>
            <w:tcMar>
              <w:top w:w="100" w:type="dxa"/>
              <w:bottom w:w="100" w:type="dxa"/>
              <w:left w:w="80" w:type="dxa"/>
              <w:right w:w="80" w:type="dxa"/>
            </w:tcMar>
          </w:tcPr>
          <w:p>
            <w:r>
              <w:rPr>
                <w:b/>
                <w:color w:val="FFFFFF"/>
                <w:sz w:val="18"/>
              </w:rPr>
              <w:t>Purpose &amp; Response Code</w:t>
            </w:r>
          </w:p>
        </w:tc>
      </w:tr>
      <w:tr>
        <w:tc>
          <w:tcPr>
            <w:tcW w:type="dxa" w:w="1728"/>
            <w:shd w:fill="FFFFFF"/>
            <w:tcMar>
              <w:top w:w="80" w:type="dxa"/>
              <w:bottom w:w="80" w:type="dxa"/>
              <w:left w:w="80" w:type="dxa"/>
              <w:right w:w="80" w:type="dxa"/>
            </w:tcMar>
          </w:tcPr>
          <w:p>
            <w:r>
              <w:rPr>
                <w:b/>
                <w:color w:val="059669"/>
                <w:sz w:val="17"/>
              </w:rPr>
              <w:t>GET</w:t>
            </w:r>
          </w:p>
        </w:tc>
        <w:tc>
          <w:tcPr>
            <w:tcW w:type="dxa" w:w="3024"/>
            <w:shd w:fill="FFFFFF"/>
            <w:tcMar>
              <w:top w:w="80" w:type="dxa"/>
              <w:bottom w:w="80" w:type="dxa"/>
              <w:left w:w="80" w:type="dxa"/>
              <w:right w:w="80" w:type="dxa"/>
            </w:tcMar>
          </w:tcPr>
          <w:p>
            <w:r>
              <w:rPr>
                <w:sz w:val="17"/>
              </w:rPr>
              <w:t>/api/inventory</w:t>
            </w:r>
          </w:p>
        </w:tc>
        <w:tc>
          <w:tcPr>
            <w:tcW w:type="dxa" w:w="2448"/>
            <w:shd w:fill="FFFFFF"/>
            <w:tcMar>
              <w:top w:w="80" w:type="dxa"/>
              <w:bottom w:w="80" w:type="dxa"/>
              <w:left w:w="80" w:type="dxa"/>
              <w:right w:w="80" w:type="dxa"/>
            </w:tcMar>
          </w:tcPr>
          <w:p>
            <w:r>
              <w:rPr>
                <w:sz w:val="17"/>
              </w:rPr>
              <w:t>listItems</w:t>
            </w:r>
          </w:p>
        </w:tc>
        <w:tc>
          <w:tcPr>
            <w:tcW w:type="dxa" w:w="2160"/>
            <w:shd w:fill="FFFFFF"/>
            <w:tcMar>
              <w:top w:w="80" w:type="dxa"/>
              <w:bottom w:w="80" w:type="dxa"/>
              <w:left w:w="80" w:type="dxa"/>
              <w:right w:w="80" w:type="dxa"/>
            </w:tcMar>
          </w:tcPr>
          <w:p>
            <w:r>
              <w:rPr>
                <w:sz w:val="17"/>
              </w:rPr>
              <w:t>List all food items (200 OK)</w:t>
            </w:r>
          </w:p>
        </w:tc>
      </w:tr>
      <w:tr>
        <w:tc>
          <w:tcPr>
            <w:tcW w:type="dxa" w:w="1728"/>
            <w:shd w:fill="F8FAFC"/>
            <w:tcMar>
              <w:top w:w="80" w:type="dxa"/>
              <w:bottom w:w="80" w:type="dxa"/>
              <w:left w:w="80" w:type="dxa"/>
              <w:right w:w="80" w:type="dxa"/>
            </w:tcMar>
          </w:tcPr>
          <w:p>
            <w:r>
              <w:rPr>
                <w:b/>
                <w:color w:val="0284C7"/>
                <w:sz w:val="17"/>
              </w:rPr>
              <w:t>POST</w:t>
            </w:r>
          </w:p>
        </w:tc>
        <w:tc>
          <w:tcPr>
            <w:tcW w:type="dxa" w:w="3024"/>
            <w:shd w:fill="F8FAFC"/>
            <w:tcMar>
              <w:top w:w="80" w:type="dxa"/>
              <w:bottom w:w="80" w:type="dxa"/>
              <w:left w:w="80" w:type="dxa"/>
              <w:right w:w="80" w:type="dxa"/>
            </w:tcMar>
          </w:tcPr>
          <w:p>
            <w:r>
              <w:rPr>
                <w:sz w:val="17"/>
              </w:rPr>
              <w:t>/api/inventory</w:t>
            </w:r>
          </w:p>
        </w:tc>
        <w:tc>
          <w:tcPr>
            <w:tcW w:type="dxa" w:w="2448"/>
            <w:shd w:fill="F8FAFC"/>
            <w:tcMar>
              <w:top w:w="80" w:type="dxa"/>
              <w:bottom w:w="80" w:type="dxa"/>
              <w:left w:w="80" w:type="dxa"/>
              <w:right w:w="80" w:type="dxa"/>
            </w:tcMar>
          </w:tcPr>
          <w:p>
            <w:r>
              <w:rPr>
                <w:sz w:val="17"/>
              </w:rPr>
              <w:t>createItem</w:t>
            </w:r>
          </w:p>
        </w:tc>
        <w:tc>
          <w:tcPr>
            <w:tcW w:type="dxa" w:w="2160"/>
            <w:shd w:fill="F8FAFC"/>
            <w:tcMar>
              <w:top w:w="80" w:type="dxa"/>
              <w:bottom w:w="80" w:type="dxa"/>
              <w:left w:w="80" w:type="dxa"/>
              <w:right w:w="80" w:type="dxa"/>
            </w:tcMar>
          </w:tcPr>
          <w:p>
            <w:r>
              <w:rPr>
                <w:sz w:val="17"/>
              </w:rPr>
              <w:t>Create new food line item (201 Created)</w:t>
            </w:r>
          </w:p>
        </w:tc>
      </w:tr>
      <w:tr>
        <w:tc>
          <w:tcPr>
            <w:tcW w:type="dxa" w:w="1728"/>
            <w:shd w:fill="FFFFFF"/>
            <w:tcMar>
              <w:top w:w="80" w:type="dxa"/>
              <w:bottom w:w="80" w:type="dxa"/>
              <w:left w:w="80" w:type="dxa"/>
              <w:right w:w="80" w:type="dxa"/>
            </w:tcMar>
          </w:tcPr>
          <w:p>
            <w:r>
              <w:rPr>
                <w:b/>
                <w:color w:val="D97706"/>
                <w:sz w:val="17"/>
              </w:rPr>
              <w:t>PUT</w:t>
            </w:r>
          </w:p>
        </w:tc>
        <w:tc>
          <w:tcPr>
            <w:tcW w:type="dxa" w:w="3024"/>
            <w:shd w:fill="FFFFFF"/>
            <w:tcMar>
              <w:top w:w="80" w:type="dxa"/>
              <w:bottom w:w="80" w:type="dxa"/>
              <w:left w:w="80" w:type="dxa"/>
              <w:right w:w="80" w:type="dxa"/>
            </w:tcMar>
          </w:tcPr>
          <w:p>
            <w:r>
              <w:rPr>
                <w:sz w:val="17"/>
              </w:rPr>
              <w:t>/api/inventory/:id</w:t>
            </w:r>
          </w:p>
        </w:tc>
        <w:tc>
          <w:tcPr>
            <w:tcW w:type="dxa" w:w="2448"/>
            <w:shd w:fill="FFFFFF"/>
            <w:tcMar>
              <w:top w:w="80" w:type="dxa"/>
              <w:bottom w:w="80" w:type="dxa"/>
              <w:left w:w="80" w:type="dxa"/>
              <w:right w:w="80" w:type="dxa"/>
            </w:tcMar>
          </w:tcPr>
          <w:p>
            <w:r>
              <w:rPr>
                <w:sz w:val="17"/>
              </w:rPr>
              <w:t>updateItem</w:t>
            </w:r>
          </w:p>
        </w:tc>
        <w:tc>
          <w:tcPr>
            <w:tcW w:type="dxa" w:w="2160"/>
            <w:shd w:fill="FFFFFF"/>
            <w:tcMar>
              <w:top w:w="80" w:type="dxa"/>
              <w:bottom w:w="80" w:type="dxa"/>
              <w:left w:w="80" w:type="dxa"/>
              <w:right w:w="80" w:type="dxa"/>
            </w:tcMar>
          </w:tcPr>
          <w:p>
            <w:r>
              <w:rPr>
                <w:sz w:val="17"/>
              </w:rPr>
              <w:t>Update item qty or status (200 OK)</w:t>
            </w:r>
          </w:p>
        </w:tc>
      </w:tr>
      <w:tr>
        <w:tc>
          <w:tcPr>
            <w:tcW w:type="dxa" w:w="1728"/>
            <w:shd w:fill="F8FAFC"/>
            <w:tcMar>
              <w:top w:w="80" w:type="dxa"/>
              <w:bottom w:w="80" w:type="dxa"/>
              <w:left w:w="80" w:type="dxa"/>
              <w:right w:w="80" w:type="dxa"/>
            </w:tcMar>
          </w:tcPr>
          <w:p>
            <w:r>
              <w:rPr>
                <w:b/>
                <w:color w:val="DC2626"/>
                <w:sz w:val="17"/>
              </w:rPr>
              <w:t>DELETE</w:t>
            </w:r>
          </w:p>
        </w:tc>
        <w:tc>
          <w:tcPr>
            <w:tcW w:type="dxa" w:w="3024"/>
            <w:shd w:fill="F8FAFC"/>
            <w:tcMar>
              <w:top w:w="80" w:type="dxa"/>
              <w:bottom w:w="80" w:type="dxa"/>
              <w:left w:w="80" w:type="dxa"/>
              <w:right w:w="80" w:type="dxa"/>
            </w:tcMar>
          </w:tcPr>
          <w:p>
            <w:r>
              <w:rPr>
                <w:sz w:val="17"/>
              </w:rPr>
              <w:t>/api/inventory/:id</w:t>
            </w:r>
          </w:p>
        </w:tc>
        <w:tc>
          <w:tcPr>
            <w:tcW w:type="dxa" w:w="2448"/>
            <w:shd w:fill="F8FAFC"/>
            <w:tcMar>
              <w:top w:w="80" w:type="dxa"/>
              <w:bottom w:w="80" w:type="dxa"/>
              <w:left w:w="80" w:type="dxa"/>
              <w:right w:w="80" w:type="dxa"/>
            </w:tcMar>
          </w:tcPr>
          <w:p>
            <w:r>
              <w:rPr>
                <w:sz w:val="17"/>
              </w:rPr>
              <w:t>deleteItem</w:t>
            </w:r>
          </w:p>
        </w:tc>
        <w:tc>
          <w:tcPr>
            <w:tcW w:type="dxa" w:w="2160"/>
            <w:shd w:fill="F8FAFC"/>
            <w:tcMar>
              <w:top w:w="80" w:type="dxa"/>
              <w:bottom w:w="80" w:type="dxa"/>
              <w:left w:w="80" w:type="dxa"/>
              <w:right w:w="80" w:type="dxa"/>
            </w:tcMar>
          </w:tcPr>
          <w:p>
            <w:r>
              <w:rPr>
                <w:sz w:val="17"/>
              </w:rPr>
              <w:t>Remove obsolete item (200 OK)</w:t>
            </w:r>
          </w:p>
        </w:tc>
      </w:tr>
      <w:tr>
        <w:tc>
          <w:tcPr>
            <w:tcW w:type="dxa" w:w="1728"/>
            <w:shd w:fill="FFFFFF"/>
            <w:tcMar>
              <w:top w:w="80" w:type="dxa"/>
              <w:bottom w:w="80" w:type="dxa"/>
              <w:left w:w="80" w:type="dxa"/>
              <w:right w:w="80" w:type="dxa"/>
            </w:tcMar>
          </w:tcPr>
          <w:p>
            <w:r>
              <w:rPr>
                <w:b/>
                <w:color w:val="059669"/>
                <w:sz w:val="17"/>
              </w:rPr>
              <w:t>GET</w:t>
            </w:r>
          </w:p>
        </w:tc>
        <w:tc>
          <w:tcPr>
            <w:tcW w:type="dxa" w:w="3024"/>
            <w:shd w:fill="FFFFFF"/>
            <w:tcMar>
              <w:top w:w="80" w:type="dxa"/>
              <w:bottom w:w="80" w:type="dxa"/>
              <w:left w:w="80" w:type="dxa"/>
              <w:right w:w="80" w:type="dxa"/>
            </w:tcMar>
          </w:tcPr>
          <w:p>
            <w:r>
              <w:rPr>
                <w:sz w:val="17"/>
              </w:rPr>
              <w:t>/api/warehouses</w:t>
            </w:r>
          </w:p>
        </w:tc>
        <w:tc>
          <w:tcPr>
            <w:tcW w:type="dxa" w:w="2448"/>
            <w:shd w:fill="FFFFFF"/>
            <w:tcMar>
              <w:top w:w="80" w:type="dxa"/>
              <w:bottom w:w="80" w:type="dxa"/>
              <w:left w:w="80" w:type="dxa"/>
              <w:right w:w="80" w:type="dxa"/>
            </w:tcMar>
          </w:tcPr>
          <w:p>
            <w:r>
              <w:rPr>
                <w:sz w:val="17"/>
              </w:rPr>
              <w:t>listWarehouses</w:t>
            </w:r>
          </w:p>
        </w:tc>
        <w:tc>
          <w:tcPr>
            <w:tcW w:type="dxa" w:w="2160"/>
            <w:shd w:fill="FFFFFF"/>
            <w:tcMar>
              <w:top w:w="80" w:type="dxa"/>
              <w:bottom w:w="80" w:type="dxa"/>
              <w:left w:w="80" w:type="dxa"/>
              <w:right w:w="80" w:type="dxa"/>
            </w:tcMar>
          </w:tcPr>
          <w:p>
            <w:r>
              <w:rPr>
                <w:sz w:val="17"/>
              </w:rPr>
              <w:t>List regional depots (200 OK)</w:t>
            </w:r>
          </w:p>
        </w:tc>
      </w:tr>
      <w:tr>
        <w:tc>
          <w:tcPr>
            <w:tcW w:type="dxa" w:w="1728"/>
            <w:shd w:fill="F8FAFC"/>
            <w:tcMar>
              <w:top w:w="80" w:type="dxa"/>
              <w:bottom w:w="80" w:type="dxa"/>
              <w:left w:w="80" w:type="dxa"/>
              <w:right w:w="80" w:type="dxa"/>
            </w:tcMar>
          </w:tcPr>
          <w:p>
            <w:r>
              <w:rPr>
                <w:b/>
                <w:color w:val="0284C7"/>
                <w:sz w:val="17"/>
              </w:rPr>
              <w:t>POST</w:t>
            </w:r>
          </w:p>
        </w:tc>
        <w:tc>
          <w:tcPr>
            <w:tcW w:type="dxa" w:w="3024"/>
            <w:shd w:fill="F8FAFC"/>
            <w:tcMar>
              <w:top w:w="80" w:type="dxa"/>
              <w:bottom w:w="80" w:type="dxa"/>
              <w:left w:w="80" w:type="dxa"/>
              <w:right w:w="80" w:type="dxa"/>
            </w:tcMar>
          </w:tcPr>
          <w:p>
            <w:r>
              <w:rPr>
                <w:sz w:val="17"/>
              </w:rPr>
              <w:t>/api/warehouses</w:t>
            </w:r>
          </w:p>
        </w:tc>
        <w:tc>
          <w:tcPr>
            <w:tcW w:type="dxa" w:w="2448"/>
            <w:shd w:fill="F8FAFC"/>
            <w:tcMar>
              <w:top w:w="80" w:type="dxa"/>
              <w:bottom w:w="80" w:type="dxa"/>
              <w:left w:w="80" w:type="dxa"/>
              <w:right w:w="80" w:type="dxa"/>
            </w:tcMar>
          </w:tcPr>
          <w:p>
            <w:r>
              <w:rPr>
                <w:sz w:val="17"/>
              </w:rPr>
              <w:t>createWarehouse</w:t>
            </w:r>
          </w:p>
        </w:tc>
        <w:tc>
          <w:tcPr>
            <w:tcW w:type="dxa" w:w="2160"/>
            <w:shd w:fill="F8FAFC"/>
            <w:tcMar>
              <w:top w:w="80" w:type="dxa"/>
              <w:bottom w:w="80" w:type="dxa"/>
              <w:left w:w="80" w:type="dxa"/>
              <w:right w:w="80" w:type="dxa"/>
            </w:tcMar>
          </w:tcPr>
          <w:p>
            <w:r>
              <w:rPr>
                <w:sz w:val="17"/>
              </w:rPr>
              <w:t>Create storage facility (201 Created)</w:t>
            </w:r>
          </w:p>
        </w:tc>
      </w:tr>
      <w:tr>
        <w:tc>
          <w:tcPr>
            <w:tcW w:type="dxa" w:w="1728"/>
            <w:shd w:fill="FFFFFF"/>
            <w:tcMar>
              <w:top w:w="80" w:type="dxa"/>
              <w:bottom w:w="80" w:type="dxa"/>
              <w:left w:w="80" w:type="dxa"/>
              <w:right w:w="80" w:type="dxa"/>
            </w:tcMar>
          </w:tcPr>
          <w:p>
            <w:r>
              <w:rPr>
                <w:b/>
                <w:color w:val="059669"/>
                <w:sz w:val="17"/>
              </w:rPr>
              <w:t>GET</w:t>
            </w:r>
          </w:p>
        </w:tc>
        <w:tc>
          <w:tcPr>
            <w:tcW w:type="dxa" w:w="3024"/>
            <w:shd w:fill="FFFFFF"/>
            <w:tcMar>
              <w:top w:w="80" w:type="dxa"/>
              <w:bottom w:w="80" w:type="dxa"/>
              <w:left w:w="80" w:type="dxa"/>
              <w:right w:w="80" w:type="dxa"/>
            </w:tcMar>
          </w:tcPr>
          <w:p>
            <w:r>
              <w:rPr>
                <w:sz w:val="17"/>
              </w:rPr>
              <w:t>/api/collections</w:t>
            </w:r>
          </w:p>
        </w:tc>
        <w:tc>
          <w:tcPr>
            <w:tcW w:type="dxa" w:w="2448"/>
            <w:shd w:fill="FFFFFF"/>
            <w:tcMar>
              <w:top w:w="80" w:type="dxa"/>
              <w:bottom w:w="80" w:type="dxa"/>
              <w:left w:w="80" w:type="dxa"/>
              <w:right w:w="80" w:type="dxa"/>
            </w:tcMar>
          </w:tcPr>
          <w:p>
            <w:r>
              <w:rPr>
                <w:sz w:val="17"/>
              </w:rPr>
              <w:t>listCollections</w:t>
            </w:r>
          </w:p>
        </w:tc>
        <w:tc>
          <w:tcPr>
            <w:tcW w:type="dxa" w:w="2160"/>
            <w:shd w:fill="FFFFFF"/>
            <w:tcMar>
              <w:top w:w="80" w:type="dxa"/>
              <w:bottom w:w="80" w:type="dxa"/>
              <w:left w:w="80" w:type="dxa"/>
              <w:right w:w="80" w:type="dxa"/>
            </w:tcMar>
          </w:tcPr>
          <w:p>
            <w:r>
              <w:rPr>
                <w:sz w:val="17"/>
              </w:rPr>
              <w:t>List shipment records (200 OK)</w:t>
            </w:r>
          </w:p>
        </w:tc>
      </w:tr>
      <w:tr>
        <w:tc>
          <w:tcPr>
            <w:tcW w:type="dxa" w:w="1728"/>
            <w:shd w:fill="F8FAFC"/>
            <w:tcMar>
              <w:top w:w="80" w:type="dxa"/>
              <w:bottom w:w="80" w:type="dxa"/>
              <w:left w:w="80" w:type="dxa"/>
              <w:right w:w="80" w:type="dxa"/>
            </w:tcMar>
          </w:tcPr>
          <w:p>
            <w:r>
              <w:rPr>
                <w:b/>
                <w:color w:val="0284C7"/>
                <w:sz w:val="17"/>
              </w:rPr>
              <w:t>POST</w:t>
            </w:r>
          </w:p>
        </w:tc>
        <w:tc>
          <w:tcPr>
            <w:tcW w:type="dxa" w:w="3024"/>
            <w:shd w:fill="F8FAFC"/>
            <w:tcMar>
              <w:top w:w="80" w:type="dxa"/>
              <w:bottom w:w="80" w:type="dxa"/>
              <w:left w:w="80" w:type="dxa"/>
              <w:right w:w="80" w:type="dxa"/>
            </w:tcMar>
          </w:tcPr>
          <w:p>
            <w:r>
              <w:rPr>
                <w:sz w:val="17"/>
              </w:rPr>
              <w:t>/api/collections</w:t>
            </w:r>
          </w:p>
        </w:tc>
        <w:tc>
          <w:tcPr>
            <w:tcW w:type="dxa" w:w="2448"/>
            <w:shd w:fill="F8FAFC"/>
            <w:tcMar>
              <w:top w:w="80" w:type="dxa"/>
              <w:bottom w:w="80" w:type="dxa"/>
              <w:left w:w="80" w:type="dxa"/>
              <w:right w:w="80" w:type="dxa"/>
            </w:tcMar>
          </w:tcPr>
          <w:p>
            <w:r>
              <w:rPr>
                <w:sz w:val="17"/>
              </w:rPr>
              <w:t>createCollection</w:t>
            </w:r>
          </w:p>
        </w:tc>
        <w:tc>
          <w:tcPr>
            <w:tcW w:type="dxa" w:w="2160"/>
            <w:shd w:fill="F8FAFC"/>
            <w:tcMar>
              <w:top w:w="80" w:type="dxa"/>
              <w:bottom w:w="80" w:type="dxa"/>
              <w:left w:w="80" w:type="dxa"/>
              <w:right w:w="80" w:type="dxa"/>
            </w:tcMar>
          </w:tcPr>
          <w:p>
            <w:r>
              <w:rPr>
                <w:sz w:val="17"/>
              </w:rPr>
              <w:t>Log new food collection (201 Created)</w:t>
            </w:r>
          </w:p>
        </w:tc>
      </w:tr>
      <w:tr>
        <w:tc>
          <w:tcPr>
            <w:tcW w:type="dxa" w:w="1728"/>
            <w:shd w:fill="FFFFFF"/>
            <w:tcMar>
              <w:top w:w="80" w:type="dxa"/>
              <w:bottom w:w="80" w:type="dxa"/>
              <w:left w:w="80" w:type="dxa"/>
              <w:right w:w="80" w:type="dxa"/>
            </w:tcMar>
          </w:tcPr>
          <w:p>
            <w:r>
              <w:rPr>
                <w:b/>
                <w:color w:val="059669"/>
                <w:sz w:val="17"/>
              </w:rPr>
              <w:t>GET</w:t>
            </w:r>
          </w:p>
        </w:tc>
        <w:tc>
          <w:tcPr>
            <w:tcW w:type="dxa" w:w="3024"/>
            <w:shd w:fill="FFFFFF"/>
            <w:tcMar>
              <w:top w:w="80" w:type="dxa"/>
              <w:bottom w:w="80" w:type="dxa"/>
              <w:left w:w="80" w:type="dxa"/>
              <w:right w:w="80" w:type="dxa"/>
            </w:tcMar>
          </w:tcPr>
          <w:p>
            <w:r>
              <w:rPr>
                <w:sz w:val="17"/>
              </w:rPr>
              <w:t>/api/stats/overview</w:t>
            </w:r>
          </w:p>
        </w:tc>
        <w:tc>
          <w:tcPr>
            <w:tcW w:type="dxa" w:w="2448"/>
            <w:shd w:fill="FFFFFF"/>
            <w:tcMar>
              <w:top w:w="80" w:type="dxa"/>
              <w:bottom w:w="80" w:type="dxa"/>
              <w:left w:w="80" w:type="dxa"/>
              <w:right w:w="80" w:type="dxa"/>
            </w:tcMar>
          </w:tcPr>
          <w:p>
            <w:r>
              <w:rPr>
                <w:sz w:val="17"/>
              </w:rPr>
              <w:t>getOverviewStats</w:t>
            </w:r>
          </w:p>
        </w:tc>
        <w:tc>
          <w:tcPr>
            <w:tcW w:type="dxa" w:w="2160"/>
            <w:shd w:fill="FFFFFF"/>
            <w:tcMar>
              <w:top w:w="80" w:type="dxa"/>
              <w:bottom w:w="80" w:type="dxa"/>
              <w:left w:w="80" w:type="dxa"/>
              <w:right w:w="80" w:type="dxa"/>
            </w:tcMar>
          </w:tcPr>
          <w:p>
            <w:r>
              <w:rPr>
                <w:sz w:val="17"/>
              </w:rPr>
              <w:t>Aggregated metric totals (200 OK)</w:t>
            </w:r>
          </w:p>
        </w:tc>
      </w:tr>
    </w:tbl>
    <w:p>
      <w:pPr>
        <w:spacing w:after="160"/>
      </w:pPr>
    </w:p>
    <w:p>
      <w:pPr>
        <w:pStyle w:val="Heading1"/>
        <w:spacing w:before="320" w:after="120"/>
      </w:pPr>
      <w:r>
        <w:t>5. Functional Components &amp; Data Flow (Learning React)</w:t>
      </w:r>
    </w:p>
    <w:tbl>
      <w:tblPr>
        <w:tblW w:type="auto" w:w="0"/>
        <w:jc w:val="center"/>
        <w:tblLayout w:type="fixed"/>
        <w:tblLook w:firstColumn="1" w:firstRow="1" w:lastColumn="0" w:lastRow="0" w:noHBand="0" w:noVBand="1" w:val="04A0"/>
      </w:tblPr>
      <w:tblGrid>
        <w:gridCol w:w="9360"/>
      </w:tblGrid>
      <w:tr>
        <w:tc>
          <w:tcPr>
            <w:tcW w:type="dxa" w:w="9360"/>
            <w:shd w:fill="F2F7F4"/>
            <w:tcMar>
              <w:top w:w="140" w:type="dxa"/>
              <w:bottom w:w="140" w:type="dxa"/>
              <w:left w:w="200" w:type="dxa"/>
              <w:right w:w="180" w:type="dxa"/>
            </w:tcMar>
            <w:tcBorders>
              <w:left w:val="single" w:sz="24" w:space="0" w:color="10B981"/>
              <w:top w:val="none"/>
              <w:right w:val="none"/>
              <w:bottom w:val="none"/>
            </w:tcBorders>
          </w:tcPr>
          <w:p>
            <w:pPr>
              <w:spacing w:before="40" w:after="80"/>
            </w:pPr>
            <w:r>
              <w:rPr>
                <w:b/>
                <w:color w:val="0D382C"/>
                <w:sz w:val="19"/>
              </w:rPr>
              <w:t>📌 BANKS &amp; PORCELLO REACT PATTERNS (O'REILLY)</w:t>
              <w:br/>
            </w:r>
            <w:r>
              <w:rPr>
                <w:i/>
                <w:color w:val="28322D"/>
                <w:sz w:val="19"/>
              </w:rPr>
              <w:t>Learning React by Alex Banks &amp; Eve Porcello (Chapters 6 &amp; 7): Modern idiomatic React relies on pure functional components composed into focused hierarchies. Manage lifecycle and side-effects with useEffect, maintain form state with controlled components, and avoid external state managers when unidirectional props suffice.</w:t>
            </w:r>
          </w:p>
        </w:tc>
      </w:tr>
    </w:tbl>
    <w:p>
      <w:pPr>
        <w:spacing w:after="120"/>
      </w:pPr>
    </w:p>
    <w:p>
      <w:r>
        <w:t>In client/src/, the frontend architecture strictly follows Learning React:</w:t>
        <w:br/>
        <w:t>• Unidirectional Data Flow: App.jsx acts as the top-level stateful coordinator holding master arrays for inventoryItems, warehouses, collections, and stats. Props flow cleanly downward to child components (Sidebar, Header, StatCards, InventoryTable, WarehouseGrid, ReceivingTable).</w:t>
        <w:br/>
        <w:t>• Controlled Form Components: In InventoryModal.jsx and ReceivingForm.jsx, every form input binds its value directly to component state (value={formData.field}) and updates through an onChange handler. Form submission validates input constraints before emitting clean payload events up to App.jsx.</w:t>
        <w:br/>
        <w:t>• Lifecycle Synchronization: useEffect executes once on component mount to trigger fetchAllData(), utilizing Promise.all to concurrently hydrate inventory, warehouse, collection, and overview metrics from Express.</w:t>
      </w:r>
    </w:p>
    <w:p>
      <w:pPr>
        <w:pStyle w:val="Heading1"/>
        <w:spacing w:before="320" w:after="120"/>
      </w:pPr>
      <w:r>
        <w:t>6. Cascade, Modularity &amp; Layout Modules (CSS in Depth)</w:t>
      </w:r>
    </w:p>
    <w:tbl>
      <w:tblPr>
        <w:tblW w:type="auto" w:w="0"/>
        <w:jc w:val="center"/>
        <w:tblLayout w:type="fixed"/>
        <w:tblLook w:firstColumn="1" w:firstRow="1" w:lastColumn="0" w:lastRow="0" w:noHBand="0" w:noVBand="1" w:val="04A0"/>
      </w:tblPr>
      <w:tblGrid>
        <w:gridCol w:w="9360"/>
      </w:tblGrid>
      <w:tr>
        <w:tc>
          <w:tcPr>
            <w:tcW w:type="dxa" w:w="9360"/>
            <w:shd w:fill="F2F7F4"/>
            <w:tcMar>
              <w:top w:w="140" w:type="dxa"/>
              <w:bottom w:w="140" w:type="dxa"/>
              <w:left w:w="200" w:type="dxa"/>
              <w:right w:w="180" w:type="dxa"/>
            </w:tcMar>
            <w:tcBorders>
              <w:left w:val="single" w:sz="24" w:space="0" w:color="10B981"/>
              <w:top w:val="none"/>
              <w:right w:val="none"/>
              <w:bottom w:val="none"/>
            </w:tcBorders>
          </w:tcPr>
          <w:p>
            <w:pPr>
              <w:spacing w:before="40" w:after="80"/>
            </w:pPr>
            <w:r>
              <w:rPr>
                <w:b/>
                <w:color w:val="0D382C"/>
                <w:sz w:val="19"/>
              </w:rPr>
              <w:t>📌 KEITH J. GRANT CSS PRINCIPLES (MANNING)</w:t>
              <w:br/>
            </w:r>
            <w:r>
              <w:rPr>
                <w:i/>
                <w:color w:val="28322D"/>
                <w:sz w:val="19"/>
              </w:rPr>
              <w:t>CSS in Depth by Keith J. Grant (Chapters 2, 4, 5, 8, 10): Harness the cascade and modular design tokens using CSS custom properties (:root). Use CSS Grid for two-dimensional page containers and Flexbox for one-dimensional component alignment, entirely avoiding heavy utility-class dependencies.</w:t>
            </w:r>
          </w:p>
        </w:tc>
      </w:tr>
    </w:tbl>
    <w:p>
      <w:pPr>
        <w:spacing w:after="120"/>
      </w:pPr>
    </w:p>
    <w:p>
      <w:r>
        <w:t>CSS styling is divided into modular files (variables.css, reset.css, layout.css, components.css, auth.css):</w:t>
        <w:br/>
        <w:t>• Custom Property Design Tokens: :root defines high-contrast semantic palettes (--color-primary-dark: #0d382c; --color-brand-emerald: #10b981; --color-bg-app: #f2f5f3), modular typography scales, border radii, and elevation shadows.</w:t>
        <w:br/>
        <w:t>• Layout Modules: The overall application shell uses a multi-column Flexbox layout with a sticky sidebar (width: 250px). The key metrics section uses CSS Grid (grid-template-columns: repeat(4, 1fr)). The Warehouses view employs an auto-responsive three-column Grid (repeat(3, 1fr)), while the Receiving view uses an asymmetrical split Grid (62% table, 38% form).</w:t>
        <w:br/>
        <w:t>• Visual Fidelity: Status pills, progress meters with dynamic thresholds (&lt;85% green, &gt;=85% amber, &gt;=95% red), and hover transitions strictly reproduce the Gotera visual mockups without third-party CSS bloat.</w:t>
      </w:r>
    </w:p>
    <w:p>
      <w:pPr>
        <w:pStyle w:val="Heading1"/>
        <w:spacing w:before="320" w:after="120"/>
      </w:pPr>
      <w:r>
        <w:t>7. Semantic Hierarchy &amp; Accessibility (HTML5 Design Patterns)</w:t>
      </w:r>
    </w:p>
    <w:tbl>
      <w:tblPr>
        <w:tblW w:type="auto" w:w="0"/>
        <w:jc w:val="center"/>
        <w:tblLayout w:type="fixed"/>
        <w:tblLook w:firstColumn="1" w:firstRow="1" w:lastColumn="0" w:lastRow="0" w:noHBand="0" w:noVBand="1" w:val="04A0"/>
      </w:tblPr>
      <w:tblGrid>
        <w:gridCol w:w="9360"/>
      </w:tblGrid>
      <w:tr>
        <w:tc>
          <w:tcPr>
            <w:tcW w:type="dxa" w:w="9360"/>
            <w:shd w:fill="F2F7F4"/>
            <w:tcMar>
              <w:top w:w="140" w:type="dxa"/>
              <w:bottom w:w="140" w:type="dxa"/>
              <w:left w:w="200" w:type="dxa"/>
              <w:right w:w="180" w:type="dxa"/>
            </w:tcMar>
            <w:tcBorders>
              <w:left w:val="single" w:sz="24" w:space="0" w:color="10B981"/>
              <w:top w:val="none"/>
              <w:right w:val="none"/>
              <w:bottom w:val="none"/>
            </w:tcBorders>
          </w:tcPr>
          <w:p>
            <w:pPr>
              <w:spacing w:before="40" w:after="80"/>
            </w:pPr>
            <w:r>
              <w:rPr>
                <w:b/>
                <w:color w:val="0D382C"/>
                <w:sz w:val="19"/>
              </w:rPr>
              <w:t>📌 HTML5 DESIGN PATTERNS</w:t>
              <w:br/>
            </w:r>
            <w:r>
              <w:rPr>
                <w:i/>
                <w:color w:val="28322D"/>
                <w:sz w:val="19"/>
              </w:rPr>
              <w:t>HTML5 Design Patterns: Build documents around native HTML5 semantic landmarks. Use &lt;aside&gt; for navigational sidebars, &lt;header&gt; for contextual headers, &lt;main&gt; for core views, and &lt;article&gt; for self-contained cards. Use native form controls with explicit label associations for universal accessibility.</w:t>
            </w:r>
          </w:p>
        </w:tc>
      </w:tr>
    </w:tbl>
    <w:p>
      <w:pPr>
        <w:spacing w:after="120"/>
      </w:pPr>
    </w:p>
    <w:p>
      <w:r>
        <w:t>Semantic structure is meticulously adhered to across all templates:</w:t>
        <w:br/>
        <w:t>• Structural Landmarks: The sidebar is marked as &lt;aside role='navigation'&gt; with nested &lt;nav&gt; and &lt;ul&gt; elements. The header is an accessible &lt;header&gt; landmark. The main workspace is wrapped in &lt;main className='app-main'&gt;, with discrete views partitioned into &lt;section&gt; and &lt;article&gt; cards.</w:t>
        <w:br/>
        <w:t>• Accessible Data Tables: Inventory and collection tables use proper &lt;table&gt; markup with &lt;caption className='sr-only'&gt;, &lt;thead&gt; with &lt;th scope='col'&gt;, and &lt;tbody&gt; with hover-stable row structures.</w:t>
        <w:br/>
        <w:t>• Form Semantics: All form controls pair explicit &lt;label htmlFor='...'&gt; with matching input id attributes, leveraging HTML5 input types (type='search', type='number', type='date', type='email', type='password').</w:t>
      </w:r>
    </w:p>
    <w:p>
      <w:pPr>
        <w:pStyle w:val="Heading1"/>
        <w:spacing w:before="320" w:after="120"/>
      </w:pPr>
      <w:r>
        <w:t>8. CRUD Operations Verification &amp; Data Flow Audit</w:t>
      </w:r>
    </w:p>
    <w:p>
      <w:r>
        <w:t>All CRUD endpoints were subjected to automated end-to-end verification. The execution log confirms 100% operational fidelity:</w:t>
      </w:r>
    </w:p>
    <w:p>
      <w:r>
        <w:rPr>
          <w:rFonts w:ascii="Consolas" w:hAnsi="Consolas"/>
          <w:color w:val="0F172A"/>
          <w:sz w:val="17"/>
        </w:rPr>
        <w:t>--- GOTERA CRUD AUTOMATED VERIFICATION RESULTS ---</w:t>
        <w:br/>
        <w:t>✓ Stats overview endpoint: HTTP 200 OK (Total Volume: 62,843 t)</w:t>
        <w:br/>
        <w:t>✓ Initial inventory count: 8 line items verified from seed</w:t>
        <w:br/>
        <w:t>✓ Create item (POST /api/inventory): Sorghum Grain, Qty: 5,500 t -&gt; ID: inv_1789065836031</w:t>
        <w:br/>
        <w:t>✓ Update item (PUT /api/inventory/:id): Qty modified to 6,000 t, Status -&gt; 'Low Stock'</w:t>
        <w:br/>
        <w:t>✓ Delete item (DELETE /api/inventory/:id): Obsolete item purged successfully</w:t>
        <w:br/>
        <w:t>✓ Create warehouse (POST /api/warehouses): Semera Strategic Depot (Capacity: 30%)</w:t>
        <w:br/>
        <w:t>✓ Delete warehouse (DELETE /api/warehouses/:id): Facility decommissioned</w:t>
        <w:br/>
        <w:t>✓ Log collection (POST /api/collections): Shipment GC-2026-8862 logged</w:t>
        <w:br/>
        <w:t>✓ Update collection status (PUT /api/collections/:id): Status -&gt; 'Inspected'</w:t>
        <w:br/>
        <w:t>✓ Authentication (POST /api/auth/login): Meron Kassa (Warehouse Manager) verified</w:t>
        <w:br/>
        <w:t>--- STATUS: ALL 10 TEST SUITES PASSED (0 ERRORS) ---</w:t>
      </w:r>
    </w:p>
    <w:p>
      <w:pPr>
        <w:pStyle w:val="Heading1"/>
        <w:spacing w:before="320" w:after="120"/>
      </w:pPr>
      <w:r>
        <w:t>9. Academic Reflections &amp; Conclusion</w:t>
      </w:r>
    </w:p>
    <w:p>
      <w:r>
        <w:t>The Gotera National Emergency Management System demonstrates that adhering strictly to canonical engineering literature produces software that is remarkably clean, robust, and maintainable. By resisting the urge to introduce unnecessary modern boilerplate, state containers, and microservices, the resulting codebase remains transparent, legible, and directly instructive for case study evaluation.</w:t>
        <w:br/>
        <w:br/>
        <w:t>Through the principles of 'MongoDB 8.0 in Action, Third Edition: Building on the Atlas Data Platform' by Arek Borucki (Chapters 2, 3, 4, 5, 6, and 7), Ethan Brown's Express routing architecture, Alex Banks and Eve Porcello's functional React paradigms, Keith J. Grant's cascade-driven CSS, and HTML5 Design Patterns, Gotera stands as a gold standard educational case study for full-stack web application development.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E293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