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0B981"/>
          <w:sz w:val="19"/>
        </w:rPr>
        <w:t>SOFTWARE QUALITY ASSURANCE &amp; FULL-STACK TECHNICAL AUDIT REPORT</w:t>
      </w:r>
    </w:p>
    <w:p>
      <w:pPr>
        <w:spacing w:after="80"/>
      </w:pPr>
      <w:r>
        <w:rPr>
          <w:b/>
          <w:color w:val="0D382C"/>
          <w:sz w:val="48"/>
        </w:rPr>
        <w:t>Gotera: Comprehensive Issue &amp; Defect Analysis</w:t>
      </w:r>
    </w:p>
    <w:p>
      <w:pPr>
        <w:spacing w:after="280"/>
      </w:pPr>
      <w:r>
        <w:rPr>
          <w:color w:val="64748B"/>
          <w:sz w:val="25"/>
        </w:rPr>
        <w:t>Root-Cause Code Diagnostics, Visual Manifestation Workflows, Static Analysis &amp; Remediation Blueprints</w:t>
      </w:r>
    </w:p>
    <w:p>
      <w:pPr>
        <w:spacing w:after="320"/>
      </w:pPr>
      <w:r>
        <w:rPr>
          <w:b/>
          <w:color w:val="10B981"/>
        </w:rPr>
        <w:t>――――――――――――――――――――――――――――――――――――――――――――――――――――</w:t>
      </w:r>
    </w:p>
    <w:tbl>
      <w:tblPr>
        <w:tblW w:type="auto" w:w="0"/>
        <w:tblLook w:firstColumn="1" w:firstRow="1" w:lastColumn="0" w:lastRow="0" w:noHBand="0" w:noVBand="1" w:val="04A0"/>
      </w:tblPr>
      <w:tblGrid>
        <w:gridCol w:w="4824"/>
        <w:gridCol w:w="4824"/>
      </w:tblGrid>
      <w:tr>
        <w:tc>
          <w:tcPr>
            <w:tcW w:type="dxa" w:w="3024"/>
            <w:tcMar>
              <w:top w:w="45" w:type="dxa"/>
              <w:bottom w:w="45" w:type="dxa"/>
              <w:left w:w="50" w:type="dxa"/>
              <w:right w:w="50" w:type="dxa"/>
            </w:tcMar>
          </w:tcPr>
          <w:p>
            <w:r>
              <w:rPr>
                <w:b/>
                <w:color w:val="0D382C"/>
                <w:sz w:val="19"/>
              </w:rPr>
              <w:t>System Under Test (SUT):</w:t>
            </w:r>
          </w:p>
        </w:tc>
        <w:tc>
          <w:tcPr>
            <w:tcW w:type="dxa" w:w="6336"/>
            <w:tcMar>
              <w:top w:w="45" w:type="dxa"/>
              <w:bottom w:w="45" w:type="dxa"/>
              <w:left w:w="50" w:type="dxa"/>
              <w:right w:w="50" w:type="dxa"/>
            </w:tcMar>
          </w:tcPr>
          <w:p>
            <w:r>
              <w:rPr>
                <w:sz w:val="19"/>
              </w:rPr>
              <w:t>Gotera — National Emergency Food Reserve Management System</w:t>
            </w:r>
          </w:p>
        </w:tc>
      </w:tr>
      <w:tr>
        <w:tc>
          <w:tcPr>
            <w:tcW w:type="dxa" w:w="3024"/>
            <w:tcMar>
              <w:top w:w="45" w:type="dxa"/>
              <w:bottom w:w="45" w:type="dxa"/>
              <w:left w:w="50" w:type="dxa"/>
              <w:right w:w="50" w:type="dxa"/>
            </w:tcMar>
          </w:tcPr>
          <w:p>
            <w:r>
              <w:rPr>
                <w:b/>
                <w:color w:val="0D382C"/>
                <w:sz w:val="19"/>
              </w:rPr>
              <w:t>Architecture Stack:</w:t>
            </w:r>
          </w:p>
        </w:tc>
        <w:tc>
          <w:tcPr>
            <w:tcW w:type="dxa" w:w="6336"/>
            <w:tcMar>
              <w:top w:w="45" w:type="dxa"/>
              <w:bottom w:w="45" w:type="dxa"/>
              <w:left w:w="50" w:type="dxa"/>
              <w:right w:w="50" w:type="dxa"/>
            </w:tcMar>
          </w:tcPr>
          <w:p>
            <w:r>
              <w:rPr>
                <w:sz w:val="19"/>
              </w:rPr>
              <w:t>React 19 + Vite 8 (Client) | Node.js + Express 5 + Mongoose 9 (Server)</w:t>
            </w:r>
          </w:p>
        </w:tc>
      </w:tr>
      <w:tr>
        <w:tc>
          <w:tcPr>
            <w:tcW w:type="dxa" w:w="3024"/>
            <w:tcMar>
              <w:top w:w="45" w:type="dxa"/>
              <w:bottom w:w="45" w:type="dxa"/>
              <w:left w:w="50" w:type="dxa"/>
              <w:right w:w="50" w:type="dxa"/>
            </w:tcMar>
          </w:tcPr>
          <w:p>
            <w:r>
              <w:rPr>
                <w:b/>
                <w:color w:val="0D382C"/>
                <w:sz w:val="19"/>
              </w:rPr>
              <w:t>Audit Standards Applied:</w:t>
            </w:r>
          </w:p>
        </w:tc>
        <w:tc>
          <w:tcPr>
            <w:tcW w:type="dxa" w:w="6336"/>
            <w:tcMar>
              <w:top w:w="45" w:type="dxa"/>
              <w:bottom w:w="45" w:type="dxa"/>
              <w:left w:w="50" w:type="dxa"/>
              <w:right w:w="50" w:type="dxa"/>
            </w:tcMar>
          </w:tcPr>
          <w:p>
            <w:r>
              <w:rPr>
                <w:sz w:val="19"/>
              </w:rPr>
              <w:t>ISO/IEC 25010, IEEE 1028 Software Reviews, OWASP Top 10, WCAG 2.1 AA</w:t>
            </w:r>
          </w:p>
        </w:tc>
      </w:tr>
      <w:tr>
        <w:tc>
          <w:tcPr>
            <w:tcW w:type="dxa" w:w="3024"/>
            <w:tcMar>
              <w:top w:w="45" w:type="dxa"/>
              <w:bottom w:w="45" w:type="dxa"/>
              <w:left w:w="50" w:type="dxa"/>
              <w:right w:w="50" w:type="dxa"/>
            </w:tcMar>
          </w:tcPr>
          <w:p>
            <w:r>
              <w:rPr>
                <w:b/>
                <w:color w:val="0D382C"/>
                <w:sz w:val="19"/>
              </w:rPr>
              <w:t>Total Findings:</w:t>
            </w:r>
          </w:p>
        </w:tc>
        <w:tc>
          <w:tcPr>
            <w:tcW w:type="dxa" w:w="6336"/>
            <w:tcMar>
              <w:top w:w="45" w:type="dxa"/>
              <w:bottom w:w="45" w:type="dxa"/>
              <w:left w:w="50" w:type="dxa"/>
              <w:right w:w="50" w:type="dxa"/>
            </w:tcMar>
          </w:tcPr>
          <w:p>
            <w:r>
              <w:rPr>
                <w:sz w:val="19"/>
              </w:rPr>
              <w:t>16 Technical Issues (3 Critical, 6 High, 5 Medium, 2 Low) + 38 ESLint Errors</w:t>
            </w:r>
          </w:p>
        </w:tc>
      </w:tr>
      <w:tr>
        <w:tc>
          <w:tcPr>
            <w:tcW w:type="dxa" w:w="3024"/>
            <w:tcMar>
              <w:top w:w="45" w:type="dxa"/>
              <w:bottom w:w="45" w:type="dxa"/>
              <w:left w:w="50" w:type="dxa"/>
              <w:right w:w="50" w:type="dxa"/>
            </w:tcMar>
          </w:tcPr>
          <w:p>
            <w:r>
              <w:rPr>
                <w:b/>
                <w:color w:val="0D382C"/>
                <w:sz w:val="19"/>
              </w:rPr>
              <w:t>Audit Date:</w:t>
            </w:r>
          </w:p>
        </w:tc>
        <w:tc>
          <w:tcPr>
            <w:tcW w:type="dxa" w:w="6336"/>
            <w:tcMar>
              <w:top w:w="45" w:type="dxa"/>
              <w:bottom w:w="45" w:type="dxa"/>
              <w:left w:w="50" w:type="dxa"/>
              <w:right w:w="50" w:type="dxa"/>
            </w:tcMar>
          </w:tcPr>
          <w:p>
            <w:r>
              <w:rPr>
                <w:sz w:val="19"/>
              </w:rPr>
              <w:t>September 30, 2026</w:t>
            </w:r>
          </w:p>
        </w:tc>
      </w:tr>
    </w:tbl>
    <w:p>
      <w:pPr>
        <w:spacing w:after="200"/>
      </w:pPr>
    </w:p>
    <w:tbl>
      <w:tblPr>
        <w:tblW w:type="auto" w:w="0"/>
        <w:jc w:val="center"/>
        <w:tblLayout w:type="fixed"/>
        <w:tblLook w:firstColumn="1" w:firstRow="1" w:lastColumn="0" w:lastRow="0" w:noHBand="0" w:noVBand="1" w:val="04A0"/>
      </w:tblPr>
      <w:tblGrid>
        <w:gridCol w:w="9360"/>
      </w:tblGrid>
      <w:tr>
        <w:tc>
          <w:tcPr>
            <w:tcW w:type="dxa" w:w="9648"/>
            <w:shd w:fill="F2F7F4"/>
            <w:tcMar>
              <w:top w:w="130" w:type="dxa"/>
              <w:bottom w:w="130" w:type="dxa"/>
              <w:left w:w="180" w:type="dxa"/>
              <w:right w:w="160" w:type="dxa"/>
            </w:tcMar>
            <w:tcBorders>
              <w:left w:val="single" w:sz="24" w:space="0" w:color="10B981"/>
              <w:top w:val="none"/>
              <w:right w:val="none"/>
              <w:bottom w:val="none"/>
            </w:tcBorders>
          </w:tcPr>
          <w:p>
            <w:pPr>
              <w:spacing w:before="40" w:after="80"/>
            </w:pPr>
            <w:r>
              <w:rPr>
                <w:b/>
                <w:color w:val="0D382C"/>
                <w:sz w:val="19"/>
              </w:rPr>
              <w:t>EXECUTIVE AUDIT SUMMARY</w:t>
              <w:br/>
            </w:r>
            <w:r>
              <w:rPr>
                <w:color w:val="1E293B"/>
                <w:sz w:val="19"/>
              </w:rPr>
              <w:t>EXECUTIVE SUMMARY: Gotera compiles cleanly (Vite production bundle builds in 1.19s) and features a strong visual foundation. However, deep-dive inspection of the React 19 state coordinator, CSS class selectors, Express 5 handlers, and dual-mode persistence layer (Mongoose vs. in-memory fallback) revealed 16 distinct issues. The most critical issues stem from divergent data contracts between the frontend fallback state, the backend seed store, and Mongoose schema validations.</w:t>
            </w:r>
          </w:p>
        </w:tc>
      </w:tr>
    </w:tbl>
    <w:p>
      <w:pPr>
        <w:spacing w:after="80"/>
      </w:pPr>
    </w:p>
    <w:p>
      <w:pPr>
        <w:pStyle w:val="Heading1"/>
        <w:spacing w:before="200" w:after="120"/>
      </w:pPr>
      <w:r>
        <w:t>1. ISO/IEC 25010 System Quality Scorecard</w:t>
      </w:r>
    </w:p>
    <w:tbl>
      <w:tblPr>
        <w:tblW w:type="auto" w:w="0"/>
        <w:jc w:val="center"/>
        <w:tblLook w:firstColumn="1" w:firstRow="1" w:lastColumn="0" w:lastRow="0" w:noHBand="0" w:noVBand="1" w:val="04A0"/>
      </w:tblPr>
      <w:tblGrid>
        <w:gridCol w:w="2412"/>
        <w:gridCol w:w="2412"/>
        <w:gridCol w:w="2412"/>
        <w:gridCol w:w="2412"/>
      </w:tblGrid>
      <w:tr>
        <w:tc>
          <w:tcPr>
            <w:tcW w:type="dxa" w:w="2304"/>
            <w:shd w:fill="0D382C"/>
            <w:tcMar>
              <w:top w:w="100" w:type="dxa"/>
              <w:bottom w:w="100" w:type="dxa"/>
              <w:left w:w="90" w:type="dxa"/>
              <w:right w:w="90" w:type="dxa"/>
            </w:tcMar>
          </w:tcPr>
          <w:p>
            <w:r>
              <w:rPr>
                <w:b/>
                <w:color w:val="FFFFFF"/>
                <w:sz w:val="18"/>
              </w:rPr>
              <w:t>Quality Dimension</w:t>
            </w:r>
          </w:p>
        </w:tc>
        <w:tc>
          <w:tcPr>
            <w:tcW w:type="dxa" w:w="1152"/>
            <w:shd w:fill="0D382C"/>
            <w:tcMar>
              <w:top w:w="100" w:type="dxa"/>
              <w:bottom w:w="100" w:type="dxa"/>
              <w:left w:w="90" w:type="dxa"/>
              <w:right w:w="90" w:type="dxa"/>
            </w:tcMar>
          </w:tcPr>
          <w:p>
            <w:r>
              <w:rPr>
                <w:b/>
                <w:color w:val="FFFFFF"/>
                <w:sz w:val="18"/>
              </w:rPr>
              <w:t>Score</w:t>
            </w:r>
          </w:p>
        </w:tc>
        <w:tc>
          <w:tcPr>
            <w:tcW w:type="dxa" w:w="1584"/>
            <w:shd w:fill="0D382C"/>
            <w:tcMar>
              <w:top w:w="100" w:type="dxa"/>
              <w:bottom w:w="100" w:type="dxa"/>
              <w:left w:w="90" w:type="dxa"/>
              <w:right w:w="90" w:type="dxa"/>
            </w:tcMar>
          </w:tcPr>
          <w:p>
            <w:r>
              <w:rPr>
                <w:b/>
                <w:color w:val="FFFFFF"/>
                <w:sz w:val="18"/>
              </w:rPr>
              <w:t>Status</w:t>
            </w:r>
          </w:p>
        </w:tc>
        <w:tc>
          <w:tcPr>
            <w:tcW w:type="dxa" w:w="4320"/>
            <w:shd w:fill="0D382C"/>
            <w:tcMar>
              <w:top w:w="100" w:type="dxa"/>
              <w:bottom w:w="100" w:type="dxa"/>
              <w:left w:w="90" w:type="dxa"/>
              <w:right w:w="90" w:type="dxa"/>
            </w:tcMar>
          </w:tcPr>
          <w:p>
            <w:r>
              <w:rPr>
                <w:b/>
                <w:color w:val="FFFFFF"/>
                <w:sz w:val="18"/>
              </w:rPr>
              <w:t>Primary Audit Observation</w:t>
            </w:r>
          </w:p>
        </w:tc>
      </w:tr>
      <w:tr>
        <w:tc>
          <w:tcPr>
            <w:tcW w:type="dxa" w:w="2304"/>
            <w:shd w:fill="FFFFFF"/>
            <w:tcMar>
              <w:top w:w="80" w:type="dxa"/>
              <w:bottom w:w="80" w:type="dxa"/>
              <w:left w:w="90" w:type="dxa"/>
              <w:right w:w="90" w:type="dxa"/>
            </w:tcMar>
          </w:tcPr>
          <w:p>
            <w:r>
              <w:rPr>
                <w:b/>
                <w:sz w:val="17"/>
              </w:rPr>
              <w:t>Functional Suitability</w:t>
            </w:r>
          </w:p>
        </w:tc>
        <w:tc>
          <w:tcPr>
            <w:tcW w:type="dxa" w:w="1152"/>
            <w:shd w:fill="FFFFFF"/>
            <w:tcMar>
              <w:top w:w="80" w:type="dxa"/>
              <w:bottom w:w="80" w:type="dxa"/>
              <w:left w:w="90" w:type="dxa"/>
              <w:right w:w="90" w:type="dxa"/>
            </w:tcMar>
          </w:tcPr>
          <w:p>
            <w:r>
              <w:rPr>
                <w:b/>
                <w:sz w:val="17"/>
              </w:rPr>
              <w:t>6.2 / 10</w:t>
            </w:r>
          </w:p>
        </w:tc>
        <w:tc>
          <w:tcPr>
            <w:tcW w:type="dxa" w:w="1584"/>
            <w:shd w:fill="FFFFFF"/>
            <w:tcMar>
              <w:top w:w="80" w:type="dxa"/>
              <w:bottom w:w="80" w:type="dxa"/>
              <w:left w:w="90" w:type="dxa"/>
              <w:right w:w="90" w:type="dxa"/>
            </w:tcMar>
          </w:tcPr>
          <w:p>
            <w:r>
              <w:rPr>
                <w:sz w:val="17"/>
              </w:rPr>
              <w:t>Needs Work</w:t>
            </w:r>
          </w:p>
        </w:tc>
        <w:tc>
          <w:tcPr>
            <w:tcW w:type="dxa" w:w="4320"/>
            <w:shd w:fill="FFFFFF"/>
            <w:tcMar>
              <w:top w:w="80" w:type="dxa"/>
              <w:bottom w:w="80" w:type="dxa"/>
              <w:left w:w="90" w:type="dxa"/>
              <w:right w:w="90" w:type="dxa"/>
            </w:tcMar>
          </w:tcPr>
          <w:p>
            <w:r>
              <w:rPr>
                <w:sz w:val="17"/>
              </w:rPr>
              <w:t>Core CRUD works, but warehouse filtering breaks on 'Adama Central', 4 sidebar tabs are placeholders, and apiFetch double-submits on 4xx errors.</w:t>
            </w:r>
          </w:p>
        </w:tc>
      </w:tr>
      <w:tr>
        <w:tc>
          <w:tcPr>
            <w:tcW w:type="dxa" w:w="2304"/>
            <w:shd w:fill="F8FAFC"/>
            <w:tcMar>
              <w:top w:w="80" w:type="dxa"/>
              <w:bottom w:w="80" w:type="dxa"/>
              <w:left w:w="90" w:type="dxa"/>
              <w:right w:w="90" w:type="dxa"/>
            </w:tcMar>
          </w:tcPr>
          <w:p>
            <w:r>
              <w:rPr>
                <w:b/>
                <w:sz w:val="17"/>
              </w:rPr>
              <w:t>UI &amp; Visual Integrity</w:t>
            </w:r>
          </w:p>
        </w:tc>
        <w:tc>
          <w:tcPr>
            <w:tcW w:type="dxa" w:w="1152"/>
            <w:shd w:fill="F8FAFC"/>
            <w:tcMar>
              <w:top w:w="80" w:type="dxa"/>
              <w:bottom w:w="80" w:type="dxa"/>
              <w:left w:w="90" w:type="dxa"/>
              <w:right w:w="90" w:type="dxa"/>
            </w:tcMar>
          </w:tcPr>
          <w:p>
            <w:r>
              <w:rPr>
                <w:b/>
                <w:sz w:val="17"/>
              </w:rPr>
              <w:t>7.4 / 10</w:t>
            </w:r>
          </w:p>
        </w:tc>
        <w:tc>
          <w:tcPr>
            <w:tcW w:type="dxa" w:w="1584"/>
            <w:shd w:fill="F8FAFC"/>
            <w:tcMar>
              <w:top w:w="80" w:type="dxa"/>
              <w:bottom w:w="80" w:type="dxa"/>
              <w:left w:w="90" w:type="dxa"/>
              <w:right w:w="90" w:type="dxa"/>
            </w:tcMar>
          </w:tcPr>
          <w:p>
            <w:r>
              <w:rPr>
                <w:sz w:val="17"/>
              </w:rPr>
              <w:t>Needs Work</w:t>
            </w:r>
          </w:p>
        </w:tc>
        <w:tc>
          <w:tcPr>
            <w:tcW w:type="dxa" w:w="4320"/>
            <w:shd w:fill="F8FAFC"/>
            <w:tcMar>
              <w:top w:w="80" w:type="dxa"/>
              <w:bottom w:w="80" w:type="dxa"/>
              <w:left w:w="90" w:type="dxa"/>
              <w:right w:w="90" w:type="dxa"/>
            </w:tcMar>
          </w:tcPr>
          <w:p>
            <w:r>
              <w:rPr>
                <w:sz w:val="17"/>
              </w:rPr>
              <w:t>Landing Page About/Contact modals use undefined .modal-dialog class (rendering transparent), and &gt;=95% capacity bars never turn red.</w:t>
            </w:r>
          </w:p>
        </w:tc>
      </w:tr>
      <w:tr>
        <w:tc>
          <w:tcPr>
            <w:tcW w:type="dxa" w:w="2304"/>
            <w:shd w:fill="FFFFFF"/>
            <w:tcMar>
              <w:top w:w="80" w:type="dxa"/>
              <w:bottom w:w="80" w:type="dxa"/>
              <w:left w:w="90" w:type="dxa"/>
              <w:right w:w="90" w:type="dxa"/>
            </w:tcMar>
          </w:tcPr>
          <w:p>
            <w:r>
              <w:rPr>
                <w:b/>
                <w:sz w:val="17"/>
              </w:rPr>
              <w:t>Data Consistency</w:t>
            </w:r>
          </w:p>
        </w:tc>
        <w:tc>
          <w:tcPr>
            <w:tcW w:type="dxa" w:w="1152"/>
            <w:shd w:fill="FFFFFF"/>
            <w:tcMar>
              <w:top w:w="80" w:type="dxa"/>
              <w:bottom w:w="80" w:type="dxa"/>
              <w:left w:w="90" w:type="dxa"/>
              <w:right w:w="90" w:type="dxa"/>
            </w:tcMar>
          </w:tcPr>
          <w:p>
            <w:r>
              <w:rPr>
                <w:b/>
                <w:sz w:val="17"/>
              </w:rPr>
              <w:t>5.5 / 10</w:t>
            </w:r>
          </w:p>
        </w:tc>
        <w:tc>
          <w:tcPr>
            <w:tcW w:type="dxa" w:w="1584"/>
            <w:shd w:fill="FFFFFF"/>
            <w:tcMar>
              <w:top w:w="80" w:type="dxa"/>
              <w:bottom w:w="80" w:type="dxa"/>
              <w:left w:w="90" w:type="dxa"/>
              <w:right w:w="90" w:type="dxa"/>
            </w:tcMar>
          </w:tcPr>
          <w:p>
            <w:r>
              <w:rPr>
                <w:sz w:val="17"/>
              </w:rPr>
              <w:t>At Risk</w:t>
            </w:r>
          </w:p>
        </w:tc>
        <w:tc>
          <w:tcPr>
            <w:tcW w:type="dxa" w:w="4320"/>
            <w:shd w:fill="FFFFFF"/>
            <w:tcMar>
              <w:top w:w="80" w:type="dxa"/>
              <w:bottom w:w="80" w:type="dxa"/>
              <w:left w:w="90" w:type="dxa"/>
              <w:right w:w="90" w:type="dxa"/>
            </w:tcMar>
          </w:tcPr>
          <w:p>
            <w:r>
              <w:rPr>
                <w:sz w:val="17"/>
              </w:rPr>
              <w:t>App.jsx initializes with 12 items / 8 warehouses / 7 collections, then shrinks to 8 / 6 / 5 when API responds; /api/stats/overview drops reservesByCrop.</w:t>
            </w:r>
          </w:p>
        </w:tc>
      </w:tr>
      <w:tr>
        <w:tc>
          <w:tcPr>
            <w:tcW w:type="dxa" w:w="2304"/>
            <w:shd w:fill="F8FAFC"/>
            <w:tcMar>
              <w:top w:w="80" w:type="dxa"/>
              <w:bottom w:w="80" w:type="dxa"/>
              <w:left w:w="90" w:type="dxa"/>
              <w:right w:w="90" w:type="dxa"/>
            </w:tcMar>
          </w:tcPr>
          <w:p>
            <w:r>
              <w:rPr>
                <w:b/>
                <w:sz w:val="17"/>
              </w:rPr>
              <w:t>Code Maintainability</w:t>
            </w:r>
          </w:p>
        </w:tc>
        <w:tc>
          <w:tcPr>
            <w:tcW w:type="dxa" w:w="1152"/>
            <w:shd w:fill="F8FAFC"/>
            <w:tcMar>
              <w:top w:w="80" w:type="dxa"/>
              <w:bottom w:w="80" w:type="dxa"/>
              <w:left w:w="90" w:type="dxa"/>
              <w:right w:w="90" w:type="dxa"/>
            </w:tcMar>
          </w:tcPr>
          <w:p>
            <w:r>
              <w:rPr>
                <w:b/>
                <w:sz w:val="17"/>
              </w:rPr>
              <w:t>5.8 / 10</w:t>
            </w:r>
          </w:p>
        </w:tc>
        <w:tc>
          <w:tcPr>
            <w:tcW w:type="dxa" w:w="1584"/>
            <w:shd w:fill="F8FAFC"/>
            <w:tcMar>
              <w:top w:w="80" w:type="dxa"/>
              <w:bottom w:w="80" w:type="dxa"/>
              <w:left w:w="90" w:type="dxa"/>
              <w:right w:w="90" w:type="dxa"/>
            </w:tcMar>
          </w:tcPr>
          <w:p>
            <w:r>
              <w:rPr>
                <w:sz w:val="17"/>
              </w:rPr>
              <w:t>Needs Work</w:t>
            </w:r>
          </w:p>
        </w:tc>
        <w:tc>
          <w:tcPr>
            <w:tcW w:type="dxa" w:w="4320"/>
            <w:shd w:fill="F8FAFC"/>
            <w:tcMar>
              <w:top w:w="80" w:type="dxa"/>
              <w:bottom w:w="80" w:type="dxa"/>
              <w:left w:w="90" w:type="dxa"/>
              <w:right w:w="90" w:type="dxa"/>
            </w:tcMar>
          </w:tcPr>
          <w:p>
            <w:r>
              <w:rPr>
                <w:sz w:val="17"/>
              </w:rPr>
              <w:t>npm run lint fails with 38 errors (4 setState-in-effect cascading renders, 31 unused vars, 3 empty catch blocks).</w:t>
            </w:r>
          </w:p>
        </w:tc>
      </w:tr>
      <w:tr>
        <w:tc>
          <w:tcPr>
            <w:tcW w:type="dxa" w:w="2304"/>
            <w:shd w:fill="FFFFFF"/>
            <w:tcMar>
              <w:top w:w="80" w:type="dxa"/>
              <w:bottom w:w="80" w:type="dxa"/>
              <w:left w:w="90" w:type="dxa"/>
              <w:right w:w="90" w:type="dxa"/>
            </w:tcMar>
          </w:tcPr>
          <w:p>
            <w:r>
              <w:rPr>
                <w:b/>
                <w:sz w:val="17"/>
              </w:rPr>
              <w:t>Security &amp; Resilience</w:t>
            </w:r>
          </w:p>
        </w:tc>
        <w:tc>
          <w:tcPr>
            <w:tcW w:type="dxa" w:w="1152"/>
            <w:shd w:fill="FFFFFF"/>
            <w:tcMar>
              <w:top w:w="80" w:type="dxa"/>
              <w:bottom w:w="80" w:type="dxa"/>
              <w:left w:w="90" w:type="dxa"/>
              <w:right w:w="90" w:type="dxa"/>
            </w:tcMar>
          </w:tcPr>
          <w:p>
            <w:r>
              <w:rPr>
                <w:b/>
                <w:sz w:val="17"/>
              </w:rPr>
              <w:t>4.8 / 10</w:t>
            </w:r>
          </w:p>
        </w:tc>
        <w:tc>
          <w:tcPr>
            <w:tcW w:type="dxa" w:w="1584"/>
            <w:shd w:fill="FFFFFF"/>
            <w:tcMar>
              <w:top w:w="80" w:type="dxa"/>
              <w:bottom w:w="80" w:type="dxa"/>
              <w:left w:w="90" w:type="dxa"/>
              <w:right w:w="90" w:type="dxa"/>
            </w:tcMar>
          </w:tcPr>
          <w:p>
            <w:r>
              <w:rPr>
                <w:sz w:val="17"/>
              </w:rPr>
              <w:t>At Risk</w:t>
            </w:r>
          </w:p>
        </w:tc>
        <w:tc>
          <w:tcPr>
            <w:tcW w:type="dxa" w:w="4320"/>
            <w:shd w:fill="FFFFFF"/>
            <w:tcMar>
              <w:top w:w="80" w:type="dxa"/>
              <w:bottom w:w="80" w:type="dxa"/>
              <w:left w:w="90" w:type="dxa"/>
              <w:right w:w="90" w:type="dxa"/>
            </w:tcMar>
          </w:tcPr>
          <w:p>
            <w:r>
              <w:rPr>
                <w:sz w:val="17"/>
              </w:rPr>
              <w:t>In-memory login bypasses password checks completely; passwords stored in plaintext; unescaped $regex queries allow regex injection.</w:t>
            </w:r>
          </w:p>
        </w:tc>
      </w:tr>
      <w:tr>
        <w:tc>
          <w:tcPr>
            <w:tcW w:type="dxa" w:w="2304"/>
            <w:shd w:fill="F8FAFC"/>
            <w:tcMar>
              <w:top w:w="80" w:type="dxa"/>
              <w:bottom w:w="80" w:type="dxa"/>
              <w:left w:w="90" w:type="dxa"/>
              <w:right w:w="90" w:type="dxa"/>
            </w:tcMar>
          </w:tcPr>
          <w:p>
            <w:r>
              <w:rPr>
                <w:b/>
                <w:sz w:val="17"/>
              </w:rPr>
              <w:t>Accessibility (WCAG 2.1)</w:t>
            </w:r>
          </w:p>
        </w:tc>
        <w:tc>
          <w:tcPr>
            <w:tcW w:type="dxa" w:w="1152"/>
            <w:shd w:fill="F8FAFC"/>
            <w:tcMar>
              <w:top w:w="80" w:type="dxa"/>
              <w:bottom w:w="80" w:type="dxa"/>
              <w:left w:w="90" w:type="dxa"/>
              <w:right w:w="90" w:type="dxa"/>
            </w:tcMar>
          </w:tcPr>
          <w:p>
            <w:r>
              <w:rPr>
                <w:b/>
                <w:sz w:val="17"/>
              </w:rPr>
              <w:t>7.0 / 10</w:t>
            </w:r>
          </w:p>
        </w:tc>
        <w:tc>
          <w:tcPr>
            <w:tcW w:type="dxa" w:w="1584"/>
            <w:shd w:fill="F8FAFC"/>
            <w:tcMar>
              <w:top w:w="80" w:type="dxa"/>
              <w:bottom w:w="80" w:type="dxa"/>
              <w:left w:w="90" w:type="dxa"/>
              <w:right w:w="90" w:type="dxa"/>
            </w:tcMar>
          </w:tcPr>
          <w:p>
            <w:r>
              <w:rPr>
                <w:sz w:val="17"/>
              </w:rPr>
              <w:t>Needs Work</w:t>
            </w:r>
          </w:p>
        </w:tc>
        <w:tc>
          <w:tcPr>
            <w:tcW w:type="dxa" w:w="4320"/>
            <w:shd w:fill="F8FAFC"/>
            <w:tcMar>
              <w:top w:w="80" w:type="dxa"/>
              <w:bottom w:w="80" w:type="dxa"/>
              <w:left w:w="90" w:type="dxa"/>
              <w:right w:w="90" w:type="dxa"/>
            </w:tcMar>
          </w:tcPr>
          <w:p>
            <w:r>
              <w:rPr>
                <w:sz w:val="17"/>
              </w:rPr>
              <w:t>Landing page feature cards with role='button' lack Enter/Space keyboard handlers; ReceivingModal lacks label htmlFor bindings.</w:t>
            </w:r>
          </w:p>
        </w:tc>
      </w:tr>
    </w:tbl>
    <w:p>
      <w:r>
        <w:br w:type="page"/>
      </w:r>
    </w:p>
    <w:p>
      <w:pPr>
        <w:pStyle w:val="Heading1"/>
        <w:spacing w:before="120" w:after="120"/>
      </w:pPr>
      <w:r>
        <w:t>2. Comprehensive Catalog of Observed Issues</w:t>
      </w:r>
    </w:p>
    <w:p>
      <w:pPr>
        <w:pStyle w:val="Heading2"/>
        <w:spacing w:before="280" w:after="80"/>
      </w:pPr>
      <w:r>
        <w:rPr>
          <w:color w:val="0D382C"/>
        </w:rPr>
        <w:t>ISS-01 — Warehouse Name Mismatch Breaks Inventory Filtering &amp; Edit Modal</w:t>
      </w:r>
    </w:p>
    <w:tbl>
      <w:tblPr>
        <w:tblW w:type="auto" w:w="0"/>
        <w:jc w:val="center"/>
        <w:tblLayout w:type="fixed"/>
        <w:tblLook w:firstColumn="1" w:firstRow="1" w:lastColumn="0" w:lastRow="0" w:noHBand="0" w:noVBand="1" w:val="04A0"/>
      </w:tblPr>
      <w:tblGrid>
        <w:gridCol w:w="4824"/>
        <w:gridCol w:w="4824"/>
      </w:tblGrid>
      <w:tr>
        <w:tc>
          <w:tcPr>
            <w:tcW w:type="dxa" w:w="4680"/>
            <w:shd w:fill="FEE2E2"/>
            <w:tcMar>
              <w:top w:w="70" w:type="dxa"/>
              <w:bottom w:w="70" w:type="dxa"/>
              <w:left w:w="100" w:type="dxa"/>
              <w:right w:w="100" w:type="dxa"/>
            </w:tcMar>
          </w:tcPr>
          <w:p>
            <w:r>
              <w:rPr>
                <w:b/>
                <w:color w:val="991B1B"/>
                <w:sz w:val="17"/>
              </w:rPr>
              <w:t>Severity: CRITICAL</w:t>
            </w:r>
          </w:p>
        </w:tc>
        <w:tc>
          <w:tcPr>
            <w:tcW w:type="dxa" w:w="4680"/>
            <w:shd w:fill="F8FAFC"/>
            <w:tcMar>
              <w:top w:w="70" w:type="dxa"/>
              <w:bottom w:w="70" w:type="dxa"/>
              <w:left w:w="100" w:type="dxa"/>
              <w:right w:w="100" w:type="dxa"/>
            </w:tcMar>
          </w:tcPr>
          <w:p>
            <w:r>
              <w:rPr>
                <w:b/>
                <w:sz w:val="17"/>
              </w:rPr>
              <w:t>Category: Data Integrity &amp; UI Filtering</w:t>
            </w:r>
          </w:p>
        </w:tc>
      </w:tr>
      <w:tr>
        <w:tc>
          <w:tcPr>
            <w:tcW w:type="dxa" w:w="4680"/>
            <w:shd w:fill="F8FAFC"/>
            <w:tcMar>
              <w:top w:w="70" w:type="dxa"/>
              <w:bottom w:w="70" w:type="dxa"/>
              <w:left w:w="100" w:type="dxa"/>
              <w:right w:w="100" w:type="dxa"/>
            </w:tcMar>
          </w:tcPr>
          <w:p>
            <w:r>
              <w:rPr>
                <w:b w:val="0"/>
                <w:sz w:val="17"/>
              </w:rPr>
              <w:t>Location: server/db/seedData.js (L13, L85, L107) &amp; client/src/App.jsx (L721)</w:t>
            </w:r>
          </w:p>
        </w:tc>
        <w:tc>
          <w:tcPr>
            <w:tcW w:type="dxa" w:w="4680"/>
            <w:shd w:fill="F8FAFC"/>
            <w:tcMar>
              <w:top w:w="70" w:type="dxa"/>
              <w:bottom w:w="70" w:type="dxa"/>
              <w:left w:w="100" w:type="dxa"/>
              <w:right w:w="100" w:type="dxa"/>
            </w:tcMar>
          </w:tcPr>
          <w:p>
            <w:r>
              <w:rPr>
                <w:b w:val="0"/>
                <w:sz w:val="17"/>
              </w:rPr>
              <w:t>Trigger: Selecting 'Adama Central Warehouse' in Food Inventory filter dropdown</w:t>
            </w:r>
          </w:p>
        </w:tc>
      </w:tr>
    </w:tbl>
    <w:p>
      <w:pPr>
        <w:spacing w:after="60"/>
      </w:pPr>
    </w:p>
    <w:p>
      <w:pPr>
        <w:spacing w:before="80" w:after="40"/>
      </w:pPr>
      <w:r>
        <w:rPr>
          <w:b/>
          <w:color w:val="0D382C"/>
          <w:sz w:val="20"/>
        </w:rPr>
        <w:t xml:space="preserve">1. What Happened &amp; Why It Happened (Root Cause Analysis): </w:t>
      </w:r>
      <w:r>
        <w:rPr>
          <w:sz w:val="20"/>
        </w:rPr>
        <w:t>In server/db/seedData.js, the warehouse record is named 'Adama Central Warehouse' (line 107), but the inventory records stored there (Wheat Grain on line 13 and Red Beans on line 85) and collection record GC-2026-1187 (line 175) use the shortened string 'Adama Central'. Meanwhile, InventoryTable.jsx (lines 95-97) populates its filter dropdown options from warehousesList (w.name = 'Adama Central Warehouse'). When App.jsx (line 721) checks item.warehouse.toLowerCase() === warehouseFilter.toLowerCase(), 'adama central' === 'adama central warehouse' evaluates to false.</w:t>
      </w:r>
    </w:p>
    <w:p>
      <w:pPr>
        <w:spacing w:before="80" w:after="40"/>
      </w:pPr>
      <w:r>
        <w:rPr>
          <w:b/>
          <w:color w:val="0D382C"/>
          <w:sz w:val="20"/>
        </w:rPr>
        <w:t xml:space="preserve">2. How It Manifests &amp; How It Is Visible (User Interaction &amp; Visual Behavior): </w:t>
      </w:r>
      <w:r>
        <w:rPr>
          <w:sz w:val="20"/>
        </w:rPr>
        <w:t>When a user navigates to Food Inventory, Wheat Grain (25,430 t) and Red Beans (6,450 t) are visible in the 'All' view under 'Adama Central'. As soon as the user selects 'Adama Central Warehouse' from the Warehouse filter dropdown, both items disappear and the table displays 'No inventory records match your search criteria'—hiding 31,880 tonnes (over 53% of the national food reserve). Additionally, clicking Edit on Wheat Grain opens InventoryModal with a mismatched select value because 'Adama Central' is not an option in the Warehouse dropdown.</w:t>
      </w:r>
    </w:p>
    <w:p>
      <w:pPr>
        <w:spacing w:before="80" w:after="40"/>
      </w:pPr>
      <w:r>
        <w:rPr>
          <w:b/>
          <w:color w:val="0D382C"/>
          <w:sz w:val="20"/>
        </w:rPr>
        <w:t xml:space="preserve">3. Industry-Standard Remediation Blueprint: </w:t>
      </w:r>
      <w:r>
        <w:rPr>
          <w:sz w:val="20"/>
        </w:rPr>
        <w:t>Standardize the facility name to 'Adama Central Warehouse' across server/db/seedData.js (lines 13, 85, 175), InventoryModal.jsx (lines 17, 32, 43), and ReceivingForm.jsx (line 17).</w:t>
      </w:r>
    </w:p>
    <w:tbl>
      <w:tblPr>
        <w:tblW w:type="auto" w:w="0"/>
        <w:jc w:val="center"/>
        <w:tblLayout w:type="fixed"/>
        <w:tblLook w:firstColumn="1" w:firstRow="1" w:lastColumn="0" w:lastRow="0" w:noHBand="0" w:noVBand="1" w:val="04A0"/>
      </w:tblPr>
      <w:tblGrid>
        <w:gridCol w:w="9360"/>
      </w:tblGrid>
      <w:tr>
        <w:tc>
          <w:tcPr>
            <w:tcW w:type="dxa" w:w="9648"/>
            <w:shd w:fill="0F172A"/>
            <w:tcMar>
              <w:top w:w="110" w:type="dxa"/>
              <w:bottom w:w="110" w:type="dxa"/>
              <w:left w:w="150" w:type="dxa"/>
              <w:right w:w="150" w:type="dxa"/>
            </w:tcMar>
          </w:tcPr>
          <w:p>
            <w:pPr>
              <w:spacing w:before="20" w:after="20"/>
            </w:pPr>
            <w:r>
              <w:rPr>
                <w:rFonts w:ascii="Consolas" w:hAnsi="Consolas"/>
                <w:color w:val="E2E8F0"/>
                <w:sz w:val="17"/>
              </w:rPr>
              <w:t>// server/db/seedData.js</w:t>
              <w:br/>
              <w:t>// Line 13 (Inventory):  warehouse: 'Adama Central'           &lt;-- MISMATCH</w:t>
              <w:br/>
              <w:t>// Line 107 (Warehouse): name: 'Adama Central Warehouse'      &lt;-- DROPDOWN VALUE</w:t>
              <w:br/>
              <w:t>// client/src/App.jsx (Line 721):</w:t>
              <w:br/>
              <w:t>const matchWh = warehouseFilter === 'All' || item.warehouse?.toLowerCase() === warehouseFilter.toLowerCase();</w:t>
            </w:r>
          </w:p>
        </w:tc>
      </w:tr>
    </w:tbl>
    <w:p>
      <w:pPr>
        <w:spacing w:after="80"/>
      </w:pPr>
    </w:p>
    <w:p>
      <w:pPr>
        <w:pStyle w:val="Heading2"/>
        <w:spacing w:before="280" w:after="80"/>
      </w:pPr>
      <w:r>
        <w:rPr>
          <w:color w:val="0D382C"/>
        </w:rPr>
        <w:t>ISS-02 — Transparent &amp; Unstyled 'About' and 'Contact' Modals on Landing Page</w:t>
      </w:r>
    </w:p>
    <w:tbl>
      <w:tblPr>
        <w:tblW w:type="auto" w:w="0"/>
        <w:jc w:val="center"/>
        <w:tblLayout w:type="fixed"/>
        <w:tblLook w:firstColumn="1" w:firstRow="1" w:lastColumn="0" w:lastRow="0" w:noHBand="0" w:noVBand="1" w:val="04A0"/>
      </w:tblPr>
      <w:tblGrid>
        <w:gridCol w:w="4824"/>
        <w:gridCol w:w="4824"/>
      </w:tblGrid>
      <w:tr>
        <w:tc>
          <w:tcPr>
            <w:tcW w:type="dxa" w:w="4680"/>
            <w:shd w:fill="FEE2E2"/>
            <w:tcMar>
              <w:top w:w="70" w:type="dxa"/>
              <w:bottom w:w="70" w:type="dxa"/>
              <w:left w:w="100" w:type="dxa"/>
              <w:right w:w="100" w:type="dxa"/>
            </w:tcMar>
          </w:tcPr>
          <w:p>
            <w:r>
              <w:rPr>
                <w:b/>
                <w:color w:val="991B1B"/>
                <w:sz w:val="17"/>
              </w:rPr>
              <w:t>Severity: CRITICAL</w:t>
            </w:r>
          </w:p>
        </w:tc>
        <w:tc>
          <w:tcPr>
            <w:tcW w:type="dxa" w:w="4680"/>
            <w:shd w:fill="F8FAFC"/>
            <w:tcMar>
              <w:top w:w="70" w:type="dxa"/>
              <w:bottom w:w="70" w:type="dxa"/>
              <w:left w:w="100" w:type="dxa"/>
              <w:right w:w="100" w:type="dxa"/>
            </w:tcMar>
          </w:tcPr>
          <w:p>
            <w:r>
              <w:rPr>
                <w:b/>
                <w:sz w:val="17"/>
              </w:rPr>
              <w:t>Category: UI / CSS Styling Defect</w:t>
            </w:r>
          </w:p>
        </w:tc>
      </w:tr>
      <w:tr>
        <w:tc>
          <w:tcPr>
            <w:tcW w:type="dxa" w:w="4680"/>
            <w:shd w:fill="F8FAFC"/>
            <w:tcMar>
              <w:top w:w="70" w:type="dxa"/>
              <w:bottom w:w="70" w:type="dxa"/>
              <w:left w:w="100" w:type="dxa"/>
              <w:right w:w="100" w:type="dxa"/>
            </w:tcMar>
          </w:tcPr>
          <w:p>
            <w:r>
              <w:rPr>
                <w:b w:val="0"/>
                <w:sz w:val="17"/>
              </w:rPr>
              <w:t>Location: client/src/components/Home/LandingPage.jsx (L410, L447) &amp; components.css (L619)</w:t>
            </w:r>
          </w:p>
        </w:tc>
        <w:tc>
          <w:tcPr>
            <w:tcW w:type="dxa" w:w="4680"/>
            <w:shd w:fill="F8FAFC"/>
            <w:tcMar>
              <w:top w:w="70" w:type="dxa"/>
              <w:bottom w:w="70" w:type="dxa"/>
              <w:left w:w="100" w:type="dxa"/>
              <w:right w:w="100" w:type="dxa"/>
            </w:tcMar>
          </w:tcPr>
          <w:p>
            <w:r>
              <w:rPr>
                <w:b w:val="0"/>
                <w:sz w:val="17"/>
              </w:rPr>
              <w:t>Trigger: Clicking 'About' or 'Contact' in the Landing Page navbar or footer</w:t>
            </w:r>
          </w:p>
        </w:tc>
      </w:tr>
    </w:tbl>
    <w:p>
      <w:pPr>
        <w:spacing w:after="60"/>
      </w:pPr>
    </w:p>
    <w:p>
      <w:pPr>
        <w:spacing w:before="80" w:after="40"/>
      </w:pPr>
      <w:r>
        <w:rPr>
          <w:b/>
          <w:color w:val="0D382C"/>
          <w:sz w:val="20"/>
        </w:rPr>
        <w:t xml:space="preserve">1. What Happened &amp; Why It Happened (Root Cause Analysis): </w:t>
      </w:r>
      <w:r>
        <w:rPr>
          <w:sz w:val="20"/>
        </w:rPr>
        <w:t>In client/src/styles/components.css (line 619), the white modal surface card is styled under the class .modal-content, and the close button is .modal-close-btn. While all dashboard modals (InventoryModal, WarehouseModal, ReceivingModal, ConfirmDialog) use .modal-content, LandingPage.jsx (lines 410 and 447) uses &lt;div className='modal-dialog'&gt;—a class name that does not exist anywhere in the CSS files.</w:t>
      </w:r>
    </w:p>
    <w:p>
      <w:pPr>
        <w:spacing w:before="80" w:after="40"/>
      </w:pPr>
      <w:r>
        <w:rPr>
          <w:b/>
          <w:color w:val="0D382C"/>
          <w:sz w:val="20"/>
        </w:rPr>
        <w:t xml:space="preserve">2. How It Manifests &amp; How It Is Visible (User Interaction &amp; Visual Behavior): </w:t>
      </w:r>
      <w:r>
        <w:rPr>
          <w:sz w:val="20"/>
        </w:rPr>
        <w:t>When a user clicks 'About' or 'Contact' on the Public Home Page, the dark green blurred .modal-backdrop appears, but the dialog box itself has no white background, no border-radius, and no shadow. Dark charcoal text (#141e1a) renders directly on top of the dark translucent backdrop (rgba(13, 56, 44, 0.45)), making the text nearly unreadable, while .modal-footer (which has its own #fafbfa background) floats underneath as a detached white strip.</w:t>
      </w:r>
    </w:p>
    <w:p>
      <w:pPr>
        <w:spacing w:before="80" w:after="40"/>
      </w:pPr>
      <w:r>
        <w:rPr>
          <w:b/>
          <w:color w:val="0D382C"/>
          <w:sz w:val="20"/>
        </w:rPr>
        <w:t xml:space="preserve">3. Industry-Standard Remediation Blueprint: </w:t>
      </w:r>
      <w:r>
        <w:rPr>
          <w:sz w:val="20"/>
        </w:rPr>
        <w:t>Change className='modal-dialog' to className='modal-content' and className='btn-icon' to className='modal-close-btn' in LandingPage.jsx (lines 410-455), or style .modal-dialog alongside .modal-content.</w:t>
      </w:r>
    </w:p>
    <w:tbl>
      <w:tblPr>
        <w:tblW w:type="auto" w:w="0"/>
        <w:jc w:val="center"/>
        <w:tblLayout w:type="fixed"/>
        <w:tblLook w:firstColumn="1" w:firstRow="1" w:lastColumn="0" w:lastRow="0" w:noHBand="0" w:noVBand="1" w:val="04A0"/>
      </w:tblPr>
      <w:tblGrid>
        <w:gridCol w:w="9360"/>
      </w:tblGrid>
      <w:tr>
        <w:tc>
          <w:tcPr>
            <w:tcW w:type="dxa" w:w="9648"/>
            <w:shd w:fill="0F172A"/>
            <w:tcMar>
              <w:top w:w="110" w:type="dxa"/>
              <w:bottom w:w="110" w:type="dxa"/>
              <w:left w:w="150" w:type="dxa"/>
              <w:right w:w="150" w:type="dxa"/>
            </w:tcMar>
          </w:tcPr>
          <w:p>
            <w:pPr>
              <w:spacing w:before="20" w:after="20"/>
            </w:pPr>
            <w:r>
              <w:rPr>
                <w:rFonts w:ascii="Consolas" w:hAnsi="Consolas"/>
                <w:color w:val="E2E8F0"/>
                <w:sz w:val="17"/>
              </w:rPr>
              <w:t>// client/src/components/Home/LandingPage.jsx (Lines 409-415)</w:t>
              <w:br/>
              <w:t>&lt;div className="modal-backdrop" onClick={() =&gt; setShowInfoModal(null)}&gt;</w:t>
              <w:br/>
              <w:t xml:space="preserve">  &lt;div className="modal-dialog" ...&gt; &lt;!-- BUG: .modal-dialog is undefined in CSS; should be .modal-content --&gt;</w:t>
            </w:r>
          </w:p>
        </w:tc>
      </w:tr>
    </w:tbl>
    <w:p>
      <w:pPr>
        <w:spacing w:after="80"/>
      </w:pPr>
    </w:p>
    <w:p>
      <w:pPr>
        <w:pStyle w:val="Heading2"/>
        <w:spacing w:before="280" w:after="80"/>
      </w:pPr>
      <w:r>
        <w:rPr>
          <w:color w:val="0D382C"/>
        </w:rPr>
        <w:t>ISS-03 — In-Memory Login Bypass, Unseeded Demo Accounts &amp; Duplicate Registration</w:t>
      </w:r>
    </w:p>
    <w:tbl>
      <w:tblPr>
        <w:tblW w:type="auto" w:w="0"/>
        <w:jc w:val="center"/>
        <w:tblLayout w:type="fixed"/>
        <w:tblLook w:firstColumn="1" w:firstRow="1" w:lastColumn="0" w:lastRow="0" w:noHBand="0" w:noVBand="1" w:val="04A0"/>
      </w:tblPr>
      <w:tblGrid>
        <w:gridCol w:w="4824"/>
        <w:gridCol w:w="4824"/>
      </w:tblGrid>
      <w:tr>
        <w:tc>
          <w:tcPr>
            <w:tcW w:type="dxa" w:w="4680"/>
            <w:shd w:fill="FEE2E2"/>
            <w:tcMar>
              <w:top w:w="70" w:type="dxa"/>
              <w:bottom w:w="70" w:type="dxa"/>
              <w:left w:w="100" w:type="dxa"/>
              <w:right w:w="100" w:type="dxa"/>
            </w:tcMar>
          </w:tcPr>
          <w:p>
            <w:r>
              <w:rPr>
                <w:b/>
                <w:color w:val="991B1B"/>
                <w:sz w:val="17"/>
              </w:rPr>
              <w:t>Severity: CRITICAL</w:t>
            </w:r>
          </w:p>
        </w:tc>
        <w:tc>
          <w:tcPr>
            <w:tcW w:type="dxa" w:w="4680"/>
            <w:shd w:fill="F8FAFC"/>
            <w:tcMar>
              <w:top w:w="70" w:type="dxa"/>
              <w:bottom w:w="70" w:type="dxa"/>
              <w:left w:w="100" w:type="dxa"/>
              <w:right w:w="100" w:type="dxa"/>
            </w:tcMar>
          </w:tcPr>
          <w:p>
            <w:r>
              <w:rPr>
                <w:b/>
                <w:sz w:val="17"/>
              </w:rPr>
              <w:t>Category: Authentication &amp; Session Logic</w:t>
            </w:r>
          </w:p>
        </w:tc>
      </w:tr>
      <w:tr>
        <w:tc>
          <w:tcPr>
            <w:tcW w:type="dxa" w:w="4680"/>
            <w:shd w:fill="F8FAFC"/>
            <w:tcMar>
              <w:top w:w="70" w:type="dxa"/>
              <w:bottom w:w="70" w:type="dxa"/>
              <w:left w:w="100" w:type="dxa"/>
              <w:right w:w="100" w:type="dxa"/>
            </w:tcMar>
          </w:tcPr>
          <w:p>
            <w:r>
              <w:rPr>
                <w:b w:val="0"/>
                <w:sz w:val="17"/>
              </w:rPr>
              <w:t>Location: server/handlers/authHandlers.js (L49-L69, L129-L136) &amp; SignIn.jsx (L19-L23)</w:t>
            </w:r>
          </w:p>
        </w:tc>
        <w:tc>
          <w:tcPr>
            <w:tcW w:type="dxa" w:w="4680"/>
            <w:shd w:fill="F8FAFC"/>
            <w:tcMar>
              <w:top w:w="70" w:type="dxa"/>
              <w:bottom w:w="70" w:type="dxa"/>
              <w:left w:w="100" w:type="dxa"/>
              <w:right w:w="100" w:type="dxa"/>
            </w:tcMar>
          </w:tcPr>
          <w:p>
            <w:r>
              <w:rPr>
                <w:b w:val="0"/>
                <w:sz w:val="17"/>
              </w:rPr>
              <w:t>Trigger: Submitting wrong passwords or clicking 'Administrator' / 'Relief Coordinator' demo pills</w:t>
            </w:r>
          </w:p>
        </w:tc>
      </w:tr>
    </w:tbl>
    <w:p>
      <w:pPr>
        <w:spacing w:after="60"/>
      </w:pPr>
    </w:p>
    <w:p>
      <w:pPr>
        <w:spacing w:before="80" w:after="40"/>
      </w:pPr>
      <w:r>
        <w:rPr>
          <w:b/>
          <w:color w:val="0D382C"/>
          <w:sz w:val="20"/>
        </w:rPr>
        <w:t xml:space="preserve">1. What Happened &amp; Why It Happened (Root Cause Analysis): </w:t>
      </w:r>
      <w:r>
        <w:rPr>
          <w:sz w:val="20"/>
        </w:rPr>
        <w:t>1) In authHandlers.js (lines 49-64), when running in in-memory mode and credentials fail (!user || user.password !== password), an inner check 'if (email &amp;&amp; password)' returns HTTP 200 OK with Meron Kassa's user object. Because empty email/password was already rejected at line 15, 'if (email &amp;&amp; password)' is always true—making line 65 (401 Invalid credentials) unreachable dead code.</w:t>
        <w:br/>
        <w:t>2) SignIn.jsx (lines 19-23) provides 3 quick-fill demo buttons (Warehouse Manager, Administrator, Relief Coordinator), but seedData.js (lines 226-236) only seeds Meron Kassa.</w:t>
        <w:br/>
        <w:t>3) authHandlers.register (lines 129-136) does not check for existing emails in in-memory mode.</w:t>
      </w:r>
    </w:p>
    <w:p>
      <w:pPr>
        <w:spacing w:before="80" w:after="40"/>
      </w:pPr>
      <w:r>
        <w:rPr>
          <w:b/>
          <w:color w:val="0D382C"/>
          <w:sz w:val="20"/>
        </w:rPr>
        <w:t xml:space="preserve">2. How It Manifests &amp; How It Is Visible (User Interaction &amp; Visual Behavior): </w:t>
      </w:r>
      <w:r>
        <w:rPr>
          <w:sz w:val="20"/>
        </w:rPr>
        <w:t>• Entering any arbitrary email and wrong password in in-memory mode logs the user into the system as Meron Kassa instead of showing an error message.</w:t>
        <w:br/>
        <w:t>• Clicking the 'Administrator' (admin@gotera.gov.et) or 'Relief Coordinator' (coordinator@gotera.gov.et) demo account button on SignIn.jsx either logs the user in with the wrong identity ('Meron Kassa - Warehouse Manager') in memory mode, or fails with '401 Invalid credentials' when MongoDB is connected.</w:t>
      </w:r>
    </w:p>
    <w:p>
      <w:pPr>
        <w:spacing w:before="80" w:after="40"/>
      </w:pPr>
      <w:r>
        <w:rPr>
          <w:b/>
          <w:color w:val="0D382C"/>
          <w:sz w:val="20"/>
        </w:rPr>
        <w:t xml:space="preserve">3. Industry-Standard Remediation Blueprint: </w:t>
      </w:r>
      <w:r>
        <w:rPr>
          <w:sz w:val="20"/>
        </w:rPr>
        <w:t>Seed all 3 demo users in seedData.js, remove the unconditional 200 OK fallback on failed password checks in authHandlers.login, and enforce duplicate email validation in the in-memory branch of authHandlers.register.</w:t>
      </w:r>
    </w:p>
    <w:tbl>
      <w:tblPr>
        <w:tblW w:type="auto" w:w="0"/>
        <w:jc w:val="center"/>
        <w:tblLayout w:type="fixed"/>
        <w:tblLook w:firstColumn="1" w:firstRow="1" w:lastColumn="0" w:lastRow="0" w:noHBand="0" w:noVBand="1" w:val="04A0"/>
      </w:tblPr>
      <w:tblGrid>
        <w:gridCol w:w="9360"/>
      </w:tblGrid>
      <w:tr>
        <w:tc>
          <w:tcPr>
            <w:tcW w:type="dxa" w:w="9648"/>
            <w:shd w:fill="0F172A"/>
            <w:tcMar>
              <w:top w:w="110" w:type="dxa"/>
              <w:bottom w:w="110" w:type="dxa"/>
              <w:left w:w="150" w:type="dxa"/>
              <w:right w:w="150" w:type="dxa"/>
            </w:tcMar>
          </w:tcPr>
          <w:p>
            <w:pPr>
              <w:spacing w:before="20" w:after="20"/>
            </w:pPr>
            <w:r>
              <w:rPr>
                <w:rFonts w:ascii="Consolas" w:hAnsi="Consolas"/>
                <w:color w:val="E2E8F0"/>
                <w:sz w:val="17"/>
              </w:rPr>
              <w:t>// server/handlers/authHandlers.js (Lines 49-68)</w:t>
              <w:br/>
              <w:t>if (!user || user.password !== password) {</w:t>
              <w:br/>
              <w:t xml:space="preserve">  if (email &amp;&amp; password) { // &lt;-- ALWAYS TRUE; bypasses authentication!</w:t>
              <w:br/>
              <w:t xml:space="preserve">    return res.status(200).json({ success: true, user: { fullName: 'Meron Kassa', ... } });</w:t>
              <w:br/>
              <w:t xml:space="preserve">  }</w:t>
              <w:br/>
              <w:t xml:space="preserve">  return res.status(401).json({ success: false, message: 'Invalid credentials' }); // &lt;-- UNREACHABLE</w:t>
              <w:br/>
              <w:t>}</w:t>
            </w:r>
          </w:p>
        </w:tc>
      </w:tr>
    </w:tbl>
    <w:p>
      <w:pPr>
        <w:spacing w:after="80"/>
      </w:pPr>
    </w:p>
    <w:p>
      <w:pPr>
        <w:pStyle w:val="Heading2"/>
        <w:spacing w:before="280" w:after="80"/>
      </w:pPr>
      <w:r>
        <w:rPr>
          <w:color w:val="0D382C"/>
        </w:rPr>
        <w:t>ISS-04 — apiFetch Double-Submits Every Non-2xx (400/401/404) HTTP Response</w:t>
      </w:r>
    </w:p>
    <w:tbl>
      <w:tblPr>
        <w:tblW w:type="auto" w:w="0"/>
        <w:jc w:val="center"/>
        <w:tblLayout w:type="fixed"/>
        <w:tblLook w:firstColumn="1" w:firstRow="1" w:lastColumn="0" w:lastRow="0" w:noHBand="0" w:noVBand="1" w:val="04A0"/>
      </w:tblPr>
      <w:tblGrid>
        <w:gridCol w:w="4824"/>
        <w:gridCol w:w="4824"/>
      </w:tblGrid>
      <w:tr>
        <w:tc>
          <w:tcPr>
            <w:tcW w:type="dxa" w:w="4680"/>
            <w:shd w:fill="FFEDD5"/>
            <w:tcMar>
              <w:top w:w="70" w:type="dxa"/>
              <w:bottom w:w="70" w:type="dxa"/>
              <w:left w:w="100" w:type="dxa"/>
              <w:right w:w="100" w:type="dxa"/>
            </w:tcMar>
          </w:tcPr>
          <w:p>
            <w:r>
              <w:rPr>
                <w:b/>
                <w:color w:val="C2410C"/>
                <w:sz w:val="17"/>
              </w:rPr>
              <w:t>Severity: HIGH</w:t>
            </w:r>
          </w:p>
        </w:tc>
        <w:tc>
          <w:tcPr>
            <w:tcW w:type="dxa" w:w="4680"/>
            <w:shd w:fill="F8FAFC"/>
            <w:tcMar>
              <w:top w:w="70" w:type="dxa"/>
              <w:bottom w:w="70" w:type="dxa"/>
              <w:left w:w="100" w:type="dxa"/>
              <w:right w:w="100" w:type="dxa"/>
            </w:tcMar>
          </w:tcPr>
          <w:p>
            <w:r>
              <w:rPr>
                <w:b/>
                <w:sz w:val="17"/>
              </w:rPr>
              <w:t>Category: Network &amp; API Client</w:t>
            </w:r>
          </w:p>
        </w:tc>
      </w:tr>
      <w:tr>
        <w:tc>
          <w:tcPr>
            <w:tcW w:type="dxa" w:w="4680"/>
            <w:shd w:fill="F8FAFC"/>
            <w:tcMar>
              <w:top w:w="70" w:type="dxa"/>
              <w:bottom w:w="70" w:type="dxa"/>
              <w:left w:w="100" w:type="dxa"/>
              <w:right w:w="100" w:type="dxa"/>
            </w:tcMar>
          </w:tcPr>
          <w:p>
            <w:r>
              <w:rPr>
                <w:b w:val="0"/>
                <w:sz w:val="17"/>
              </w:rPr>
              <w:t>Location: client/src/App.jsx (Lines 30-39)</w:t>
            </w:r>
          </w:p>
        </w:tc>
        <w:tc>
          <w:tcPr>
            <w:tcW w:type="dxa" w:w="4680"/>
            <w:shd w:fill="F8FAFC"/>
            <w:tcMar>
              <w:top w:w="70" w:type="dxa"/>
              <w:bottom w:w="70" w:type="dxa"/>
              <w:left w:w="100" w:type="dxa"/>
              <w:right w:w="100" w:type="dxa"/>
            </w:tcMar>
          </w:tcPr>
          <w:p>
            <w:r>
              <w:rPr>
                <w:b w:val="0"/>
                <w:sz w:val="17"/>
              </w:rPr>
              <w:t>Trigger: Any API call returning HTTP 400, 401, or 404</w:t>
            </w:r>
          </w:p>
        </w:tc>
      </w:tr>
    </w:tbl>
    <w:p>
      <w:pPr>
        <w:spacing w:after="60"/>
      </w:pPr>
    </w:p>
    <w:p>
      <w:pPr>
        <w:spacing w:before="80" w:after="40"/>
      </w:pPr>
      <w:r>
        <w:rPr>
          <w:b/>
          <w:color w:val="0D382C"/>
          <w:sz w:val="20"/>
        </w:rPr>
        <w:t xml:space="preserve">1. What Happened &amp; Why It Happened (Root Cause Analysis): </w:t>
      </w:r>
      <w:r>
        <w:rPr>
          <w:sz w:val="20"/>
        </w:rPr>
        <w:t>apiFetch attempts fetch('/api' + endpoint) and only returns early 'if (res.ok)'. When the server returns a legitimate 400 (validation error / duplicate email) or 401 (unauthorized), res.ok is false. Instead of returning the parsed error JSON from the first response, execution falls through and fires a second identical HTTP request to http://localhost:5000/api.</w:t>
      </w:r>
    </w:p>
    <w:p>
      <w:pPr>
        <w:spacing w:before="80" w:after="40"/>
      </w:pPr>
      <w:r>
        <w:rPr>
          <w:b/>
          <w:color w:val="0D382C"/>
          <w:sz w:val="20"/>
        </w:rPr>
        <w:t xml:space="preserve">2. How It Manifests &amp; How It Is Visible (User Interaction &amp; Visual Behavior): </w:t>
      </w:r>
      <w:r>
        <w:rPr>
          <w:sz w:val="20"/>
        </w:rPr>
        <w:t>In browser DevTools (Network tab) and the Express server console, every 4xx request is executed and logged twice in rapid succession.</w:t>
      </w:r>
    </w:p>
    <w:p>
      <w:pPr>
        <w:spacing w:before="80" w:after="40"/>
      </w:pPr>
      <w:r>
        <w:rPr>
          <w:b/>
          <w:color w:val="0D382C"/>
          <w:sz w:val="20"/>
        </w:rPr>
        <w:t xml:space="preserve">3. Industry-Standard Remediation Blueprint: </w:t>
      </w:r>
      <w:r>
        <w:rPr>
          <w:sz w:val="20"/>
        </w:rPr>
        <w:t>Only fall back to API_FALLBACK when fetch throws a network error or when the proxy returns a 502/504 gateway error.</w:t>
      </w:r>
    </w:p>
    <w:tbl>
      <w:tblPr>
        <w:tblW w:type="auto" w:w="0"/>
        <w:jc w:val="center"/>
        <w:tblLayout w:type="fixed"/>
        <w:tblLook w:firstColumn="1" w:firstRow="1" w:lastColumn="0" w:lastRow="0" w:noHBand="0" w:noVBand="1" w:val="04A0"/>
      </w:tblPr>
      <w:tblGrid>
        <w:gridCol w:w="9360"/>
      </w:tblGrid>
      <w:tr>
        <w:tc>
          <w:tcPr>
            <w:tcW w:type="dxa" w:w="9648"/>
            <w:shd w:fill="0F172A"/>
            <w:tcMar>
              <w:top w:w="110" w:type="dxa"/>
              <w:bottom w:w="110" w:type="dxa"/>
              <w:left w:w="150" w:type="dxa"/>
              <w:right w:w="150" w:type="dxa"/>
            </w:tcMar>
          </w:tcPr>
          <w:p>
            <w:pPr>
              <w:spacing w:before="20" w:after="20"/>
            </w:pPr>
            <w:r>
              <w:rPr>
                <w:rFonts w:ascii="Consolas" w:hAnsi="Consolas"/>
                <w:color w:val="E2E8F0"/>
                <w:sz w:val="17"/>
              </w:rPr>
              <w:t>async function apiFetch(endpoint, options = {}) {</w:t>
              <w:br/>
              <w:t xml:space="preserve">  try {</w:t>
              <w:br/>
              <w:t xml:space="preserve">    const res = await fetch(`${API_PRIMARY}${endpoint}`, options);</w:t>
              <w:br/>
              <w:t xml:space="preserve">    if (res.ok) return await res.json(); // &lt;-- 400/401 falls through to 2nd fetch!</w:t>
              <w:br/>
              <w:t xml:space="preserve">  } catch (err) {}</w:t>
              <w:br/>
              <w:t xml:space="preserve">  const fallbackRes = await fetch(`${API_FALLBACK}${endpoint}`, options);</w:t>
              <w:br/>
              <w:t xml:space="preserve">  return await fallbackRes.json();</w:t>
              <w:br/>
              <w:t>}</w:t>
            </w:r>
          </w:p>
        </w:tc>
      </w:tr>
    </w:tbl>
    <w:p>
      <w:pPr>
        <w:spacing w:after="80"/>
      </w:pPr>
    </w:p>
    <w:p>
      <w:pPr>
        <w:pStyle w:val="Heading2"/>
        <w:spacing w:before="280" w:after="80"/>
      </w:pPr>
      <w:r>
        <w:rPr>
          <w:color w:val="0D382C"/>
        </w:rPr>
        <w:t>ISS-05 — /api/stats/overview Drops reservesByCrop &amp; Uses Hardcoded Magic Math</w:t>
      </w:r>
    </w:p>
    <w:tbl>
      <w:tblPr>
        <w:tblW w:type="auto" w:w="0"/>
        <w:jc w:val="center"/>
        <w:tblLayout w:type="fixed"/>
        <w:tblLook w:firstColumn="1" w:firstRow="1" w:lastColumn="0" w:lastRow="0" w:noHBand="0" w:noVBand="1" w:val="04A0"/>
      </w:tblPr>
      <w:tblGrid>
        <w:gridCol w:w="4824"/>
        <w:gridCol w:w="4824"/>
      </w:tblGrid>
      <w:tr>
        <w:tc>
          <w:tcPr>
            <w:tcW w:type="dxa" w:w="4680"/>
            <w:shd w:fill="FFEDD5"/>
            <w:tcMar>
              <w:top w:w="70" w:type="dxa"/>
              <w:bottom w:w="70" w:type="dxa"/>
              <w:left w:w="100" w:type="dxa"/>
              <w:right w:w="100" w:type="dxa"/>
            </w:tcMar>
          </w:tcPr>
          <w:p>
            <w:r>
              <w:rPr>
                <w:b/>
                <w:color w:val="C2410C"/>
                <w:sz w:val="17"/>
              </w:rPr>
              <w:t>Severity: HIGH</w:t>
            </w:r>
          </w:p>
        </w:tc>
        <w:tc>
          <w:tcPr>
            <w:tcW w:type="dxa" w:w="4680"/>
            <w:shd w:fill="F8FAFC"/>
            <w:tcMar>
              <w:top w:w="70" w:type="dxa"/>
              <w:bottom w:w="70" w:type="dxa"/>
              <w:left w:w="100" w:type="dxa"/>
              <w:right w:w="100" w:type="dxa"/>
            </w:tcMar>
          </w:tcPr>
          <w:p>
            <w:r>
              <w:rPr>
                <w:b/>
                <w:sz w:val="17"/>
              </w:rPr>
              <w:t>Category: API Contract &amp; Dashboard Metrics</w:t>
            </w:r>
          </w:p>
        </w:tc>
      </w:tr>
      <w:tr>
        <w:tc>
          <w:tcPr>
            <w:tcW w:type="dxa" w:w="4680"/>
            <w:shd w:fill="F8FAFC"/>
            <w:tcMar>
              <w:top w:w="70" w:type="dxa"/>
              <w:bottom w:w="70" w:type="dxa"/>
              <w:left w:w="100" w:type="dxa"/>
              <w:right w:w="100" w:type="dxa"/>
            </w:tcMar>
          </w:tcPr>
          <w:p>
            <w:r>
              <w:rPr>
                <w:b w:val="0"/>
                <w:sz w:val="17"/>
              </w:rPr>
              <w:t>Location: server/handlers/statsHandlers.js (L31-L78) &amp; LandingPage.jsx (L38-L52)</w:t>
            </w:r>
          </w:p>
        </w:tc>
        <w:tc>
          <w:tcPr>
            <w:tcW w:type="dxa" w:w="4680"/>
            <w:shd w:fill="F8FAFC"/>
            <w:tcMar>
              <w:top w:w="70" w:type="dxa"/>
              <w:bottom w:w="70" w:type="dxa"/>
              <w:left w:w="100" w:type="dxa"/>
              <w:right w:w="100" w:type="dxa"/>
            </w:tcMar>
          </w:tcPr>
          <w:p>
            <w:r>
              <w:rPr>
                <w:b w:val="0"/>
                <w:sz w:val="17"/>
              </w:rPr>
              <w:t>Trigger: Initial page load or adding/updating inventory items and viewing Landing Page</w:t>
            </w:r>
          </w:p>
        </w:tc>
      </w:tr>
    </w:tbl>
    <w:p>
      <w:pPr>
        <w:spacing w:after="60"/>
      </w:pPr>
    </w:p>
    <w:p>
      <w:pPr>
        <w:spacing w:before="80" w:after="40"/>
      </w:pPr>
      <w:r>
        <w:rPr>
          <w:b/>
          <w:color w:val="0D382C"/>
          <w:sz w:val="20"/>
        </w:rPr>
        <w:t xml:space="preserve">1. What Happened &amp; Why It Happened (Root Cause Analysis): </w:t>
      </w:r>
      <w:r>
        <w:rPr>
          <w:sz w:val="20"/>
        </w:rPr>
        <w:t>App.jsx initializes stats with a reservesByCrop object ({ wheat, rice, maize, other }) used by LandingPage.jsx. However, GET /api/stats/overview in statsHandlers.js only returns { inventory, warehouses, receiving } and omits reservesByCrop. When fetchAllData() calls setStats(statsData.data), stats.reservesByCrop is overwritten with undefined. Additionally, statsHandlers.js uses hardcoded offsets (1480 + inventoryItems.length - 8 and 59670 + Math.round(realSumVolume) - 59711) and ignores 'Tonnes' and 'L' units.</w:t>
      </w:r>
    </w:p>
    <w:p>
      <w:pPr>
        <w:spacing w:before="80" w:after="40"/>
      </w:pPr>
      <w:r>
        <w:rPr>
          <w:b/>
          <w:color w:val="0D382C"/>
          <w:sz w:val="20"/>
        </w:rPr>
        <w:t xml:space="preserve">2. How It Manifests &amp; How It Is Visible (User Interaction &amp; Visual Behavior): </w:t>
      </w:r>
      <w:r>
        <w:rPr>
          <w:sz w:val="20"/>
        </w:rPr>
        <w:t>Adding or editing Wheat, Rice, or Maize quantities in the dashboard never updates the 'Food Reserve Overview' metric cards on the Landing Page; they remain frozen at static fallback strings.</w:t>
      </w:r>
    </w:p>
    <w:p>
      <w:pPr>
        <w:spacing w:before="80" w:after="40"/>
      </w:pPr>
      <w:r>
        <w:rPr>
          <w:b/>
          <w:color w:val="0D382C"/>
          <w:sz w:val="20"/>
        </w:rPr>
        <w:t xml:space="preserve">3. Industry-Standard Remediation Blueprint: </w:t>
      </w:r>
      <w:r>
        <w:rPr>
          <w:sz w:val="20"/>
        </w:rPr>
        <w:t>Compute and return reservesByCrop dynamically in statsHandlers.js and remove brittle magic offset constants.</w:t>
      </w:r>
    </w:p>
    <w:p>
      <w:pPr>
        <w:pStyle w:val="Heading2"/>
        <w:spacing w:before="280" w:after="80"/>
      </w:pPr>
      <w:r>
        <w:rPr>
          <w:color w:val="0D382C"/>
        </w:rPr>
        <w:t>ISS-06 — Unreachable 'red' Critical Capacity Progress Bar in WarehouseGrid.jsx</w:t>
      </w:r>
    </w:p>
    <w:tbl>
      <w:tblPr>
        <w:tblW w:type="auto" w:w="0"/>
        <w:jc w:val="center"/>
        <w:tblLayout w:type="fixed"/>
        <w:tblLook w:firstColumn="1" w:firstRow="1" w:lastColumn="0" w:lastRow="0" w:noHBand="0" w:noVBand="1" w:val="04A0"/>
      </w:tblPr>
      <w:tblGrid>
        <w:gridCol w:w="4824"/>
        <w:gridCol w:w="4824"/>
      </w:tblGrid>
      <w:tr>
        <w:tc>
          <w:tcPr>
            <w:tcW w:type="dxa" w:w="4680"/>
            <w:shd w:fill="FFEDD5"/>
            <w:tcMar>
              <w:top w:w="70" w:type="dxa"/>
              <w:bottom w:w="70" w:type="dxa"/>
              <w:left w:w="100" w:type="dxa"/>
              <w:right w:w="100" w:type="dxa"/>
            </w:tcMar>
          </w:tcPr>
          <w:p>
            <w:r>
              <w:rPr>
                <w:b/>
                <w:color w:val="C2410C"/>
                <w:sz w:val="17"/>
              </w:rPr>
              <w:t>Severity: HIGH</w:t>
            </w:r>
          </w:p>
        </w:tc>
        <w:tc>
          <w:tcPr>
            <w:tcW w:type="dxa" w:w="4680"/>
            <w:shd w:fill="F8FAFC"/>
            <w:tcMar>
              <w:top w:w="70" w:type="dxa"/>
              <w:bottom w:w="70" w:type="dxa"/>
              <w:left w:w="100" w:type="dxa"/>
              <w:right w:w="100" w:type="dxa"/>
            </w:tcMar>
          </w:tcPr>
          <w:p>
            <w:r>
              <w:rPr>
                <w:b/>
                <w:sz w:val="17"/>
              </w:rPr>
              <w:t>Category: UI Logic Bug (Dead Branch)</w:t>
            </w:r>
          </w:p>
        </w:tc>
      </w:tr>
      <w:tr>
        <w:tc>
          <w:tcPr>
            <w:tcW w:type="dxa" w:w="4680"/>
            <w:shd w:fill="F8FAFC"/>
            <w:tcMar>
              <w:top w:w="70" w:type="dxa"/>
              <w:bottom w:w="70" w:type="dxa"/>
              <w:left w:w="100" w:type="dxa"/>
              <w:right w:w="100" w:type="dxa"/>
            </w:tcMar>
          </w:tcPr>
          <w:p>
            <w:r>
              <w:rPr>
                <w:b w:val="0"/>
                <w:sz w:val="17"/>
              </w:rPr>
              <w:t>Location: client/src/components/Warehouses/WarehouseGrid.jsx (Lines 18-22)</w:t>
            </w:r>
          </w:p>
        </w:tc>
        <w:tc>
          <w:tcPr>
            <w:tcW w:type="dxa" w:w="4680"/>
            <w:shd w:fill="F8FAFC"/>
            <w:tcMar>
              <w:top w:w="70" w:type="dxa"/>
              <w:bottom w:w="70" w:type="dxa"/>
              <w:left w:w="100" w:type="dxa"/>
              <w:right w:w="100" w:type="dxa"/>
            </w:tcMar>
          </w:tcPr>
          <w:p>
            <w:r>
              <w:rPr>
                <w:b w:val="0"/>
                <w:sz w:val="17"/>
              </w:rPr>
              <w:t>Trigger: Viewing any warehouse with &gt;= 95% capacity utilization (e.g., Hawassa Hub at 95%)</w:t>
            </w:r>
          </w:p>
        </w:tc>
      </w:tr>
    </w:tbl>
    <w:p>
      <w:pPr>
        <w:spacing w:after="60"/>
      </w:pPr>
    </w:p>
    <w:p>
      <w:pPr>
        <w:spacing w:before="80" w:after="40"/>
      </w:pPr>
      <w:r>
        <w:rPr>
          <w:b/>
          <w:color w:val="0D382C"/>
          <w:sz w:val="20"/>
        </w:rPr>
        <w:t xml:space="preserve">1. What Happened &amp; Why It Happened (Root Cause Analysis): </w:t>
      </w:r>
      <w:r>
        <w:rPr>
          <w:sz w:val="20"/>
        </w:rPr>
        <w:t>In getCapacityColorClass(percent), 'if (percent &gt;= 90) return "amber"' is evaluated before 'if (percent &gt;= 95) return "red"'. Because every number &gt;= 95 is also &gt;= 90, the 'red' branch is unreachable.</w:t>
      </w:r>
    </w:p>
    <w:p>
      <w:pPr>
        <w:spacing w:before="80" w:after="40"/>
      </w:pPr>
      <w:r>
        <w:rPr>
          <w:b/>
          <w:color w:val="0D382C"/>
          <w:sz w:val="20"/>
        </w:rPr>
        <w:t xml:space="preserve">2. How It Manifests &amp; How It Is Visible (User Interaction &amp; Visual Behavior): </w:t>
      </w:r>
      <w:r>
        <w:rPr>
          <w:sz w:val="20"/>
        </w:rPr>
        <w:t>Warehouses at 95%–100% capacity (such as Hawassa Hub at 4,100 / 4,315 t = 95%) display an amber/orange progress bar instead of the critical red bar (.capacity-fill.red) defined in components.css.</w:t>
      </w:r>
    </w:p>
    <w:p>
      <w:pPr>
        <w:spacing w:before="80" w:after="40"/>
      </w:pPr>
      <w:r>
        <w:rPr>
          <w:b/>
          <w:color w:val="0D382C"/>
          <w:sz w:val="20"/>
        </w:rPr>
        <w:t xml:space="preserve">3. Industry-Standard Remediation Blueprint: </w:t>
      </w:r>
      <w:r>
        <w:rPr>
          <w:sz w:val="20"/>
        </w:rPr>
        <w:t>Evaluate 'if (percent &gt;= 95) return "red";' before 'if (percent &gt;= 80) return "amber";'.</w:t>
      </w:r>
    </w:p>
    <w:tbl>
      <w:tblPr>
        <w:tblW w:type="auto" w:w="0"/>
        <w:jc w:val="center"/>
        <w:tblLayout w:type="fixed"/>
        <w:tblLook w:firstColumn="1" w:firstRow="1" w:lastColumn="0" w:lastRow="0" w:noHBand="0" w:noVBand="1" w:val="04A0"/>
      </w:tblPr>
      <w:tblGrid>
        <w:gridCol w:w="9360"/>
      </w:tblGrid>
      <w:tr>
        <w:tc>
          <w:tcPr>
            <w:tcW w:type="dxa" w:w="9648"/>
            <w:shd w:fill="0F172A"/>
            <w:tcMar>
              <w:top w:w="110" w:type="dxa"/>
              <w:bottom w:w="110" w:type="dxa"/>
              <w:left w:w="150" w:type="dxa"/>
              <w:right w:w="150" w:type="dxa"/>
            </w:tcMar>
          </w:tcPr>
          <w:p>
            <w:pPr>
              <w:spacing w:before="20" w:after="20"/>
            </w:pPr>
            <w:r>
              <w:rPr>
                <w:rFonts w:ascii="Consolas" w:hAnsi="Consolas"/>
                <w:color w:val="E2E8F0"/>
                <w:sz w:val="17"/>
              </w:rPr>
              <w:t>const getCapacityColorClass = (percent) =&gt; {</w:t>
              <w:br/>
              <w:t xml:space="preserve">  if (percent &gt;= 90) return 'amber';</w:t>
              <w:br/>
              <w:t xml:space="preserve">  if (percent &gt;= 95) return 'red'; // &lt;-- UNREACHABLE DEAD CODE</w:t>
              <w:br/>
              <w:t xml:space="preserve">  return 'green';</w:t>
              <w:br/>
              <w:t>};</w:t>
            </w:r>
          </w:p>
        </w:tc>
      </w:tr>
    </w:tbl>
    <w:p>
      <w:pPr>
        <w:spacing w:after="80"/>
      </w:pPr>
    </w:p>
    <w:p>
      <w:pPr>
        <w:pStyle w:val="Heading2"/>
        <w:spacing w:before="280" w:after="80"/>
      </w:pPr>
      <w:r>
        <w:rPr>
          <w:color w:val="0D382C"/>
        </w:rPr>
        <w:t>ISS-07 — Visual Flash &amp; Data Shrinkage Between Client Fallback (12 Items) and Server Seed (8 Items)</w:t>
      </w:r>
    </w:p>
    <w:tbl>
      <w:tblPr>
        <w:tblW w:type="auto" w:w="0"/>
        <w:jc w:val="center"/>
        <w:tblLayout w:type="fixed"/>
        <w:tblLook w:firstColumn="1" w:firstRow="1" w:lastColumn="0" w:lastRow="0" w:noHBand="0" w:noVBand="1" w:val="04A0"/>
      </w:tblPr>
      <w:tblGrid>
        <w:gridCol w:w="4824"/>
        <w:gridCol w:w="4824"/>
      </w:tblGrid>
      <w:tr>
        <w:tc>
          <w:tcPr>
            <w:tcW w:type="dxa" w:w="4680"/>
            <w:shd w:fill="FFEDD5"/>
            <w:tcMar>
              <w:top w:w="70" w:type="dxa"/>
              <w:bottom w:w="70" w:type="dxa"/>
              <w:left w:w="100" w:type="dxa"/>
              <w:right w:w="100" w:type="dxa"/>
            </w:tcMar>
          </w:tcPr>
          <w:p>
            <w:r>
              <w:rPr>
                <w:b/>
                <w:color w:val="C2410C"/>
                <w:sz w:val="17"/>
              </w:rPr>
              <w:t>Severity: HIGH</w:t>
            </w:r>
          </w:p>
        </w:tc>
        <w:tc>
          <w:tcPr>
            <w:tcW w:type="dxa" w:w="4680"/>
            <w:shd w:fill="F8FAFC"/>
            <w:tcMar>
              <w:top w:w="70" w:type="dxa"/>
              <w:bottom w:w="70" w:type="dxa"/>
              <w:left w:w="100" w:type="dxa"/>
              <w:right w:w="100" w:type="dxa"/>
            </w:tcMar>
          </w:tcPr>
          <w:p>
            <w:r>
              <w:rPr>
                <w:b/>
                <w:sz w:val="17"/>
              </w:rPr>
              <w:t>Category: State Synchronization &amp; Data Parity</w:t>
            </w:r>
          </w:p>
        </w:tc>
      </w:tr>
      <w:tr>
        <w:tc>
          <w:tcPr>
            <w:tcW w:type="dxa" w:w="4680"/>
            <w:shd w:fill="F8FAFC"/>
            <w:tcMar>
              <w:top w:w="70" w:type="dxa"/>
              <w:bottom w:w="70" w:type="dxa"/>
              <w:left w:w="100" w:type="dxa"/>
              <w:right w:w="100" w:type="dxa"/>
            </w:tcMar>
          </w:tcPr>
          <w:p>
            <w:r>
              <w:rPr>
                <w:b w:val="0"/>
                <w:sz w:val="17"/>
              </w:rPr>
              <w:t>Location: client/src/App.jsx (L42-L385) vs. server/db/seedData.js (L6-L224)</w:t>
            </w:r>
          </w:p>
        </w:tc>
        <w:tc>
          <w:tcPr>
            <w:tcW w:type="dxa" w:w="4680"/>
            <w:shd w:fill="F8FAFC"/>
            <w:tcMar>
              <w:top w:w="70" w:type="dxa"/>
              <w:bottom w:w="70" w:type="dxa"/>
              <w:left w:w="100" w:type="dxa"/>
              <w:right w:w="100" w:type="dxa"/>
            </w:tcMar>
          </w:tcPr>
          <w:p>
            <w:r>
              <w:rPr>
                <w:b w:val="0"/>
                <w:sz w:val="17"/>
              </w:rPr>
              <w:t>Trigger: Loading or refreshing the dashboard while connected to the backend server</w:t>
            </w:r>
          </w:p>
        </w:tc>
      </w:tr>
    </w:tbl>
    <w:p>
      <w:pPr>
        <w:spacing w:after="60"/>
      </w:pPr>
    </w:p>
    <w:p>
      <w:pPr>
        <w:spacing w:before="80" w:after="40"/>
      </w:pPr>
      <w:r>
        <w:rPr>
          <w:b/>
          <w:color w:val="0D382C"/>
          <w:sz w:val="20"/>
        </w:rPr>
        <w:t xml:space="preserve">1. What Happened &amp; Why It Happened (Root Cause Analysis): </w:t>
      </w:r>
      <w:r>
        <w:rPr>
          <w:sz w:val="20"/>
        </w:rPr>
        <w:t>App.jsx initializes state with 12 inventory items, 8 warehouses (including Kombolcha Strategic Silo and Jigjiga Regional Store), and 7 collection records. However, server/db/seedData.js only seeds 8 inventory items, 6 warehouses, and 5 collection records.</w:t>
      </w:r>
    </w:p>
    <w:p>
      <w:pPr>
        <w:spacing w:before="80" w:after="40"/>
      </w:pPr>
      <w:r>
        <w:rPr>
          <w:b/>
          <w:color w:val="0D382C"/>
          <w:sz w:val="20"/>
        </w:rPr>
        <w:t xml:space="preserve">2. How It Manifests &amp; How It Is Visible (User Interaction &amp; Visual Behavior): </w:t>
      </w:r>
      <w:r>
        <w:rPr>
          <w:sz w:val="20"/>
        </w:rPr>
        <w:t>Upon refreshing the browser, the user briefly sees 12 inventory items and 8 warehouses for ~100ms, after which 4 crop items, 2 regional warehouses, and 2 collection records abruptly disappear when the API responds.</w:t>
      </w:r>
    </w:p>
    <w:p>
      <w:pPr>
        <w:spacing w:before="80" w:after="40"/>
      </w:pPr>
      <w:r>
        <w:rPr>
          <w:b/>
          <w:color w:val="0D382C"/>
          <w:sz w:val="20"/>
        </w:rPr>
        <w:t xml:space="preserve">3. Industry-Standard Remediation Blueprint: </w:t>
      </w:r>
      <w:r>
        <w:rPr>
          <w:sz w:val="20"/>
        </w:rPr>
        <w:t>Synchronize server/db/seedData.js with the complete 12-item, 8-warehouse, 7-collection dataset in App.jsx.</w:t>
      </w:r>
    </w:p>
    <w:p>
      <w:pPr>
        <w:pStyle w:val="Heading2"/>
        <w:spacing w:before="280" w:after="80"/>
      </w:pPr>
      <w:r>
        <w:rPr>
          <w:color w:val="0D382C"/>
        </w:rPr>
        <w:t>ISS-08 — Collection Unit Enum Case Mismatch ('Bags'/'Cartons') &amp; Missing Unit Field in ReceivingModal</w:t>
      </w:r>
    </w:p>
    <w:tbl>
      <w:tblPr>
        <w:tblW w:type="auto" w:w="0"/>
        <w:jc w:val="center"/>
        <w:tblLayout w:type="fixed"/>
        <w:tblLook w:firstColumn="1" w:firstRow="1" w:lastColumn="0" w:lastRow="0" w:noHBand="0" w:noVBand="1" w:val="04A0"/>
      </w:tblPr>
      <w:tblGrid>
        <w:gridCol w:w="4824"/>
        <w:gridCol w:w="4824"/>
      </w:tblGrid>
      <w:tr>
        <w:tc>
          <w:tcPr>
            <w:tcW w:type="dxa" w:w="4680"/>
            <w:shd w:fill="FFEDD5"/>
            <w:tcMar>
              <w:top w:w="70" w:type="dxa"/>
              <w:bottom w:w="70" w:type="dxa"/>
              <w:left w:w="100" w:type="dxa"/>
              <w:right w:w="100" w:type="dxa"/>
            </w:tcMar>
          </w:tcPr>
          <w:p>
            <w:r>
              <w:rPr>
                <w:b/>
                <w:color w:val="C2410C"/>
                <w:sz w:val="17"/>
              </w:rPr>
              <w:t>Severity: HIGH</w:t>
            </w:r>
          </w:p>
        </w:tc>
        <w:tc>
          <w:tcPr>
            <w:tcW w:type="dxa" w:w="4680"/>
            <w:shd w:fill="F8FAFC"/>
            <w:tcMar>
              <w:top w:w="70" w:type="dxa"/>
              <w:bottom w:w="70" w:type="dxa"/>
              <w:left w:w="100" w:type="dxa"/>
              <w:right w:w="100" w:type="dxa"/>
            </w:tcMar>
          </w:tcPr>
          <w:p>
            <w:r>
              <w:rPr>
                <w:b/>
                <w:sz w:val="17"/>
              </w:rPr>
              <w:t>Category: Mongoose Schema Validation &amp; Form Completeness</w:t>
            </w:r>
          </w:p>
        </w:tc>
      </w:tr>
      <w:tr>
        <w:tc>
          <w:tcPr>
            <w:tcW w:type="dxa" w:w="4680"/>
            <w:shd w:fill="F8FAFC"/>
            <w:tcMar>
              <w:top w:w="70" w:type="dxa"/>
              <w:bottom w:w="70" w:type="dxa"/>
              <w:left w:w="100" w:type="dxa"/>
              <w:right w:w="100" w:type="dxa"/>
            </w:tcMar>
          </w:tcPr>
          <w:p>
            <w:r>
              <w:rPr>
                <w:b w:val="0"/>
                <w:sz w:val="17"/>
              </w:rPr>
              <w:t>Location: ReceivingForm.jsx (L41), CollectionRecord.js (L33), ReceivingModal.jsx (L90-L114)</w:t>
            </w:r>
          </w:p>
        </w:tc>
        <w:tc>
          <w:tcPr>
            <w:tcW w:type="dxa" w:w="4680"/>
            <w:shd w:fill="F8FAFC"/>
            <w:tcMar>
              <w:top w:w="70" w:type="dxa"/>
              <w:bottom w:w="70" w:type="dxa"/>
              <w:left w:w="100" w:type="dxa"/>
              <w:right w:w="100" w:type="dxa"/>
            </w:tcMar>
          </w:tcPr>
          <w:p>
            <w:r>
              <w:rPr>
                <w:b w:val="0"/>
                <w:sz w:val="17"/>
              </w:rPr>
              <w:t>Trigger: Logging a shipment with unit 'Bags' or 'Cartons' on MongoDB, or editing a collection record</w:t>
            </w:r>
          </w:p>
        </w:tc>
      </w:tr>
    </w:tbl>
    <w:p>
      <w:pPr>
        <w:spacing w:after="60"/>
      </w:pPr>
    </w:p>
    <w:p>
      <w:pPr>
        <w:spacing w:before="80" w:after="40"/>
      </w:pPr>
      <w:r>
        <w:rPr>
          <w:b/>
          <w:color w:val="0D382C"/>
          <w:sz w:val="20"/>
        </w:rPr>
        <w:t xml:space="preserve">1. What Happened &amp; Why It Happened (Root Cause Analysis): </w:t>
      </w:r>
      <w:r>
        <w:rPr>
          <w:sz w:val="20"/>
        </w:rPr>
        <w:t>ReceivingForm.jsx offers units ['Tonnes', 'Kilograms', 'Litres', 'Bags', 'Cartons'], whereas CollectionRecord.js Mongoose schema only allows lowercase 'bags' and 'cartons'. Furthermore, ReceivingModal.jsx omits the unit field from its form body.</w:t>
      </w:r>
    </w:p>
    <w:p>
      <w:pPr>
        <w:spacing w:before="80" w:after="40"/>
      </w:pPr>
      <w:r>
        <w:rPr>
          <w:b/>
          <w:color w:val="0D382C"/>
          <w:sz w:val="20"/>
        </w:rPr>
        <w:t xml:space="preserve">2. How It Manifests &amp; How It Is Visible (User Interaction &amp; Visual Behavior): </w:t>
      </w:r>
      <w:r>
        <w:rPr>
          <w:sz w:val="20"/>
        </w:rPr>
        <w:t>Submitting a new collection with 'Bags' or 'Cartons' fails with a 400 Validation Error when MongoDB is active. Opening ReceivingModal to view or edit a shipment hides the unit of measurement.</w:t>
      </w:r>
    </w:p>
    <w:p>
      <w:pPr>
        <w:spacing w:before="80" w:after="40"/>
      </w:pPr>
      <w:r>
        <w:rPr>
          <w:b/>
          <w:color w:val="0D382C"/>
          <w:sz w:val="20"/>
        </w:rPr>
        <w:t xml:space="preserve">3. Industry-Standard Remediation Blueprint: </w:t>
      </w:r>
      <w:r>
        <w:rPr>
          <w:sz w:val="20"/>
        </w:rPr>
        <w:t>Add 'Bags' and 'Cartons' to the unit enum in CollectionRecord.js (and InventoryItem.js), and add a Unit select input to ReceivingModal.jsx.</w:t>
      </w:r>
    </w:p>
    <w:p>
      <w:pPr>
        <w:pStyle w:val="Heading2"/>
        <w:spacing w:before="280" w:after="80"/>
      </w:pPr>
      <w:r>
        <w:rPr>
          <w:color w:val="0D382C"/>
        </w:rPr>
        <w:t>ISS-09 — Missing expiryDate Input in InventoryModal.jsx and inventoryHandlers.createItem</w:t>
      </w:r>
    </w:p>
    <w:tbl>
      <w:tblPr>
        <w:tblW w:type="auto" w:w="0"/>
        <w:jc w:val="center"/>
        <w:tblLayout w:type="fixed"/>
        <w:tblLook w:firstColumn="1" w:firstRow="1" w:lastColumn="0" w:lastRow="0" w:noHBand="0" w:noVBand="1" w:val="04A0"/>
      </w:tblPr>
      <w:tblGrid>
        <w:gridCol w:w="4824"/>
        <w:gridCol w:w="4824"/>
      </w:tblGrid>
      <w:tr>
        <w:tc>
          <w:tcPr>
            <w:tcW w:type="dxa" w:w="4680"/>
            <w:shd w:fill="FEF3C7"/>
            <w:tcMar>
              <w:top w:w="70" w:type="dxa"/>
              <w:bottom w:w="70" w:type="dxa"/>
              <w:left w:w="100" w:type="dxa"/>
              <w:right w:w="100" w:type="dxa"/>
            </w:tcMar>
          </w:tcPr>
          <w:p>
            <w:r>
              <w:rPr>
                <w:b/>
                <w:color w:val="B45309"/>
                <w:sz w:val="17"/>
              </w:rPr>
              <w:t>Severity: MEDIUM</w:t>
            </w:r>
          </w:p>
        </w:tc>
        <w:tc>
          <w:tcPr>
            <w:tcW w:type="dxa" w:w="4680"/>
            <w:shd w:fill="F8FAFC"/>
            <w:tcMar>
              <w:top w:w="70" w:type="dxa"/>
              <w:bottom w:w="70" w:type="dxa"/>
              <w:left w:w="100" w:type="dxa"/>
              <w:right w:w="100" w:type="dxa"/>
            </w:tcMar>
          </w:tcPr>
          <w:p>
            <w:r>
              <w:rPr>
                <w:b/>
                <w:sz w:val="17"/>
              </w:rPr>
              <w:t>Category: CRUD Completeness</w:t>
            </w:r>
          </w:p>
        </w:tc>
      </w:tr>
      <w:tr>
        <w:tc>
          <w:tcPr>
            <w:tcW w:type="dxa" w:w="4680"/>
            <w:shd w:fill="F8FAFC"/>
            <w:tcMar>
              <w:top w:w="70" w:type="dxa"/>
              <w:bottom w:w="70" w:type="dxa"/>
              <w:left w:w="100" w:type="dxa"/>
              <w:right w:w="100" w:type="dxa"/>
            </w:tcMar>
          </w:tcPr>
          <w:p>
            <w:r>
              <w:rPr>
                <w:b w:val="0"/>
                <w:sz w:val="17"/>
              </w:rPr>
              <w:t>Location: InventoryModal.jsx (L11-L49) &amp; server/handlers/inventoryHandlers.js (L90-L110)</w:t>
            </w:r>
          </w:p>
        </w:tc>
        <w:tc>
          <w:tcPr>
            <w:tcW w:type="dxa" w:w="4680"/>
            <w:shd w:fill="F8FAFC"/>
            <w:tcMar>
              <w:top w:w="70" w:type="dxa"/>
              <w:bottom w:w="70" w:type="dxa"/>
              <w:left w:w="100" w:type="dxa"/>
              <w:right w:w="100" w:type="dxa"/>
            </w:tcMar>
          </w:tcPr>
          <w:p>
            <w:r>
              <w:rPr>
                <w:b w:val="0"/>
                <w:sz w:val="17"/>
              </w:rPr>
              <w:t>Trigger: Adding, viewing, or editing a food item in Food Inventory</w:t>
            </w:r>
          </w:p>
        </w:tc>
      </w:tr>
    </w:tbl>
    <w:p>
      <w:pPr>
        <w:spacing w:after="60"/>
      </w:pPr>
    </w:p>
    <w:p>
      <w:pPr>
        <w:spacing w:before="80" w:after="40"/>
      </w:pPr>
      <w:r>
        <w:rPr>
          <w:b/>
          <w:color w:val="0D382C"/>
          <w:sz w:val="20"/>
        </w:rPr>
        <w:t xml:space="preserve">1. What Happened &amp; Why It Happened (Root Cause Analysis): </w:t>
      </w:r>
      <w:r>
        <w:rPr>
          <w:sz w:val="20"/>
        </w:rPr>
        <w:t>InventoryItem.js and seedData.js include expiryDate, and the dashboard displays an 'Expiring Within 30 Days' stat card, but InventoryModal.jsx has no input field for expiryDate and inventoryHandlers.createItem does not extract expiryDate from req.body.</w:t>
      </w:r>
    </w:p>
    <w:p>
      <w:pPr>
        <w:spacing w:before="80" w:after="40"/>
      </w:pPr>
      <w:r>
        <w:rPr>
          <w:b/>
          <w:color w:val="0D382C"/>
          <w:sz w:val="20"/>
        </w:rPr>
        <w:t xml:space="preserve">2. How It Manifests &amp; How It Is Visible (User Interaction &amp; Visual Behavior): </w:t>
      </w:r>
      <w:r>
        <w:rPr>
          <w:sz w:val="20"/>
        </w:rPr>
        <w:t>Users cannot view, set, or modify expiration dates for any food item in the UI.</w:t>
      </w:r>
    </w:p>
    <w:p>
      <w:pPr>
        <w:spacing w:before="80" w:after="40"/>
      </w:pPr>
      <w:r>
        <w:rPr>
          <w:b/>
          <w:color w:val="0D382C"/>
          <w:sz w:val="20"/>
        </w:rPr>
        <w:t xml:space="preserve">3. Industry-Standard Remediation Blueprint: </w:t>
      </w:r>
      <w:r>
        <w:rPr>
          <w:sz w:val="20"/>
        </w:rPr>
        <w:t>Add an expiryDate date input to InventoryModal.jsx and include expiryDate in inventoryHandlers.createItem.</w:t>
      </w:r>
    </w:p>
    <w:p>
      <w:pPr>
        <w:pStyle w:val="Heading2"/>
        <w:spacing w:before="280" w:after="80"/>
      </w:pPr>
      <w:r>
        <w:rPr>
          <w:color w:val="0D382C"/>
        </w:rPr>
        <w:t>ISS-10 — Global Header Search Ignored on Warehouses &amp; Receiving Tabs</w:t>
      </w:r>
    </w:p>
    <w:tbl>
      <w:tblPr>
        <w:tblW w:type="auto" w:w="0"/>
        <w:jc w:val="center"/>
        <w:tblLayout w:type="fixed"/>
        <w:tblLook w:firstColumn="1" w:firstRow="1" w:lastColumn="0" w:lastRow="0" w:noHBand="0" w:noVBand="1" w:val="04A0"/>
      </w:tblPr>
      <w:tblGrid>
        <w:gridCol w:w="4824"/>
        <w:gridCol w:w="4824"/>
      </w:tblGrid>
      <w:tr>
        <w:tc>
          <w:tcPr>
            <w:tcW w:type="dxa" w:w="4680"/>
            <w:shd w:fill="FEF3C7"/>
            <w:tcMar>
              <w:top w:w="70" w:type="dxa"/>
              <w:bottom w:w="70" w:type="dxa"/>
              <w:left w:w="100" w:type="dxa"/>
              <w:right w:w="100" w:type="dxa"/>
            </w:tcMar>
          </w:tcPr>
          <w:p>
            <w:r>
              <w:rPr>
                <w:b/>
                <w:color w:val="B45309"/>
                <w:sz w:val="17"/>
              </w:rPr>
              <w:t>Severity: MEDIUM</w:t>
            </w:r>
          </w:p>
        </w:tc>
        <w:tc>
          <w:tcPr>
            <w:tcW w:type="dxa" w:w="4680"/>
            <w:shd w:fill="F8FAFC"/>
            <w:tcMar>
              <w:top w:w="70" w:type="dxa"/>
              <w:bottom w:w="70" w:type="dxa"/>
              <w:left w:w="100" w:type="dxa"/>
              <w:right w:w="100" w:type="dxa"/>
            </w:tcMar>
          </w:tcPr>
          <w:p>
            <w:r>
              <w:rPr>
                <w:b/>
                <w:sz w:val="17"/>
              </w:rPr>
              <w:t>Category: UX / Search Behavior</w:t>
            </w:r>
          </w:p>
        </w:tc>
      </w:tr>
      <w:tr>
        <w:tc>
          <w:tcPr>
            <w:tcW w:type="dxa" w:w="4680"/>
            <w:shd w:fill="F8FAFC"/>
            <w:tcMar>
              <w:top w:w="70" w:type="dxa"/>
              <w:bottom w:w="70" w:type="dxa"/>
              <w:left w:w="100" w:type="dxa"/>
              <w:right w:w="100" w:type="dxa"/>
            </w:tcMar>
          </w:tcPr>
          <w:p>
            <w:r>
              <w:rPr>
                <w:b w:val="0"/>
                <w:sz w:val="17"/>
              </w:rPr>
              <w:t>Location: Header.jsx (L74-L84) &amp; App.jsx (L719-L729, L830-L864)</w:t>
            </w:r>
          </w:p>
        </w:tc>
        <w:tc>
          <w:tcPr>
            <w:tcW w:type="dxa" w:w="4680"/>
            <w:shd w:fill="F8FAFC"/>
            <w:tcMar>
              <w:top w:w="70" w:type="dxa"/>
              <w:bottom w:w="70" w:type="dxa"/>
              <w:left w:w="100" w:type="dxa"/>
              <w:right w:w="100" w:type="dxa"/>
            </w:tcMar>
          </w:tcPr>
          <w:p>
            <w:r>
              <w:rPr>
                <w:b w:val="0"/>
                <w:sz w:val="17"/>
              </w:rPr>
              <w:t>Trigger: Typing in the top header search box while viewing Warehouses or Receiving</w:t>
            </w:r>
          </w:p>
        </w:tc>
      </w:tr>
    </w:tbl>
    <w:p>
      <w:pPr>
        <w:spacing w:after="60"/>
      </w:pPr>
    </w:p>
    <w:p>
      <w:pPr>
        <w:spacing w:before="80" w:after="40"/>
      </w:pPr>
      <w:r>
        <w:rPr>
          <w:b/>
          <w:color w:val="0D382C"/>
          <w:sz w:val="20"/>
        </w:rPr>
        <w:t xml:space="preserve">1. What Happened &amp; Why It Happened (Root Cause Analysis): </w:t>
      </w:r>
      <w:r>
        <w:rPr>
          <w:sz w:val="20"/>
        </w:rPr>
        <w:t>Header.jsx renders a global search input with placeholder 'Search inventory, warehouses...', but App.jsx only applies globalSearch to filteredInventory (and ignores it even there if tableSearch is non-empty).</w:t>
      </w:r>
    </w:p>
    <w:p>
      <w:pPr>
        <w:spacing w:before="80" w:after="40"/>
      </w:pPr>
      <w:r>
        <w:rPr>
          <w:b/>
          <w:color w:val="0D382C"/>
          <w:sz w:val="20"/>
        </w:rPr>
        <w:t xml:space="preserve">2. How It Manifests &amp; How It Is Visible (User Interaction &amp; Visual Behavior): </w:t>
      </w:r>
      <w:r>
        <w:rPr>
          <w:sz w:val="20"/>
        </w:rPr>
        <w:t>Typing a warehouse name, region, manager, or collection record ID in the header search bar has zero visual effect on the Warehouses and Receiving tabs.</w:t>
      </w:r>
    </w:p>
    <w:p>
      <w:pPr>
        <w:spacing w:before="80" w:after="40"/>
      </w:pPr>
      <w:r>
        <w:rPr>
          <w:b/>
          <w:color w:val="0D382C"/>
          <w:sz w:val="20"/>
        </w:rPr>
        <w:t xml:space="preserve">3. Industry-Standard Remediation Blueprint: </w:t>
      </w:r>
      <w:r>
        <w:rPr>
          <w:sz w:val="20"/>
        </w:rPr>
        <w:t>Filter warehouses and collections by globalSearch in App.jsx and combine globalSearch + tableSearch cleanly.</w:t>
      </w:r>
    </w:p>
    <w:p>
      <w:pPr>
        <w:pStyle w:val="Heading2"/>
        <w:spacing w:before="280" w:after="80"/>
      </w:pPr>
      <w:r>
        <w:rPr>
          <w:color w:val="0D382C"/>
        </w:rPr>
        <w:t>ISS-11 — Placeholder Sidebar Modules, Simulated CSV Export Alert &amp; Hardcoded Facility Count</w:t>
      </w:r>
    </w:p>
    <w:tbl>
      <w:tblPr>
        <w:tblW w:type="auto" w:w="0"/>
        <w:jc w:val="center"/>
        <w:tblLayout w:type="fixed"/>
        <w:tblLook w:firstColumn="1" w:firstRow="1" w:lastColumn="0" w:lastRow="0" w:noHBand="0" w:noVBand="1" w:val="04A0"/>
      </w:tblPr>
      <w:tblGrid>
        <w:gridCol w:w="4824"/>
        <w:gridCol w:w="4824"/>
      </w:tblGrid>
      <w:tr>
        <w:tc>
          <w:tcPr>
            <w:tcW w:type="dxa" w:w="4680"/>
            <w:shd w:fill="FEF3C7"/>
            <w:tcMar>
              <w:top w:w="70" w:type="dxa"/>
              <w:bottom w:w="70" w:type="dxa"/>
              <w:left w:w="100" w:type="dxa"/>
              <w:right w:w="100" w:type="dxa"/>
            </w:tcMar>
          </w:tcPr>
          <w:p>
            <w:r>
              <w:rPr>
                <w:b/>
                <w:color w:val="B45309"/>
                <w:sz w:val="17"/>
              </w:rPr>
              <w:t>Severity: MEDIUM</w:t>
            </w:r>
          </w:p>
        </w:tc>
        <w:tc>
          <w:tcPr>
            <w:tcW w:type="dxa" w:w="4680"/>
            <w:shd w:fill="F8FAFC"/>
            <w:tcMar>
              <w:top w:w="70" w:type="dxa"/>
              <w:bottom w:w="70" w:type="dxa"/>
              <w:left w:w="100" w:type="dxa"/>
              <w:right w:w="100" w:type="dxa"/>
            </w:tcMar>
          </w:tcPr>
          <w:p>
            <w:r>
              <w:rPr>
                <w:b/>
                <w:sz w:val="17"/>
              </w:rPr>
              <w:t>Category: Feature Completeness &amp; UX Consistency</w:t>
            </w:r>
          </w:p>
        </w:tc>
      </w:tr>
      <w:tr>
        <w:tc>
          <w:tcPr>
            <w:tcW w:type="dxa" w:w="4680"/>
            <w:shd w:fill="F8FAFC"/>
            <w:tcMar>
              <w:top w:w="70" w:type="dxa"/>
              <w:bottom w:w="70" w:type="dxa"/>
              <w:left w:w="100" w:type="dxa"/>
              <w:right w:w="100" w:type="dxa"/>
            </w:tcMar>
          </w:tcPr>
          <w:p>
            <w:r>
              <w:rPr>
                <w:b w:val="0"/>
                <w:sz w:val="17"/>
              </w:rPr>
              <w:t>Location: App.jsx (L852, L874-L890), StatCards.jsx (L20-L118), WarehouseGrid.jsx (L30)</w:t>
            </w:r>
          </w:p>
        </w:tc>
        <w:tc>
          <w:tcPr>
            <w:tcW w:type="dxa" w:w="4680"/>
            <w:shd w:fill="F8FAFC"/>
            <w:tcMar>
              <w:top w:w="70" w:type="dxa"/>
              <w:bottom w:w="70" w:type="dxa"/>
              <w:left w:w="100" w:type="dxa"/>
              <w:right w:w="100" w:type="dxa"/>
            </w:tcMar>
          </w:tcPr>
          <w:p>
            <w:r>
              <w:rPr>
                <w:b w:val="0"/>
                <w:sz w:val="17"/>
              </w:rPr>
              <w:t>Trigger: Clicking Distribution, Emergency Requests, Reports, Users &amp; Roles, or 'Export Log'</w:t>
            </w:r>
          </w:p>
        </w:tc>
      </w:tr>
    </w:tbl>
    <w:p>
      <w:pPr>
        <w:spacing w:after="60"/>
      </w:pPr>
    </w:p>
    <w:p>
      <w:pPr>
        <w:spacing w:before="80" w:after="40"/>
      </w:pPr>
      <w:r>
        <w:rPr>
          <w:b/>
          <w:color w:val="0D382C"/>
          <w:sz w:val="20"/>
        </w:rPr>
        <w:t xml:space="preserve">1. What Happened &amp; Why It Happened (Root Cause Analysis): </w:t>
      </w:r>
      <w:r>
        <w:rPr>
          <w:sz w:val="20"/>
        </w:rPr>
        <w:t>1) Four sidebar navigation items fall through to a static placeholder card in App.jsx (lines 874-890) while StatCards.jsx continues displaying Food Inventory KPI cards.</w:t>
        <w:br/>
        <w:t>2) Clicking 'Export Log' in Receiving triggers alert('Shipment logs exported to CSV successfully.') without downloading a file.</w:t>
        <w:br/>
        <w:t>3) WarehouseGrid.jsx hardcodes '128 facilities across 11 regions' instead of dynamic counts.</w:t>
      </w:r>
    </w:p>
    <w:p>
      <w:pPr>
        <w:spacing w:before="80" w:after="40"/>
      </w:pPr>
      <w:r>
        <w:rPr>
          <w:b/>
          <w:color w:val="0D382C"/>
          <w:sz w:val="20"/>
        </w:rPr>
        <w:t xml:space="preserve">2. How It Manifests &amp; How It Is Visible (User Interaction &amp; Visual Behavior): </w:t>
      </w:r>
      <w:r>
        <w:rPr>
          <w:sz w:val="20"/>
        </w:rPr>
        <w:t>Users clicking the 4 lower sidebar tabs see a placeholder screen with Food Inventory stats at the top, and clicking 'Export Log' only shows a browser alert box.</w:t>
      </w:r>
    </w:p>
    <w:p>
      <w:pPr>
        <w:spacing w:before="80" w:after="40"/>
      </w:pPr>
      <w:r>
        <w:rPr>
          <w:b/>
          <w:color w:val="0D382C"/>
          <w:sz w:val="20"/>
        </w:rPr>
        <w:t xml:space="preserve">3. Industry-Standard Remediation Blueprint: </w:t>
      </w:r>
      <w:r>
        <w:rPr>
          <w:sz w:val="20"/>
        </w:rPr>
        <w:t>Implement real CSV/JSON download for Receiving logs, dynamic subtitle counts in WarehouseGrid.jsx, and dedicated views/stats for the remaining operational tabs.</w:t>
      </w:r>
    </w:p>
    <w:p>
      <w:pPr>
        <w:pStyle w:val="Heading2"/>
        <w:spacing w:before="280" w:after="80"/>
      </w:pPr>
      <w:r>
        <w:rPr>
          <w:color w:val="0D382C"/>
        </w:rPr>
        <w:t>ISS-12 — Missing Keyboard Handlers on Landing Page Cards &amp; Unlinked Labels in ReceivingModal</w:t>
      </w:r>
    </w:p>
    <w:tbl>
      <w:tblPr>
        <w:tblW w:type="auto" w:w="0"/>
        <w:jc w:val="center"/>
        <w:tblLayout w:type="fixed"/>
        <w:tblLook w:firstColumn="1" w:firstRow="1" w:lastColumn="0" w:lastRow="0" w:noHBand="0" w:noVBand="1" w:val="04A0"/>
      </w:tblPr>
      <w:tblGrid>
        <w:gridCol w:w="4824"/>
        <w:gridCol w:w="4824"/>
      </w:tblGrid>
      <w:tr>
        <w:tc>
          <w:tcPr>
            <w:tcW w:type="dxa" w:w="4680"/>
            <w:shd w:fill="FEF3C7"/>
            <w:tcMar>
              <w:top w:w="70" w:type="dxa"/>
              <w:bottom w:w="70" w:type="dxa"/>
              <w:left w:w="100" w:type="dxa"/>
              <w:right w:w="100" w:type="dxa"/>
            </w:tcMar>
          </w:tcPr>
          <w:p>
            <w:r>
              <w:rPr>
                <w:b/>
                <w:color w:val="B45309"/>
                <w:sz w:val="17"/>
              </w:rPr>
              <w:t>Severity: MEDIUM</w:t>
            </w:r>
          </w:p>
        </w:tc>
        <w:tc>
          <w:tcPr>
            <w:tcW w:type="dxa" w:w="4680"/>
            <w:shd w:fill="F8FAFC"/>
            <w:tcMar>
              <w:top w:w="70" w:type="dxa"/>
              <w:bottom w:w="70" w:type="dxa"/>
              <w:left w:w="100" w:type="dxa"/>
              <w:right w:w="100" w:type="dxa"/>
            </w:tcMar>
          </w:tcPr>
          <w:p>
            <w:r>
              <w:rPr>
                <w:b/>
                <w:sz w:val="17"/>
              </w:rPr>
              <w:t>Category: Accessibility (WCAG 2.1 Level A / AA)</w:t>
            </w:r>
          </w:p>
        </w:tc>
      </w:tr>
      <w:tr>
        <w:tc>
          <w:tcPr>
            <w:tcW w:type="dxa" w:w="4680"/>
            <w:shd w:fill="F8FAFC"/>
            <w:tcMar>
              <w:top w:w="70" w:type="dxa"/>
              <w:bottom w:w="70" w:type="dxa"/>
              <w:left w:w="100" w:type="dxa"/>
              <w:right w:w="100" w:type="dxa"/>
            </w:tcMar>
          </w:tcPr>
          <w:p>
            <w:r>
              <w:rPr>
                <w:b w:val="0"/>
                <w:sz w:val="17"/>
              </w:rPr>
              <w:t>Location: LandingPage.jsx (L253-L310), ReceivingModal.jsx (L81-L169), InventoryTable.jsx (L126)</w:t>
            </w:r>
          </w:p>
        </w:tc>
        <w:tc>
          <w:tcPr>
            <w:tcW w:type="dxa" w:w="4680"/>
            <w:shd w:fill="F8FAFC"/>
            <w:tcMar>
              <w:top w:w="70" w:type="dxa"/>
              <w:bottom w:w="70" w:type="dxa"/>
              <w:left w:w="100" w:type="dxa"/>
              <w:right w:w="100" w:type="dxa"/>
            </w:tcMar>
          </w:tcPr>
          <w:p>
            <w:r>
              <w:rPr>
                <w:b w:val="0"/>
                <w:sz w:val="17"/>
              </w:rPr>
              <w:t>Trigger: Navigating Landing Page cards via Tab + Enter/Space, or clicking labels in ReceivingModal</w:t>
            </w:r>
          </w:p>
        </w:tc>
      </w:tr>
    </w:tbl>
    <w:p>
      <w:pPr>
        <w:spacing w:after="60"/>
      </w:pPr>
    </w:p>
    <w:p>
      <w:pPr>
        <w:spacing w:before="80" w:after="40"/>
      </w:pPr>
      <w:r>
        <w:rPr>
          <w:b/>
          <w:color w:val="0D382C"/>
          <w:sz w:val="20"/>
        </w:rPr>
        <w:t xml:space="preserve">1. What Happened &amp; Why It Happened (Root Cause Analysis): </w:t>
      </w:r>
      <w:r>
        <w:rPr>
          <w:sz w:val="20"/>
        </w:rPr>
        <w:t>1) The 4 feature cards in LandingPage.jsx use &lt;div role='button' tabIndex={0} onClick={...}&gt; without an onKeyDown handler for Enter or Space.</w:t>
        <w:br/>
        <w:t>2) All 7 &lt;label&gt; tags in ReceivingModal.jsx lack htmlFor attributes and matching input id attributes.</w:t>
        <w:br/>
        <w:t>3) InventoryTable.jsx sets style={{ display: 'none' }} on &lt;caption&gt;, hiding it from screen readers.</w:t>
      </w:r>
    </w:p>
    <w:p>
      <w:pPr>
        <w:spacing w:before="80" w:after="40"/>
      </w:pPr>
      <w:r>
        <w:rPr>
          <w:b/>
          <w:color w:val="0D382C"/>
          <w:sz w:val="20"/>
        </w:rPr>
        <w:t xml:space="preserve">2. How It Manifests &amp; How It Is Visible (User Interaction &amp; Visual Behavior): </w:t>
      </w:r>
      <w:r>
        <w:rPr>
          <w:sz w:val="20"/>
        </w:rPr>
        <w:t>Keyboard-only users can focus the 4 feature cards on the Landing Page, but pressing Enter or Space does not activate them. Screen readers cannot announce field labels inside ReceivingModal.</w:t>
      </w:r>
    </w:p>
    <w:p>
      <w:pPr>
        <w:spacing w:before="80" w:after="40"/>
      </w:pPr>
      <w:r>
        <w:rPr>
          <w:b/>
          <w:color w:val="0D382C"/>
          <w:sz w:val="20"/>
        </w:rPr>
        <w:t xml:space="preserve">3. Industry-Standard Remediation Blueprint: </w:t>
      </w:r>
      <w:r>
        <w:rPr>
          <w:sz w:val="20"/>
        </w:rPr>
        <w:t>Add onKeyDown handlers (or convert to &lt;button&gt; elements) on LandingPage feature cards, bind htmlFor/id in ReceivingModal.jsx, and use proper .sr-only CSS clipping instead of display:none on table captions.</w:t>
      </w:r>
    </w:p>
    <w:p>
      <w:pPr>
        <w:pStyle w:val="Heading2"/>
        <w:spacing w:before="280" w:after="80"/>
      </w:pPr>
      <w:r>
        <w:rPr>
          <w:color w:val="0D382C"/>
        </w:rPr>
        <w:t>ISS-13 — Synchronous setState Inside useEffect Causing Cascading Re-Renders</w:t>
      </w:r>
    </w:p>
    <w:tbl>
      <w:tblPr>
        <w:tblW w:type="auto" w:w="0"/>
        <w:jc w:val="center"/>
        <w:tblLayout w:type="fixed"/>
        <w:tblLook w:firstColumn="1" w:firstRow="1" w:lastColumn="0" w:lastRow="0" w:noHBand="0" w:noVBand="1" w:val="04A0"/>
      </w:tblPr>
      <w:tblGrid>
        <w:gridCol w:w="4824"/>
        <w:gridCol w:w="4824"/>
      </w:tblGrid>
      <w:tr>
        <w:tc>
          <w:tcPr>
            <w:tcW w:type="dxa" w:w="4680"/>
            <w:shd w:fill="FEF3C7"/>
            <w:tcMar>
              <w:top w:w="70" w:type="dxa"/>
              <w:bottom w:w="70" w:type="dxa"/>
              <w:left w:w="100" w:type="dxa"/>
              <w:right w:w="100" w:type="dxa"/>
            </w:tcMar>
          </w:tcPr>
          <w:p>
            <w:r>
              <w:rPr>
                <w:b/>
                <w:color w:val="B45309"/>
                <w:sz w:val="17"/>
              </w:rPr>
              <w:t>Severity: MEDIUM</w:t>
            </w:r>
          </w:p>
        </w:tc>
        <w:tc>
          <w:tcPr>
            <w:tcW w:type="dxa" w:w="4680"/>
            <w:shd w:fill="F8FAFC"/>
            <w:tcMar>
              <w:top w:w="70" w:type="dxa"/>
              <w:bottom w:w="70" w:type="dxa"/>
              <w:left w:w="100" w:type="dxa"/>
              <w:right w:w="100" w:type="dxa"/>
            </w:tcMar>
          </w:tcPr>
          <w:p>
            <w:r>
              <w:rPr>
                <w:b/>
                <w:sz w:val="17"/>
              </w:rPr>
              <w:t>Category: React 19 Lifecycle &amp; Performance</w:t>
            </w:r>
          </w:p>
        </w:tc>
      </w:tr>
      <w:tr>
        <w:tc>
          <w:tcPr>
            <w:tcW w:type="dxa" w:w="4680"/>
            <w:shd w:fill="F8FAFC"/>
            <w:tcMar>
              <w:top w:w="70" w:type="dxa"/>
              <w:bottom w:w="70" w:type="dxa"/>
              <w:left w:w="100" w:type="dxa"/>
              <w:right w:w="100" w:type="dxa"/>
            </w:tcMar>
          </w:tcPr>
          <w:p>
            <w:r>
              <w:rPr>
                <w:b w:val="0"/>
                <w:sz w:val="17"/>
              </w:rPr>
              <w:t>Location: App.jsx (L477), InventoryModal.jsx (L26), WarehouseModal.jsx (L26), ReceivingModal.jsx (L24)</w:t>
            </w:r>
          </w:p>
        </w:tc>
        <w:tc>
          <w:tcPr>
            <w:tcW w:type="dxa" w:w="4680"/>
            <w:shd w:fill="F8FAFC"/>
            <w:tcMar>
              <w:top w:w="70" w:type="dxa"/>
              <w:bottom w:w="70" w:type="dxa"/>
              <w:left w:w="100" w:type="dxa"/>
              <w:right w:w="100" w:type="dxa"/>
            </w:tcMar>
          </w:tcPr>
          <w:p>
            <w:r>
              <w:rPr>
                <w:b w:val="0"/>
                <w:sz w:val="17"/>
              </w:rPr>
              <w:t>Trigger: Mounting App.jsx or opening any Add/Edit/View modal</w:t>
            </w:r>
          </w:p>
        </w:tc>
      </w:tr>
    </w:tbl>
    <w:p>
      <w:pPr>
        <w:spacing w:after="60"/>
      </w:pPr>
    </w:p>
    <w:p>
      <w:pPr>
        <w:spacing w:before="80" w:after="40"/>
      </w:pPr>
      <w:r>
        <w:rPr>
          <w:b/>
          <w:color w:val="0D382C"/>
          <w:sz w:val="20"/>
        </w:rPr>
        <w:t xml:space="preserve">1. What Happened &amp; Why It Happened (Root Cause Analysis): </w:t>
      </w:r>
      <w:r>
        <w:rPr>
          <w:sz w:val="20"/>
        </w:rPr>
        <w:t>All three modal components stay mounted while closed and call setFormData(...) synchronously inside useEffect whenever [item, mode, isOpen] changes. Similarly, App.jsx calls fetchAllData() inside useEffect, which synchronously calls setIsLoading(true). React 19's eslint-plugin-react-hooks v7 flags these as cascading renders.</w:t>
      </w:r>
    </w:p>
    <w:p>
      <w:pPr>
        <w:spacing w:before="80" w:after="40"/>
      </w:pPr>
      <w:r>
        <w:rPr>
          <w:b/>
          <w:color w:val="0D382C"/>
          <w:sz w:val="20"/>
        </w:rPr>
        <w:t xml:space="preserve">2. How It Manifests &amp; How It Is Visible (User Interaction &amp; Visual Behavior): </w:t>
      </w:r>
      <w:r>
        <w:rPr>
          <w:sz w:val="20"/>
        </w:rPr>
        <w:t>Causes 4 ESLint errors (react-hooks/set-state-in-effect) and forces React to perform an extra render pass every time a modal opens.</w:t>
      </w:r>
    </w:p>
    <w:p>
      <w:pPr>
        <w:spacing w:before="80" w:after="40"/>
      </w:pPr>
      <w:r>
        <w:rPr>
          <w:b/>
          <w:color w:val="0D382C"/>
          <w:sz w:val="20"/>
        </w:rPr>
        <w:t xml:space="preserve">3. Industry-Standard Remediation Blueprint: </w:t>
      </w:r>
      <w:r>
        <w:rPr>
          <w:sz w:val="20"/>
        </w:rPr>
        <w:t>Reset modal state via key props or conditional mounting in App.jsx, and inline the async fetch effect cleanly.</w:t>
      </w:r>
    </w:p>
    <w:p>
      <w:pPr>
        <w:pStyle w:val="Heading2"/>
        <w:spacing w:before="280" w:after="80"/>
      </w:pPr>
      <w:r>
        <w:rPr>
          <w:color w:val="0D382C"/>
        </w:rPr>
        <w:t>ISS-14 — 34 Additional ESLint Errors (Unused Imports, Unused State, Empty Catch Blocks)</w:t>
      </w:r>
    </w:p>
    <w:tbl>
      <w:tblPr>
        <w:tblW w:type="auto" w:w="0"/>
        <w:jc w:val="center"/>
        <w:tblLayout w:type="fixed"/>
        <w:tblLook w:firstColumn="1" w:firstRow="1" w:lastColumn="0" w:lastRow="0" w:noHBand="0" w:noVBand="1" w:val="04A0"/>
      </w:tblPr>
      <w:tblGrid>
        <w:gridCol w:w="4824"/>
        <w:gridCol w:w="4824"/>
      </w:tblGrid>
      <w:tr>
        <w:tc>
          <w:tcPr>
            <w:tcW w:type="dxa" w:w="4680"/>
            <w:shd w:fill="D1FAE5"/>
            <w:tcMar>
              <w:top w:w="70" w:type="dxa"/>
              <w:bottom w:w="70" w:type="dxa"/>
              <w:left w:w="100" w:type="dxa"/>
              <w:right w:w="100" w:type="dxa"/>
            </w:tcMar>
          </w:tcPr>
          <w:p>
            <w:r>
              <w:rPr>
                <w:b/>
                <w:color w:val="047857"/>
                <w:sz w:val="17"/>
              </w:rPr>
              <w:t>Severity: LOW</w:t>
            </w:r>
          </w:p>
        </w:tc>
        <w:tc>
          <w:tcPr>
            <w:tcW w:type="dxa" w:w="4680"/>
            <w:shd w:fill="F8FAFC"/>
            <w:tcMar>
              <w:top w:w="70" w:type="dxa"/>
              <w:bottom w:w="70" w:type="dxa"/>
              <w:left w:w="100" w:type="dxa"/>
              <w:right w:w="100" w:type="dxa"/>
            </w:tcMar>
          </w:tcPr>
          <w:p>
            <w:r>
              <w:rPr>
                <w:b/>
                <w:sz w:val="17"/>
              </w:rPr>
              <w:t>Category: Static Analysis &amp; Code Hygiene</w:t>
            </w:r>
          </w:p>
        </w:tc>
      </w:tr>
      <w:tr>
        <w:tc>
          <w:tcPr>
            <w:tcW w:type="dxa" w:w="4680"/>
            <w:shd w:fill="F8FAFC"/>
            <w:tcMar>
              <w:top w:w="70" w:type="dxa"/>
              <w:bottom w:w="70" w:type="dxa"/>
              <w:left w:w="100" w:type="dxa"/>
              <w:right w:w="100" w:type="dxa"/>
            </w:tcMar>
          </w:tcPr>
          <w:p>
            <w:r>
              <w:rPr>
                <w:b w:val="0"/>
                <w:sz w:val="17"/>
              </w:rPr>
              <w:t>Location: 13 files across client/src/</w:t>
            </w:r>
          </w:p>
        </w:tc>
        <w:tc>
          <w:tcPr>
            <w:tcW w:type="dxa" w:w="4680"/>
            <w:shd w:fill="F8FAFC"/>
            <w:tcMar>
              <w:top w:w="70" w:type="dxa"/>
              <w:bottom w:w="70" w:type="dxa"/>
              <w:left w:w="100" w:type="dxa"/>
              <w:right w:w="100" w:type="dxa"/>
            </w:tcMar>
          </w:tcPr>
          <w:p>
            <w:r>
              <w:rPr>
                <w:b w:val="0"/>
                <w:sz w:val="17"/>
              </w:rPr>
              <w:t>Trigger: Running 'npm run lint' in client/</w:t>
            </w:r>
          </w:p>
        </w:tc>
      </w:tr>
    </w:tbl>
    <w:p>
      <w:pPr>
        <w:spacing w:after="60"/>
      </w:pPr>
    </w:p>
    <w:p>
      <w:pPr>
        <w:spacing w:before="80" w:after="40"/>
      </w:pPr>
      <w:r>
        <w:rPr>
          <w:b/>
          <w:color w:val="0D382C"/>
          <w:sz w:val="20"/>
        </w:rPr>
        <w:t xml:space="preserve">1. What Happened &amp; Why It Happened (Root Cause Analysis): </w:t>
      </w:r>
      <w:r>
        <w:rPr>
          <w:sz w:val="20"/>
        </w:rPr>
        <w:t>13 files import unused default 'React', 8 files import unused Lucide icons (Bell, ChevronDown, Sparkles, LayoutDashboard, User, Settings, ArrowRight, Info, ShieldCheck, Truck) or unused hooks/variables (useState, isLoading, err), and App.jsx contains 3 empty 'catch {}' blocks.</w:t>
      </w:r>
    </w:p>
    <w:p>
      <w:pPr>
        <w:spacing w:before="80" w:after="40"/>
      </w:pPr>
      <w:r>
        <w:rPr>
          <w:b/>
          <w:color w:val="0D382C"/>
          <w:sz w:val="20"/>
        </w:rPr>
        <w:t xml:space="preserve">2. How It Manifests &amp; How It Is Visible (User Interaction &amp; Visual Behavior): </w:t>
      </w:r>
      <w:r>
        <w:rPr>
          <w:sz w:val="20"/>
        </w:rPr>
        <w:t>'npm run lint' fails with exit code 1 and 38 total errors.</w:t>
      </w:r>
    </w:p>
    <w:p>
      <w:pPr>
        <w:spacing w:before="80" w:after="40"/>
      </w:pPr>
      <w:r>
        <w:rPr>
          <w:b/>
          <w:color w:val="0D382C"/>
          <w:sz w:val="20"/>
        </w:rPr>
        <w:t xml:space="preserve">3. Industry-Standard Remediation Blueprint: </w:t>
      </w:r>
      <w:r>
        <w:rPr>
          <w:sz w:val="20"/>
        </w:rPr>
        <w:t>Remove unused imports and variables, surface or remove unused isLoading state, and handle catch blocks cleanly.</w:t>
      </w:r>
    </w:p>
    <w:p>
      <w:pPr>
        <w:pStyle w:val="Heading2"/>
        <w:spacing w:before="280" w:after="80"/>
      </w:pPr>
      <w:r>
        <w:rPr>
          <w:color w:val="0D382C"/>
        </w:rPr>
        <w:t>ISS-15 — Unescaped MongoDB $regex Injection/Crash, Plaintext Passwords &amp; Open Write Routes</w:t>
      </w:r>
    </w:p>
    <w:tbl>
      <w:tblPr>
        <w:tblW w:type="auto" w:w="0"/>
        <w:jc w:val="center"/>
        <w:tblLayout w:type="fixed"/>
        <w:tblLook w:firstColumn="1" w:firstRow="1" w:lastColumn="0" w:lastRow="0" w:noHBand="0" w:noVBand="1" w:val="04A0"/>
      </w:tblPr>
      <w:tblGrid>
        <w:gridCol w:w="4824"/>
        <w:gridCol w:w="4824"/>
      </w:tblGrid>
      <w:tr>
        <w:tc>
          <w:tcPr>
            <w:tcW w:type="dxa" w:w="4680"/>
            <w:shd w:fill="FFEDD5"/>
            <w:tcMar>
              <w:top w:w="70" w:type="dxa"/>
              <w:bottom w:w="70" w:type="dxa"/>
              <w:left w:w="100" w:type="dxa"/>
              <w:right w:w="100" w:type="dxa"/>
            </w:tcMar>
          </w:tcPr>
          <w:p>
            <w:r>
              <w:rPr>
                <w:b/>
                <w:color w:val="C2410C"/>
                <w:sz w:val="17"/>
              </w:rPr>
              <w:t>Severity: HIGH</w:t>
            </w:r>
          </w:p>
        </w:tc>
        <w:tc>
          <w:tcPr>
            <w:tcW w:type="dxa" w:w="4680"/>
            <w:shd w:fill="F8FAFC"/>
            <w:tcMar>
              <w:top w:w="70" w:type="dxa"/>
              <w:bottom w:w="70" w:type="dxa"/>
              <w:left w:w="100" w:type="dxa"/>
              <w:right w:w="100" w:type="dxa"/>
            </w:tcMar>
          </w:tcPr>
          <w:p>
            <w:r>
              <w:rPr>
                <w:b/>
                <w:sz w:val="17"/>
              </w:rPr>
              <w:t>Category: Application Security (OWASP Top 10)</w:t>
            </w:r>
          </w:p>
        </w:tc>
      </w:tr>
      <w:tr>
        <w:tc>
          <w:tcPr>
            <w:tcW w:type="dxa" w:w="4680"/>
            <w:shd w:fill="F8FAFC"/>
            <w:tcMar>
              <w:top w:w="70" w:type="dxa"/>
              <w:bottom w:w="70" w:type="dxa"/>
              <w:left w:w="100" w:type="dxa"/>
              <w:right w:w="100" w:type="dxa"/>
            </w:tcMar>
          </w:tcPr>
          <w:p>
            <w:r>
              <w:rPr>
                <w:b w:val="0"/>
                <w:sz w:val="17"/>
              </w:rPr>
              <w:t>Location: inventoryHandlers.js (L27), warehouseHandlers.js (L25), collectionHandlers.js (L25), User.js (L40)</w:t>
            </w:r>
          </w:p>
        </w:tc>
        <w:tc>
          <w:tcPr>
            <w:tcW w:type="dxa" w:w="4680"/>
            <w:shd w:fill="F8FAFC"/>
            <w:tcMar>
              <w:top w:w="70" w:type="dxa"/>
              <w:bottom w:w="70" w:type="dxa"/>
              <w:left w:w="100" w:type="dxa"/>
              <w:right w:w="100" w:type="dxa"/>
            </w:tcMar>
          </w:tcPr>
          <w:p>
            <w:r>
              <w:rPr>
                <w:b w:val="0"/>
                <w:sz w:val="17"/>
              </w:rPr>
              <w:t>Trigger: Searching special regex characters (e.g. '[' or '(') against MongoDB or inspecting user storage</w:t>
            </w:r>
          </w:p>
        </w:tc>
      </w:tr>
    </w:tbl>
    <w:p>
      <w:pPr>
        <w:spacing w:after="60"/>
      </w:pPr>
    </w:p>
    <w:p>
      <w:pPr>
        <w:spacing w:before="80" w:after="40"/>
      </w:pPr>
      <w:r>
        <w:rPr>
          <w:b/>
          <w:color w:val="0D382C"/>
          <w:sz w:val="20"/>
        </w:rPr>
        <w:t xml:space="preserve">1. What Happened &amp; Why It Happened (Root Cause Analysis): </w:t>
      </w:r>
      <w:r>
        <w:rPr>
          <w:sz w:val="20"/>
        </w:rPr>
        <w:t>1) Raw req.query.search is passed directly into { $regex: search, $options: 'i' } without escaping regex metacharacters.</w:t>
        <w:br/>
        <w:t>2) User passwords are stored and compared in plaintext.</w:t>
        <w:br/>
        <w:t>3) Write/Delete API endpoints do not verify session/token headers.</w:t>
      </w:r>
    </w:p>
    <w:p>
      <w:pPr>
        <w:spacing w:before="80" w:after="40"/>
      </w:pPr>
      <w:r>
        <w:rPr>
          <w:b/>
          <w:color w:val="0D382C"/>
          <w:sz w:val="20"/>
        </w:rPr>
        <w:t xml:space="preserve">2. How It Manifests &amp; How It Is Visible (User Interaction &amp; Visual Behavior): </w:t>
      </w:r>
      <w:r>
        <w:rPr>
          <w:sz w:val="20"/>
        </w:rPr>
        <w:t>When connected to MongoDB, searching for a string with an unclosed bracket such as 'CSB+ (' causes MongoDB to throw a 500 Internal Server Error (Invalid regular expression).</w:t>
      </w:r>
    </w:p>
    <w:p>
      <w:pPr>
        <w:spacing w:before="80" w:after="40"/>
      </w:pPr>
      <w:r>
        <w:rPr>
          <w:b/>
          <w:color w:val="0D382C"/>
          <w:sz w:val="20"/>
        </w:rPr>
        <w:t xml:space="preserve">3. Industry-Standard Remediation Blueprint: </w:t>
      </w:r>
      <w:r>
        <w:rPr>
          <w:sz w:val="20"/>
        </w:rPr>
        <w:t>Escape regex metacharacters with search.replace(/[.*+?^${}()|[\]\\]/g, '\\$&amp;') before constructing $regex queries, and hash user passwords.</w:t>
      </w:r>
    </w:p>
    <w:p>
      <w:pPr>
        <w:pStyle w:val="Heading2"/>
        <w:spacing w:before="280" w:after="80"/>
      </w:pPr>
      <w:r>
        <w:rPr>
          <w:color w:val="0D382C"/>
        </w:rPr>
        <w:t>ISS-16 — Duplicated 1.1 MB Hero Image in Build Output &amp; Unused Vite Template Files</w:t>
      </w:r>
    </w:p>
    <w:tbl>
      <w:tblPr>
        <w:tblW w:type="auto" w:w="0"/>
        <w:jc w:val="center"/>
        <w:tblLayout w:type="fixed"/>
        <w:tblLook w:firstColumn="1" w:firstRow="1" w:lastColumn="0" w:lastRow="0" w:noHBand="0" w:noVBand="1" w:val="04A0"/>
      </w:tblPr>
      <w:tblGrid>
        <w:gridCol w:w="4824"/>
        <w:gridCol w:w="4824"/>
      </w:tblGrid>
      <w:tr>
        <w:tc>
          <w:tcPr>
            <w:tcW w:type="dxa" w:w="4680"/>
            <w:shd w:fill="D1FAE5"/>
            <w:tcMar>
              <w:top w:w="70" w:type="dxa"/>
              <w:bottom w:w="70" w:type="dxa"/>
              <w:left w:w="100" w:type="dxa"/>
              <w:right w:w="100" w:type="dxa"/>
            </w:tcMar>
          </w:tcPr>
          <w:p>
            <w:r>
              <w:rPr>
                <w:b/>
                <w:color w:val="047857"/>
                <w:sz w:val="17"/>
              </w:rPr>
              <w:t>Severity: LOW</w:t>
            </w:r>
          </w:p>
        </w:tc>
        <w:tc>
          <w:tcPr>
            <w:tcW w:type="dxa" w:w="4680"/>
            <w:shd w:fill="F8FAFC"/>
            <w:tcMar>
              <w:top w:w="70" w:type="dxa"/>
              <w:bottom w:w="70" w:type="dxa"/>
              <w:left w:w="100" w:type="dxa"/>
              <w:right w:w="100" w:type="dxa"/>
            </w:tcMar>
          </w:tcPr>
          <w:p>
            <w:r>
              <w:rPr>
                <w:b/>
                <w:sz w:val="17"/>
              </w:rPr>
              <w:t>Category: Performance &amp; Bundle Hygiene</w:t>
            </w:r>
          </w:p>
        </w:tc>
      </w:tr>
      <w:tr>
        <w:tc>
          <w:tcPr>
            <w:tcW w:type="dxa" w:w="4680"/>
            <w:shd w:fill="F8FAFC"/>
            <w:tcMar>
              <w:top w:w="70" w:type="dxa"/>
              <w:bottom w:w="70" w:type="dxa"/>
              <w:left w:w="100" w:type="dxa"/>
              <w:right w:w="100" w:type="dxa"/>
            </w:tcMar>
          </w:tcPr>
          <w:p>
            <w:r>
              <w:rPr>
                <w:b w:val="0"/>
                <w:sz w:val="17"/>
              </w:rPr>
              <w:t>Location: client/public/grain_warehouse_hero.jpg, client/src/assets/grain_warehouse_hero.jpg, App.css</w:t>
            </w:r>
          </w:p>
        </w:tc>
        <w:tc>
          <w:tcPr>
            <w:tcW w:type="dxa" w:w="4680"/>
            <w:shd w:fill="F8FAFC"/>
            <w:tcMar>
              <w:top w:w="70" w:type="dxa"/>
              <w:bottom w:w="70" w:type="dxa"/>
              <w:left w:w="100" w:type="dxa"/>
              <w:right w:w="100" w:type="dxa"/>
            </w:tcMar>
          </w:tcPr>
          <w:p>
            <w:r>
              <w:rPr>
                <w:b w:val="0"/>
                <w:sz w:val="17"/>
              </w:rPr>
              <w:t>Trigger: Running 'npm run build' in client/</w:t>
            </w:r>
          </w:p>
        </w:tc>
      </w:tr>
    </w:tbl>
    <w:p>
      <w:pPr>
        <w:spacing w:after="60"/>
      </w:pPr>
    </w:p>
    <w:p>
      <w:pPr>
        <w:spacing w:before="80" w:after="40"/>
      </w:pPr>
      <w:r>
        <w:rPr>
          <w:b/>
          <w:color w:val="0D382C"/>
          <w:sz w:val="20"/>
        </w:rPr>
        <w:t xml:space="preserve">1. What Happened &amp; Why It Happened (Root Cause Analysis): </w:t>
      </w:r>
      <w:r>
        <w:rPr>
          <w:sz w:val="20"/>
        </w:rPr>
        <w:t>grain_warehouse_hero.jpg (1.10 MB) exists in both client/public/ and client/src/assets/. Vite bundles the imported asset into dist/assets/ AND copies public/grain_warehouse_hero.jpg into dist/, doubling the image payload to 2.20 MB. App.css (185 lines) and several default Vite SVGs are also unused.</w:t>
      </w:r>
    </w:p>
    <w:p>
      <w:pPr>
        <w:spacing w:before="80" w:after="40"/>
      </w:pPr>
      <w:r>
        <w:rPr>
          <w:b/>
          <w:color w:val="0D382C"/>
          <w:sz w:val="20"/>
        </w:rPr>
        <w:t xml:space="preserve">2. How It Manifests &amp; How It Is Visible (User Interaction &amp; Visual Behavior): </w:t>
      </w:r>
      <w:r>
        <w:rPr>
          <w:sz w:val="20"/>
        </w:rPr>
        <w:t>Production build size is inflated by 1.1 MB of duplicate imagery and dead template files.</w:t>
      </w:r>
    </w:p>
    <w:p>
      <w:pPr>
        <w:spacing w:before="80" w:after="40"/>
      </w:pPr>
      <w:r>
        <w:rPr>
          <w:b/>
          <w:color w:val="0D382C"/>
          <w:sz w:val="20"/>
        </w:rPr>
        <w:t xml:space="preserve">3. Industry-Standard Remediation Blueprint: </w:t>
      </w:r>
      <w:r>
        <w:rPr>
          <w:sz w:val="20"/>
        </w:rPr>
        <w:t>Remove the duplicate image in client/public/ and clean up unused starter boilerplate files.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