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0F1A" w:val="clear"/>
            <w:tcMar>
              <w:top w:type="dxa" w:w="600"/>
              <w:left w:type="dxa" w:w="480"/>
              <w:bottom w:type="dxa" w:w="600"/>
              <w:right w:type="dxa" w:w="480"/>
            </w:tcMar>
          </w:tcPr>
          <w:p>
            <w:pPr>
              <w:spacing w:after="60" w:before="0"/>
              <w:jc w:val="left"/>
            </w:pPr>
            <w:r>
              <w:rPr>
                <w:rFonts w:ascii="Arial" w:cs="Arial" w:eastAsia="Arial" w:hAnsi="Arial"/>
                <w:b/>
                <w:bCs/>
                <w:color w:val="FF6B00"/>
                <w:sz w:val="96"/>
                <w:szCs w:val="96"/>
              </w:rPr>
              <w:t xml:space="preserve">TOKA</w:t>
            </w:r>
          </w:p>
          <w:p>
            <w:pPr>
              <w:spacing w:after="120" w:before="0"/>
              <w:jc w:val="left"/>
            </w:pPr>
            <w:r>
              <w:rPr>
                <w:rFonts w:ascii="Arial" w:cs="Arial" w:eastAsia="Arial" w:hAnsi="Arial"/>
                <w:b/>
                <w:bCs/>
                <w:color w:val="FFFFFF"/>
                <w:sz w:val="96"/>
                <w:szCs w:val="96"/>
              </w:rPr>
              <w:t xml:space="preserve">EVENTS</w:t>
            </w:r>
          </w:p>
          <w:p>
            <w:pPr>
              <w:spacing w:after="200" w:before="0"/>
              <w:jc w:val="left"/>
            </w:pPr>
            <w:r>
              <w:rPr>
                <w:rFonts w:ascii="Arial" w:cs="Arial" w:eastAsia="Arial" w:hAnsi="Arial"/>
                <w:color w:val="FF6B00"/>
                <w:sz w:val="22"/>
                <w:szCs w:val="22"/>
              </w:rPr>
              <w:t xml:space="preserve">————————————————————</w:t>
            </w:r>
          </w:p>
          <w:p>
            <w:pPr>
              <w:spacing w:after="80" w:before="0"/>
              <w:jc w:val="left"/>
            </w:pPr>
            <w:r>
              <w:rPr>
                <w:rFonts w:ascii="Arial" w:cs="Arial" w:eastAsia="Arial" w:hAnsi="Arial"/>
                <w:i/>
                <w:iCs/>
                <w:color w:val="D4D0C8"/>
                <w:sz w:val="36"/>
                <w:szCs w:val="36"/>
              </w:rPr>
              <w:t xml:space="preserve">From MVP to Market Leader</w:t>
            </w:r>
          </w:p>
          <w:p>
            <w:pPr>
              <w:spacing w:after="40" w:before="0"/>
              <w:jc w:val="left"/>
            </w:pPr>
            <w:r>
              <w:rPr>
                <w:rFonts w:ascii="Arial" w:cs="Arial" w:eastAsia="Arial" w:hAnsi="Arial"/>
                <w:color w:val="A0A09A"/>
                <w:sz w:val="26"/>
                <w:szCs w:val="26"/>
              </w:rPr>
              <w:t xml:space="preserve">A Founder’s Complete Strategic Playbook</w:t>
            </w:r>
          </w:p>
          <w:p>
            <w:pPr>
              <w:spacing w:after="0" w:before="80"/>
              <w:jc w:val="left"/>
            </w:pPr>
            <w:r>
              <w:rPr>
                <w:rFonts w:ascii="Arial" w:cs="Arial" w:eastAsia="Arial" w:hAnsi="Arial"/>
                <w:color w:val="606058"/>
                <w:sz w:val="18"/>
                <w:szCs w:val="18"/>
              </w:rPr>
              <w:t xml:space="preserve">Prepared April 2025  ·  Confidential</w:t>
            </w:r>
          </w:p>
        </w:tc>
      </w:tr>
    </w:tbl>
    <w:p>
      <w:pPr>
        <w:spacing w:after="0" w:before="200"/>
      </w:pPr>
      <w:r>
        <w:t xml:space="preserve"/>
      </w:r>
    </w:p>
    <w:p>
      <w:pPr>
        <w:pBdr>
          <w:bottom w:val="single" w:color="FF6B00" w:sz="4" w:space="4"/>
        </w:pBdr>
        <w:spacing w:after="80" w:before="360"/>
      </w:pPr>
      <w:r>
        <w:rPr>
          <w:rFonts w:ascii="Arial" w:cs="Arial" w:eastAsia="Arial" w:hAnsi="Arial"/>
          <w:b/>
          <w:bCs/>
          <w:color w:val="FF6B00"/>
          <w:sz w:val="18"/>
          <w:szCs w:val="18"/>
        </w:rPr>
        <w:t xml:space="preserve">THE HONEST STARTING POINT</w:t>
      </w:r>
    </w:p>
    <w:p>
      <w:pPr>
        <w:pStyle w:val="Heading1"/>
        <w:spacing w:after="160" w:before="120"/>
      </w:pPr>
      <w:r>
        <w:rPr>
          <w:rFonts w:ascii="Arial" w:cs="Arial" w:eastAsia="Arial" w:hAnsi="Arial"/>
          <w:b/>
          <w:bCs/>
          <w:color w:val="0F0F1A"/>
          <w:sz w:val="40"/>
          <w:szCs w:val="40"/>
        </w:rPr>
        <w:t xml:space="preserve">What you have, and what it means</w:t>
      </w:r>
    </w:p>
    <w:p>
      <w:pPr>
        <w:spacing w:after="80" w:before="60"/>
        <w:jc w:val="both"/>
      </w:pPr>
      <w:r>
        <w:rPr>
          <w:rFonts w:ascii="Arial" w:cs="Arial" w:eastAsia="Arial" w:hAnsi="Arial"/>
          <w:color w:val="2A2A2A"/>
          <w:sz w:val="22"/>
          <w:szCs w:val="22"/>
        </w:rPr>
        <w:t xml:space="preserve">You have built something that most people who say they want to start a startup never actually build: a real product that real people can use end to end. That is not a small thing. The graveyard of startup ideas is full of people who spent months debating logos and never shipped a single screen. You shipped a complete interaction loop.</w:t>
      </w:r>
    </w:p>
    <w:p>
      <w:pPr>
        <w:spacing w:after="0" w:before="60"/>
      </w:pPr>
      <w:r>
        <w:t xml:space="preserve"/>
      </w:r>
    </w:p>
    <w:p>
      <w:pPr>
        <w:spacing w:after="80" w:before="60"/>
        <w:jc w:val="both"/>
      </w:pPr>
      <w:r>
        <w:rPr>
          <w:rFonts w:ascii="Arial" w:cs="Arial" w:eastAsia="Arial" w:hAnsi="Arial"/>
          <w:color w:val="2A2A2A"/>
          <w:sz w:val="22"/>
          <w:szCs w:val="22"/>
        </w:rPr>
        <w:t xml:space="preserve">But here is what that means with clarity: you are at the most dangerous point in a product’s life. Not because things are broken. Because things are good enough to feel safe, and feeling safe is where momentum goes to die. The next 90 days will determine whether Toka becomes a real company or a great portfolio project. This document tells you exactly how to make it the former.</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FF6B00" w:sz="12"/>
              <w:bottom w:val="none" w:color="FFFFFF" w:sz="0"/>
              <w:right w:val="none" w:color="FFFFFF" w:sz="0"/>
            </w:tcBorders>
            <w:shd w:fill="F5F5F2" w:val="clear"/>
          </w:tcPr>
          <w:p>
            <w:r>
              <w:t xml:space="preserve"/>
            </w:r>
          </w:p>
        </w:tc>
        <w:tc>
          <w:tcPr>
            <w:tcW w:type="dxa" w:w="9160"/>
            <w:tcBorders>
              <w:top w:val="none" w:color="FFFFFF" w:sz="0"/>
              <w:left w:val="none" w:color="FFFFFF" w:sz="0"/>
              <w:bottom w:val="none" w:color="FFFFFF" w:sz="0"/>
              <w:right w:val="none" w:color="FFFFFF" w:sz="0"/>
            </w:tcBorders>
            <w:shd w:fill="F5F5F2" w:val="clear"/>
            <w:tcMar>
              <w:top w:type="dxa" w:w="120"/>
              <w:left w:type="dxa" w:w="180"/>
              <w:bottom w:type="dxa" w:w="120"/>
              <w:right w:type="dxa" w:w="180"/>
            </w:tcMar>
          </w:tcPr>
          <w:p>
            <w:r>
              <w:rPr>
                <w:rFonts w:ascii="Arial" w:cs="Arial" w:eastAsia="Arial" w:hAnsi="Arial"/>
                <w:i/>
                <w:iCs/>
                <w:color w:val="2A2A2A"/>
                <w:sz w:val="21"/>
                <w:szCs w:val="21"/>
              </w:rPr>
              <w:t xml:space="preserve">The question is no longer “can we build this?” You proved you can. The question now is “do people need this badly enough to come back?” Everything in this document is organized around answering that question with evidence, not assumptions.</w:t>
            </w:r>
          </w:p>
        </w:tc>
      </w:tr>
    </w:tbl>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IMMEDIATE PRIORITIES</w:t>
      </w:r>
    </w:p>
    <w:p>
      <w:pPr>
        <w:pStyle w:val="Heading1"/>
        <w:spacing w:after="160" w:before="120"/>
      </w:pPr>
      <w:r>
        <w:rPr>
          <w:rFonts w:ascii="Arial" w:cs="Arial" w:eastAsia="Arial" w:hAnsi="Arial"/>
          <w:b/>
          <w:bCs/>
          <w:color w:val="0F0F1A"/>
          <w:sz w:val="40"/>
          <w:szCs w:val="40"/>
        </w:rPr>
        <w:t xml:space="preserve">What to do first, in order</w:t>
      </w:r>
    </w:p>
    <w:p>
      <w:pPr>
        <w:spacing w:after="80" w:before="60"/>
        <w:jc w:val="both"/>
      </w:pPr>
      <w:r>
        <w:rPr>
          <w:rFonts w:ascii="Arial" w:cs="Arial" w:eastAsia="Arial" w:hAnsi="Arial"/>
          <w:color w:val="2A2A2A"/>
          <w:sz w:val="22"/>
          <w:szCs w:val="22"/>
        </w:rPr>
        <w:t xml:space="preserve">The instinct when you have a product is to keep building features. Resist that instinct completely for the next 30 days. Here is the actual priority sequence:</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Week 1–2: Get it in front of strangers</w:t>
      </w:r>
    </w:p>
    <w:p>
      <w:pPr>
        <w:spacing w:after="80" w:before="60"/>
        <w:jc w:val="both"/>
      </w:pPr>
      <w:r>
        <w:rPr>
          <w:rFonts w:ascii="Arial" w:cs="Arial" w:eastAsia="Arial" w:hAnsi="Arial"/>
          <w:color w:val="2A2A2A"/>
          <w:sz w:val="22"/>
          <w:szCs w:val="22"/>
        </w:rPr>
        <w:t xml:space="preserve">Not classmates. Not people who know you. Strangers who have no social reason to be kind to you. Find three upcoming real events in Kampala — a campus night, a community gathering, a workshop. Contact the organiser. Tell them you have a free tool that can handle their registration and help them fill seats. Offer to set it up for them in 20 minutes. Do this in person.</w:t>
      </w:r>
    </w:p>
    <w:p>
      <w:pPr>
        <w:spacing w:after="0" w:before="40"/>
      </w:pPr>
      <w:r>
        <w:t xml:space="preserve"/>
      </w:r>
    </w:p>
    <w:p>
      <w:pPr>
        <w:spacing w:after="80" w:before="60"/>
        <w:jc w:val="both"/>
      </w:pPr>
      <w:r>
        <w:rPr>
          <w:rFonts w:ascii="Arial" w:cs="Arial" w:eastAsia="Arial" w:hAnsi="Arial"/>
          <w:color w:val="2A2A2A"/>
          <w:sz w:val="22"/>
          <w:szCs w:val="22"/>
        </w:rPr>
        <w:t xml:space="preserve">Your goal at this stage is not users. It is observations. Watch where they hesitate. Watch what they re-read. Watch what they skip. Watch the moment they feel confident enough to proceed. Every one of those moments is data worth more than any analytics dashboard you could build right now.</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Week 3–4: Find the one thing that creates pull</w:t>
      </w:r>
    </w:p>
    <w:p>
      <w:pPr>
        <w:spacing w:after="80" w:before="60"/>
        <w:jc w:val="both"/>
      </w:pPr>
      <w:r>
        <w:rPr>
          <w:rFonts w:ascii="Arial" w:cs="Arial" w:eastAsia="Arial" w:hAnsi="Arial"/>
          <w:color w:val="2A2A2A"/>
          <w:sz w:val="22"/>
          <w:szCs w:val="22"/>
        </w:rPr>
        <w:t xml:space="preserve">After watching real people use the product, one moment will stand out as the thing that makes them lean forward. Maybe it is the ticket generation. Maybe it is seeing their event go live instantly. Maybe it is sharing the link. Whatever that moment is, it is your product’s heartbeat. Build everything around making that moment arrive faster and feel more satisfying.</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FF6B00" w:sz="12"/>
              <w:bottom w:val="none" w:color="FFFFFF" w:sz="0"/>
              <w:right w:val="none" w:color="FFFFFF" w:sz="0"/>
            </w:tcBorders>
            <w:shd w:fill="F5F5F2" w:val="clear"/>
          </w:tcPr>
          <w:p>
            <w:r>
              <w:t xml:space="preserve"/>
            </w:r>
          </w:p>
        </w:tc>
        <w:tc>
          <w:tcPr>
            <w:tcW w:type="dxa" w:w="9160"/>
            <w:tcBorders>
              <w:top w:val="none" w:color="FFFFFF" w:sz="0"/>
              <w:left w:val="none" w:color="FFFFFF" w:sz="0"/>
              <w:bottom w:val="none" w:color="FFFFFF" w:sz="0"/>
              <w:right w:val="none" w:color="FFFFFF" w:sz="0"/>
            </w:tcBorders>
            <w:shd w:fill="F5F5F2" w:val="clear"/>
            <w:tcMar>
              <w:top w:type="dxa" w:w="120"/>
              <w:left w:type="dxa" w:w="180"/>
              <w:bottom w:type="dxa" w:w="120"/>
              <w:right w:type="dxa" w:w="180"/>
            </w:tcMar>
          </w:tcPr>
          <w:p>
            <w:r>
              <w:rPr>
                <w:rFonts w:ascii="Arial" w:cs="Arial" w:eastAsia="Arial" w:hAnsi="Arial"/>
                <w:i/>
                <w:iCs/>
                <w:color w:val="2A2A2A"/>
                <w:sz w:val="21"/>
                <w:szCs w:val="21"/>
              </w:rPr>
              <w:t xml:space="preserve">A product that does one thing so well that people tell others about it unprompted is worth more than a product that does twenty things adequately. Find your one thing.</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Month 2: The 10-organiser challenge</w:t>
      </w:r>
    </w:p>
    <w:p>
      <w:pPr>
        <w:spacing w:after="80" w:before="60"/>
        <w:jc w:val="both"/>
      </w:pPr>
      <w:r>
        <w:rPr>
          <w:rFonts w:ascii="Arial" w:cs="Arial" w:eastAsia="Arial" w:hAnsi="Arial"/>
          <w:color w:val="2A2A2A"/>
          <w:sz w:val="22"/>
          <w:szCs w:val="22"/>
        </w:rPr>
        <w:t xml:space="preserve">Set a concrete goal: get 10 real organizers to successfully publish and promote an event through Toka. Not mock events. Not test accounts. Real events with real attendees. This number is chosen deliberately. It is small enough to achieve through direct outreach and large enough to start revealing patterns in how different types of organizers behave, what they need, and where they drop off.</w:t>
      </w:r>
    </w:p>
    <w:p>
      <w:pPr>
        <w:spacing w:after="0" w:before="40"/>
      </w:pPr>
      <w:r>
        <w:t xml:space="preserve"/>
      </w:r>
    </w:p>
    <w:p>
      <w:pPr>
        <w:spacing w:after="80" w:before="60"/>
        <w:jc w:val="both"/>
      </w:pPr>
      <w:r>
        <w:rPr>
          <w:rFonts w:ascii="Arial" w:cs="Arial" w:eastAsia="Arial" w:hAnsi="Arial"/>
          <w:color w:val="2A2A2A"/>
          <w:sz w:val="22"/>
          <w:szCs w:val="22"/>
        </w:rPr>
        <w:t xml:space="preserve">When you reach 10, you will know: which organiser type gets the most value, which feature they all wish existed, and which part of the flow consistently caused problems. That knowledge is the foundation of every product and business decision that follows.</w:t>
      </w:r>
    </w:p>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TARGET MARKET</w:t>
      </w:r>
    </w:p>
    <w:p>
      <w:pPr>
        <w:pStyle w:val="Heading1"/>
        <w:spacing w:after="160" w:before="120"/>
      </w:pPr>
      <w:r>
        <w:rPr>
          <w:rFonts w:ascii="Arial" w:cs="Arial" w:eastAsia="Arial" w:hAnsi="Arial"/>
          <w:b/>
          <w:bCs/>
          <w:color w:val="0F0F1A"/>
          <w:sz w:val="40"/>
          <w:szCs w:val="40"/>
        </w:rPr>
        <w:t xml:space="preserve">Who to target and in what order</w:t>
      </w:r>
    </w:p>
    <w:p>
      <w:pPr>
        <w:spacing w:after="80" w:before="60"/>
        <w:jc w:val="both"/>
      </w:pPr>
      <w:r>
        <w:rPr>
          <w:rFonts w:ascii="Arial" w:cs="Arial" w:eastAsia="Arial" w:hAnsi="Arial"/>
          <w:color w:val="2A2A2A"/>
          <w:sz w:val="22"/>
          <w:szCs w:val="22"/>
        </w:rPr>
        <w:t xml:space="preserve">Most platforms try to serve everyone and end up mattering to no one. You need a sharp answer to the question: who is Toka for right now? Not eventually. Right now. Here is the targeting sequence that gives you the fastest path to genuine traction:</w:t>
      </w:r>
    </w:p>
    <w:p>
      <w:pPr>
        <w:spacing w:after="0" w:before="80"/>
      </w:pPr>
      <w:r>
        <w:t xml:space="preserve"/>
      </w:r>
    </w:p>
    <w:p>
      <w:pPr>
        <w:pStyle w:val="Heading2"/>
        <w:spacing w:after="100" w:before="280"/>
      </w:pPr>
      <w:r>
        <w:rPr>
          <w:rFonts w:ascii="Arial" w:cs="Arial" w:eastAsia="Arial" w:hAnsi="Arial"/>
          <w:b/>
          <w:bCs/>
          <w:color w:val="0F0F1A"/>
          <w:sz w:val="28"/>
          <w:szCs w:val="28"/>
        </w:rPr>
        <w:t xml:space="preserve">Primary target: Campus and youth event organisers</w:t>
      </w:r>
    </w:p>
    <w:p>
      <w:pPr>
        <w:spacing w:after="80" w:before="60"/>
        <w:jc w:val="both"/>
      </w:pPr>
      <w:r>
        <w:rPr>
          <w:rFonts w:ascii="Arial" w:cs="Arial" w:eastAsia="Arial" w:hAnsi="Arial"/>
          <w:color w:val="2A2A2A"/>
          <w:sz w:val="22"/>
          <w:szCs w:val="22"/>
        </w:rPr>
        <w:t xml:space="preserve">University campuses in Uganda are event-dense environments. Fresher’s weeks, society events, career fairs, cultural nights, debates, concerts — these happen constantly and are organised by students who have limited tools, limited budgets, and real audiences who use their phones as their primary device. This market has three critical advantages for you:</w:t>
      </w:r>
    </w:p>
    <w:p>
      <w:pPr>
        <w:spacing w:after="0" w:before="40"/>
      </w:pPr>
      <w:r>
        <w:t xml:space="preserve"/>
      </w:r>
    </w:p>
    <w:p>
      <w:pPr>
        <w:pStyle w:val="ListParagraph"/>
        <w:numPr>
          <w:ilvl w:val="0"/>
          <w:numId w:val="2"/>
        </w:numPr>
        <w:spacing w:after="60" w:before="40"/>
      </w:pPr>
      <w:r>
        <w:rPr>
          <w:rFonts w:ascii="Arial" w:cs="Arial" w:eastAsia="Arial" w:hAnsi="Arial"/>
          <w:color w:val="2A2A2A"/>
          <w:sz w:val="22"/>
          <w:szCs w:val="22"/>
        </w:rPr>
        <w:t xml:space="preserve">They are easy to reach with zero budget. One conversation with a student guild leader opens a network of event organisers.</w:t>
      </w:r>
    </w:p>
    <w:p>
      <w:pPr>
        <w:pStyle w:val="ListParagraph"/>
        <w:numPr>
          <w:ilvl w:val="0"/>
          <w:numId w:val="2"/>
        </w:numPr>
        <w:spacing w:after="60" w:before="40"/>
      </w:pPr>
      <w:r>
        <w:rPr>
          <w:rFonts w:ascii="Arial" w:cs="Arial" w:eastAsia="Arial" w:hAnsi="Arial"/>
          <w:color w:val="2A2A2A"/>
          <w:sz w:val="22"/>
          <w:szCs w:val="22"/>
        </w:rPr>
        <w:t xml:space="preserve">They are forgiving early adopters. Students tolerate rough edges that corporate event managers would not.</w:t>
      </w:r>
    </w:p>
    <w:p>
      <w:pPr>
        <w:pStyle w:val="ListParagraph"/>
        <w:numPr>
          <w:ilvl w:val="0"/>
          <w:numId w:val="2"/>
        </w:numPr>
        <w:spacing w:after="60" w:before="40"/>
      </w:pPr>
      <w:r>
        <w:rPr>
          <w:rFonts w:ascii="Arial" w:cs="Arial" w:eastAsia="Arial" w:hAnsi="Arial"/>
          <w:color w:val="2A2A2A"/>
          <w:sz w:val="22"/>
          <w:szCs w:val="22"/>
        </w:rPr>
        <w:t xml:space="preserve">They have social networks that amplify organically. A good experience at one campus event travels fast through WhatsApp groups.</w:t>
      </w:r>
    </w:p>
    <w:p>
      <w:pPr>
        <w:pStyle w:val="ListParagraph"/>
        <w:numPr>
          <w:ilvl w:val="0"/>
          <w:numId w:val="2"/>
        </w:numPr>
        <w:spacing w:after="60" w:before="40"/>
      </w:pPr>
      <w:r>
        <w:rPr>
          <w:rFonts w:ascii="Arial" w:cs="Arial" w:eastAsia="Arial" w:hAnsi="Arial"/>
          <w:color w:val="2A2A2A"/>
          <w:sz w:val="22"/>
          <w:szCs w:val="22"/>
        </w:rPr>
        <w:t xml:space="preserve">They graduate. Students who love Toka as organisers become professionals who carry that habit into their careers.</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Secondary target: Faith community coordinators</w:t>
      </w:r>
    </w:p>
    <w:p>
      <w:pPr>
        <w:spacing w:after="80" w:before="60"/>
        <w:jc w:val="both"/>
      </w:pPr>
      <w:r>
        <w:rPr>
          <w:rFonts w:ascii="Arial" w:cs="Arial" w:eastAsia="Arial" w:hAnsi="Arial"/>
          <w:color w:val="2A2A2A"/>
          <w:sz w:val="22"/>
          <w:szCs w:val="22"/>
        </w:rPr>
        <w:t xml:space="preserve">Churches, mosques, and faith-based organisations in Uganda run a constant calendar of events: youth conferences, crusades, community outreaches, fundraising dinners. Many are coordinating hundreds to thousands of attendees through WhatsApp chains and printed flyers. The person managing this is usually a volunteer who would be genuinely grateful for a simpler tool. The events are recurring, which means a single acquisition gives you repeat usage.</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Tertiary target: Independent promoters and creatives</w:t>
      </w:r>
    </w:p>
    <w:p>
      <w:pPr>
        <w:spacing w:after="80" w:before="60"/>
        <w:jc w:val="both"/>
      </w:pPr>
      <w:r>
        <w:rPr>
          <w:rFonts w:ascii="Arial" w:cs="Arial" w:eastAsia="Arial" w:hAnsi="Arial"/>
          <w:color w:val="2A2A2A"/>
          <w:sz w:val="22"/>
          <w:szCs w:val="22"/>
        </w:rPr>
        <w:t xml:space="preserve">Kampala has a growing independent events scene: underground music nights, art exhibitions, stand-up comedy shows, food festivals. These promoters are mobile-first, design-conscious, and often frustrated by the gap between the quality of their events and the primitive tools they use to manage them. They are also influential — if Toka becomes the platform of choice for the most interesting events in the city, it signals quality to every other organiser category.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DD6" w:sz="1"/>
              <w:left w:val="single" w:color="E0DDD6" w:sz="1"/>
              <w:bottom w:val="single" w:color="E0DDD6" w:sz="1"/>
              <w:right w:val="single" w:color="E0DDD6"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Who to target</w:t>
            </w:r>
          </w:p>
        </w:tc>
        <w:tc>
          <w:tcPr>
            <w:tcW w:type="dxa" w:w="4680"/>
            <w:tcBorders>
              <w:top w:val="single" w:color="E0DDD6" w:sz="1"/>
              <w:left w:val="single" w:color="E0DDD6" w:sz="1"/>
              <w:bottom w:val="single" w:color="E0DDD6" w:sz="1"/>
              <w:right w:val="single" w:color="E0DDD6"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Why them first</w:t>
            </w:r>
          </w:p>
        </w:tc>
      </w:tr>
      <w:tr>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Campus guilds &amp; societies</w:t>
            </w:r>
          </w:p>
        </w:tc>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Event-dense, forgiving, socially connected, zero-cost to reach</w:t>
            </w:r>
          </w:p>
        </w:tc>
      </w:tr>
      <w:tr>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b/>
                <w:bCs/>
                <w:color w:val="1A1A2E"/>
                <w:sz w:val="20"/>
                <w:szCs w:val="20"/>
              </w:rPr>
              <w:t xml:space="preserve">Faith event coordinators</w:t>
            </w:r>
          </w:p>
        </w:tc>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color w:val="2A2A2A"/>
                <w:sz w:val="20"/>
                <w:szCs w:val="20"/>
              </w:rPr>
              <w:t xml:space="preserve">Recurring events, large captive audiences, high word-of-mouth trust</w:t>
            </w:r>
          </w:p>
        </w:tc>
      </w:tr>
      <w:tr>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Independent promoters</w:t>
            </w:r>
          </w:p>
        </w:tc>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Influence-multiplying, brand-building, mobile-first mindset</w:t>
            </w:r>
          </w:p>
        </w:tc>
      </w:tr>
      <w:tr>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b/>
                <w:bCs/>
                <w:color w:val="1A1A2E"/>
                <w:sz w:val="20"/>
                <w:szCs w:val="20"/>
              </w:rPr>
              <w:t xml:space="preserve">Corporate HR &amp; training teams</w:t>
            </w:r>
          </w:p>
        </w:tc>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color w:val="2A2A2A"/>
                <w:sz w:val="20"/>
                <w:szCs w:val="20"/>
              </w:rPr>
              <w:t xml:space="preserve">Later stage — higher revenue potential, longer sales cycle</w:t>
            </w:r>
          </w:p>
        </w:tc>
      </w:tr>
      <w:tr>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Tourism &amp; hospitality events</w:t>
            </w:r>
          </w:p>
        </w:tc>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Later stage — requires payment maturity and verification infrastructure</w:t>
            </w:r>
          </w:p>
        </w:tc>
      </w:tr>
    </w:tbl>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TECHNICAL PERFORMANCE</w:t>
      </w:r>
    </w:p>
    <w:p>
      <w:pPr>
        <w:pStyle w:val="Heading1"/>
        <w:spacing w:after="160" w:before="120"/>
      </w:pPr>
      <w:r>
        <w:rPr>
          <w:rFonts w:ascii="Arial" w:cs="Arial" w:eastAsia="Arial" w:hAnsi="Arial"/>
          <w:b/>
          <w:bCs/>
          <w:color w:val="0F0F1A"/>
          <w:sz w:val="40"/>
          <w:szCs w:val="40"/>
        </w:rPr>
        <w:t xml:space="preserve">How to improve performance in the right order</w:t>
      </w:r>
    </w:p>
    <w:p>
      <w:pPr>
        <w:spacing w:after="80" w:before="60"/>
        <w:jc w:val="both"/>
      </w:pPr>
      <w:r>
        <w:rPr>
          <w:rFonts w:ascii="Arial" w:cs="Arial" w:eastAsia="Arial" w:hAnsi="Arial"/>
          <w:color w:val="2A2A2A"/>
          <w:sz w:val="22"/>
          <w:szCs w:val="22"/>
        </w:rPr>
        <w:t xml:space="preserve">Performance work done in the wrong order is wasted energy. The only performance problems worth solving right now are the ones that cause a real user to abandon a flow or distrust the product. Here is what to fix, in order of actual impact: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Priority 1: Perceived speed on mid-range Android</w:t>
      </w:r>
    </w:p>
    <w:p>
      <w:pPr>
        <w:spacing w:after="80" w:before="60"/>
        <w:jc w:val="both"/>
      </w:pPr>
      <w:r>
        <w:rPr>
          <w:rFonts w:ascii="Arial" w:cs="Arial" w:eastAsia="Arial" w:hAnsi="Arial"/>
          <w:color w:val="2A2A2A"/>
          <w:sz w:val="22"/>
          <w:szCs w:val="22"/>
        </w:rPr>
        <w:t xml:space="preserve">The majority of your users are not on flagship phones. They are on mid-range or budget Android devices, often on variable mobile data. The metric that matters most is time-to-interactive on the event discovery screen. If a user opens the app and sees a blank screen or spinner for more than two seconds, a meaningful percentage of them will close it. This is the single most impactful technical problem to solve.</w:t>
      </w:r>
    </w:p>
    <w:p>
      <w:pPr>
        <w:spacing w:after="0" w:before="40"/>
      </w:pPr>
      <w:r>
        <w:t xml:space="preserve"/>
      </w:r>
    </w:p>
    <w:p>
      <w:pPr>
        <w:pStyle w:val="ListParagraph"/>
        <w:numPr>
          <w:ilvl w:val="0"/>
          <w:numId w:val="2"/>
        </w:numPr>
        <w:spacing w:after="60" w:before="40"/>
      </w:pPr>
      <w:r>
        <w:rPr>
          <w:rFonts w:ascii="Arial" w:cs="Arial" w:eastAsia="Arial" w:hAnsi="Arial"/>
          <w:color w:val="2A2A2A"/>
          <w:sz w:val="22"/>
          <w:szCs w:val="22"/>
        </w:rPr>
        <w:t xml:space="preserve">Preload the event listing with skeleton screens that appear instantly.</w:t>
      </w:r>
    </w:p>
    <w:p>
      <w:pPr>
        <w:pStyle w:val="ListParagraph"/>
        <w:numPr>
          <w:ilvl w:val="0"/>
          <w:numId w:val="2"/>
        </w:numPr>
        <w:spacing w:after="60" w:before="40"/>
      </w:pPr>
      <w:r>
        <w:rPr>
          <w:rFonts w:ascii="Arial" w:cs="Arial" w:eastAsia="Arial" w:hAnsi="Arial"/>
          <w:color w:val="2A2A2A"/>
          <w:sz w:val="22"/>
          <w:szCs w:val="22"/>
        </w:rPr>
        <w:t xml:space="preserve">Lazy load event images below the fold. Only load what is visible.</w:t>
      </w:r>
    </w:p>
    <w:p>
      <w:pPr>
        <w:pStyle w:val="ListParagraph"/>
        <w:numPr>
          <w:ilvl w:val="0"/>
          <w:numId w:val="2"/>
        </w:numPr>
        <w:spacing w:after="60" w:before="40"/>
      </w:pPr>
      <w:r>
        <w:rPr>
          <w:rFonts w:ascii="Arial" w:cs="Arial" w:eastAsia="Arial" w:hAnsi="Arial"/>
          <w:color w:val="2A2A2A"/>
          <w:sz w:val="22"/>
          <w:szCs w:val="22"/>
        </w:rPr>
        <w:t xml:space="preserve">Debounce search input so filtering does not fire on every keystroke.</w:t>
      </w:r>
    </w:p>
    <w:p>
      <w:pPr>
        <w:pStyle w:val="ListParagraph"/>
        <w:numPr>
          <w:ilvl w:val="0"/>
          <w:numId w:val="2"/>
        </w:numPr>
        <w:spacing w:after="60" w:before="40"/>
      </w:pPr>
      <w:r>
        <w:rPr>
          <w:rFonts w:ascii="Arial" w:cs="Arial" w:eastAsia="Arial" w:hAnsi="Arial"/>
          <w:color w:val="2A2A2A"/>
          <w:sz w:val="22"/>
          <w:szCs w:val="22"/>
        </w:rPr>
        <w:t xml:space="preserve">Cache the last known event listing in local storage so repeat visits feel instant.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Priority 2: Sync state transparency</w:t>
      </w:r>
    </w:p>
    <w:p>
      <w:pPr>
        <w:spacing w:after="80" w:before="60"/>
        <w:jc w:val="both"/>
      </w:pPr>
      <w:r>
        <w:rPr>
          <w:rFonts w:ascii="Arial" w:cs="Arial" w:eastAsia="Arial" w:hAnsi="Arial"/>
          <w:color w:val="2A2A2A"/>
          <w:sz w:val="22"/>
          <w:szCs w:val="22"/>
        </w:rPr>
        <w:t xml:space="preserve">The second trust killer is silent sync failure. If a user registers for an event and the confirmation is slow to appear, they do not know if it worked. They register again. They get confused. They feel the product is unreliable. The fix is not necessarily faster sync — it is making the sync state visible. Show a small indicator. Show a success confirmation that is unambiguous. Show a retry prompt when sync fails.</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Priority 3: Registration flow completion rate</w:t>
      </w:r>
    </w:p>
    <w:p>
      <w:pPr>
        <w:spacing w:after="80" w:before="60"/>
        <w:jc w:val="both"/>
      </w:pPr>
      <w:r>
        <w:rPr>
          <w:rFonts w:ascii="Arial" w:cs="Arial" w:eastAsia="Arial" w:hAnsi="Arial"/>
          <w:color w:val="2A2A2A"/>
          <w:sz w:val="22"/>
          <w:szCs w:val="22"/>
        </w:rPr>
        <w:t xml:space="preserve">Every unnecessary step between “I want to attend this” and “I have my ticket” costs you conversions. Audit the registration flow with a stopwatch. Time yourself from landing on an event to receiving a ticket confirmation. If it takes more than 60 seconds, there are fields you can eliminate or steps you can merge. The goal is to make ticket acquisition feel almost effortless.</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Priority 4: Mobile form experience</w:t>
      </w:r>
    </w:p>
    <w:p>
      <w:pPr>
        <w:spacing w:after="80" w:before="60"/>
        <w:jc w:val="both"/>
      </w:pPr>
      <w:r>
        <w:rPr>
          <w:rFonts w:ascii="Arial" w:cs="Arial" w:eastAsia="Arial" w:hAnsi="Arial"/>
          <w:color w:val="2A2A2A"/>
          <w:sz w:val="22"/>
          <w:szCs w:val="22"/>
        </w:rPr>
        <w:t xml:space="preserve">The event creation form is your organiser’s most important interaction. On mobile, long forms feel overwhelming. Consider a progress-bar stepper that breaks the form into small stages. Each stage should feel completable in under a minute. Use sensible defaults wherever possible. Pre-fill city as Kampala. Default event type to the most common selection. Every field that does not require a decision should not require 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Performance area</w:t>
            </w:r>
          </w:p>
        </w:tc>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Target metric</w:t>
            </w:r>
          </w:p>
        </w:tc>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Fix approach</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First paint (discovery)</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Under 2.5 seconds on 3G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Skeleton screens, cached listing</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Filter response</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Under 100ms felt latency</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Debounce, precomputed indexes</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Registration to ticket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Under 60 seconds total</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Remove non-essential fields</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Sync confirmation</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Visible within 3 seconds</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Optimistic UI + status indicator</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Image loading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No layout shift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Aspect-ratio locked placeholders</w:t>
            </w:r>
          </w:p>
        </w:tc>
      </w:tr>
    </w:tbl>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PRODUCT ATTRACTION</w:t>
      </w:r>
    </w:p>
    <w:p>
      <w:pPr>
        <w:pStyle w:val="Heading1"/>
        <w:spacing w:after="160" w:before="120"/>
      </w:pPr>
      <w:r>
        <w:rPr>
          <w:rFonts w:ascii="Arial" w:cs="Arial" w:eastAsia="Arial" w:hAnsi="Arial"/>
          <w:b/>
          <w:bCs/>
          <w:color w:val="0F0F1A"/>
          <w:sz w:val="40"/>
          <w:szCs w:val="40"/>
        </w:rPr>
        <w:t xml:space="preserve">How to make Toka irresistible</w:t>
      </w:r>
    </w:p>
    <w:p>
      <w:pPr>
        <w:spacing w:after="80" w:before="60"/>
        <w:jc w:val="both"/>
      </w:pPr>
      <w:r>
        <w:rPr>
          <w:rFonts w:ascii="Arial" w:cs="Arial" w:eastAsia="Arial" w:hAnsi="Arial"/>
          <w:color w:val="2A2A2A"/>
          <w:sz w:val="22"/>
          <w:szCs w:val="22"/>
        </w:rPr>
        <w:t xml:space="preserve">Attractiveness in a product is not about having more features. It is about having the right signals at the right moments. Here are the highest-leverage improvements you can make to increase the rate at which people choose to use and recommend Toka:</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Trust signals on every event</w:t>
      </w:r>
    </w:p>
    <w:p>
      <w:pPr>
        <w:spacing w:after="80" w:before="60"/>
        <w:jc w:val="both"/>
      </w:pPr>
      <w:r>
        <w:rPr>
          <w:rFonts w:ascii="Arial" w:cs="Arial" w:eastAsia="Arial" w:hAnsi="Arial"/>
          <w:color w:val="2A2A2A"/>
          <w:sz w:val="22"/>
          <w:szCs w:val="22"/>
        </w:rPr>
        <w:t xml:space="preserve">People are deciding whether to spend their time and potentially their money based on what they see on an event page. Right now they are making that decision with limited information. Add signals that reduce uncertainty: a verified organiser badge earned through a simple one-time confirmation process, an ‘X people have registered’ count that updates live, a clear last-updated timestamp. These require almost no engineering but dramatically increase conversion.</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The referral loop as a distribution engine</w:t>
      </w:r>
    </w:p>
    <w:p>
      <w:pPr>
        <w:spacing w:after="80" w:before="60"/>
        <w:jc w:val="both"/>
      </w:pPr>
      <w:r>
        <w:rPr>
          <w:rFonts w:ascii="Arial" w:cs="Arial" w:eastAsia="Arial" w:hAnsi="Arial"/>
          <w:color w:val="2A2A2A"/>
          <w:sz w:val="22"/>
          <w:szCs w:val="22"/>
        </w:rPr>
        <w:t xml:space="preserve">Every ticket issued is a distribution opportunity. The ticket confirmation screen already has a referral section. Make it impossible to ignore. Show the person exactly how many people have used their code. Show a simple milestone system — get 3 friends to register and get priority access to the next event. This turns every attendee into a salesperson with zero additional acquisition cost.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Curated editorial surfaces</w:t>
      </w:r>
    </w:p>
    <w:p>
      <w:pPr>
        <w:spacing w:after="80" w:before="60"/>
        <w:jc w:val="both"/>
      </w:pPr>
      <w:r>
        <w:rPr>
          <w:rFonts w:ascii="Arial" w:cs="Arial" w:eastAsia="Arial" w:hAnsi="Arial"/>
          <w:color w:val="2A2A2A"/>
          <w:sz w:val="22"/>
          <w:szCs w:val="22"/>
        </w:rPr>
        <w:t xml:space="preserve">Right now the discovery experience is largely search and filter. That works for people who know what they want. For people who are browsing, you need editorial curation. Introduce three named shelves on the home screen: “This Weekend in Kampala,” “Campus Pulse,” and “Trending This Week.” These do not need to be algorithmic at first. Curate them manually. The appearance of curation signals that a human thinks these events are worth attending, which is a powerful trust signal.</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Post-event memory and social proof</w:t>
      </w:r>
    </w:p>
    <w:p>
      <w:pPr>
        <w:spacing w:after="80" w:before="60"/>
        <w:jc w:val="both"/>
      </w:pPr>
      <w:r>
        <w:rPr>
          <w:rFonts w:ascii="Arial" w:cs="Arial" w:eastAsia="Arial" w:hAnsi="Arial"/>
          <w:color w:val="2A2A2A"/>
          <w:sz w:val="22"/>
          <w:szCs w:val="22"/>
        </w:rPr>
        <w:t xml:space="preserve">The event experience should not end when the event ends. Twenty-four hours after an event closes, send attendees a prompt through the app asking for one sentence about the experience. Display these on the event page as a retrospective. For future events by the same organiser, show a count of previous positive reviews. This creates a compounding social proof layer that makes each successive event easier to sell.</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Organiser starter templates</w:t>
      </w:r>
    </w:p>
    <w:p>
      <w:pPr>
        <w:spacing w:after="80" w:before="60"/>
        <w:jc w:val="both"/>
      </w:pPr>
      <w:r>
        <w:rPr>
          <w:rFonts w:ascii="Arial" w:cs="Arial" w:eastAsia="Arial" w:hAnsi="Arial"/>
          <w:color w:val="2A2A2A"/>
          <w:sz w:val="22"/>
          <w:szCs w:val="22"/>
        </w:rPr>
        <w:t xml:space="preserve">The blank event creation form is intimidating. For each event category — concert, workshop, community drive, faith gathering — provide a pre-filled template with suggested descriptions, common ticket tier structures, and a promotion checklist. This reduces time-to-publish for first-time organisers by removing the paralysis of a blank page. Better events from organisers means better experiences for attendees. Better experiences drive return usage.</w:t>
      </w:r>
    </w:p>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APPLIED ML INTEGRATION</w:t>
      </w:r>
    </w:p>
    <w:p>
      <w:pPr>
        <w:pStyle w:val="Heading1"/>
        <w:spacing w:after="160" w:before="120"/>
      </w:pPr>
      <w:r>
        <w:rPr>
          <w:rFonts w:ascii="Arial" w:cs="Arial" w:eastAsia="Arial" w:hAnsi="Arial"/>
          <w:b/>
          <w:bCs/>
          <w:color w:val="0F0F1A"/>
          <w:sz w:val="40"/>
          <w:szCs w:val="40"/>
        </w:rPr>
        <w:t xml:space="preserve">When and how to apply your ML skills</w:t>
      </w:r>
    </w:p>
    <w:p>
      <w:pPr>
        <w:spacing w:after="80" w:before="60"/>
        <w:jc w:val="both"/>
      </w:pPr>
      <w:r>
        <w:rPr>
          <w:rFonts w:ascii="Arial" w:cs="Arial" w:eastAsia="Arial" w:hAnsi="Arial"/>
          <w:color w:val="2A2A2A"/>
          <w:sz w:val="22"/>
          <w:szCs w:val="22"/>
        </w:rPr>
        <w:t xml:space="preserve">This is one of the most important sections of this document for you personally, because it sits at the intersection of your technical skills and Toka’s product trajectory. The critical principle here is: applied ML creates value when it solves a problem that exists at scale. Before you have scale, premature ML is engineering theatre. Here is the honest sequencing:</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Stage 1 — Now through Month 6: Build the data foundation</w:t>
      </w:r>
    </w:p>
    <w:p>
      <w:pPr>
        <w:spacing w:after="80" w:before="60"/>
        <w:jc w:val="both"/>
      </w:pPr>
      <w:r>
        <w:rPr>
          <w:rFonts w:ascii="Arial" w:cs="Arial" w:eastAsia="Arial" w:hAnsi="Arial"/>
          <w:color w:val="2A2A2A"/>
          <w:sz w:val="22"/>
          <w:szCs w:val="22"/>
        </w:rPr>
        <w:t xml:space="preserve">No ML model is better than the data it is trained on. Right now you do not have enough behavioural data to train anything meaningful. What you can do now is instrument the application to collect the data you will need later. Every event view, every search query, every registration start and completion or abandonment, every category selection, every return visit — all of this needs to be captured with enough context to be useful later.</w:t>
      </w:r>
    </w:p>
    <w:p>
      <w:pPr>
        <w:spacing w:after="0" w:before="40"/>
      </w:pPr>
      <w:r>
        <w:t xml:space="preserve"/>
      </w:r>
    </w:p>
    <w:p>
      <w:pPr>
        <w:spacing w:after="80" w:before="60"/>
        <w:jc w:val="both"/>
      </w:pPr>
      <w:r>
        <w:rPr>
          <w:rFonts w:ascii="Arial" w:cs="Arial" w:eastAsia="Arial" w:hAnsi="Arial"/>
          <w:color w:val="2A2A2A"/>
          <w:sz w:val="22"/>
          <w:szCs w:val="22"/>
        </w:rPr>
        <w:t xml:space="preserve">This is not idle work. It forces you to think carefully about what you are measuring and why, which in turn forces clarity about what the product is actually trying to do for users. Build a clean events table, a clean user-behaviour table, and a clean organiser-activity table. Do this now. It costs almost nothing and pays compounding returns.</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Stage 2 — Month 6 to Month 12: Your first ML feature</w:t>
      </w:r>
    </w:p>
    <w:p>
      <w:pPr>
        <w:spacing w:after="80" w:before="60"/>
        <w:jc w:val="both"/>
      </w:pPr>
      <w:r>
        <w:rPr>
          <w:rFonts w:ascii="Arial" w:cs="Arial" w:eastAsia="Arial" w:hAnsi="Arial"/>
          <w:color w:val="2A2A2A"/>
          <w:sz w:val="22"/>
          <w:szCs w:val="22"/>
        </w:rPr>
        <w:t xml:space="preserve">When you have at least a few thousand event interactions and a few hundred distinct users with history, you are ready for your first real ML application. The highest-value entry point for Toka is personalised event ranking. Not a recommendation engine in the Netflix sense — something much simpler and more impactful:</w:t>
      </w:r>
    </w:p>
    <w:p>
      <w:pPr>
        <w:spacing w:after="0" w:before="40"/>
      </w:pPr>
      <w:r>
        <w:t xml:space="preserve"/>
      </w:r>
    </w:p>
    <w:p>
      <w:pPr>
        <w:pStyle w:val="ListParagraph"/>
        <w:numPr>
          <w:ilvl w:val="0"/>
          <w:numId w:val="2"/>
        </w:numPr>
        <w:spacing w:after="60" w:before="40"/>
      </w:pPr>
      <w:r>
        <w:rPr>
          <w:rFonts w:ascii="Arial" w:cs="Arial" w:eastAsia="Arial" w:hAnsi="Arial"/>
          <w:color w:val="2A2A2A"/>
          <w:sz w:val="22"/>
          <w:szCs w:val="22"/>
        </w:rPr>
        <w:t xml:space="preserve">Train a lightweight collaborative filtering model on user-category interactions.</w:t>
      </w:r>
    </w:p>
    <w:p>
      <w:pPr>
        <w:pStyle w:val="ListParagraph"/>
        <w:numPr>
          <w:ilvl w:val="0"/>
          <w:numId w:val="2"/>
        </w:numPr>
        <w:spacing w:after="60" w:before="40"/>
      </w:pPr>
      <w:r>
        <w:rPr>
          <w:rFonts w:ascii="Arial" w:cs="Arial" w:eastAsia="Arial" w:hAnsi="Arial"/>
          <w:color w:val="2A2A2A"/>
          <w:sz w:val="22"/>
          <w:szCs w:val="22"/>
        </w:rPr>
        <w:t xml:space="preserve">When a user opens the discovery screen, rank events by predicted affinity rather than chronological order.</w:t>
      </w:r>
    </w:p>
    <w:p>
      <w:pPr>
        <w:pStyle w:val="ListParagraph"/>
        <w:numPr>
          <w:ilvl w:val="0"/>
          <w:numId w:val="2"/>
        </w:numPr>
        <w:spacing w:after="60" w:before="40"/>
      </w:pPr>
      <w:r>
        <w:rPr>
          <w:rFonts w:ascii="Arial" w:cs="Arial" w:eastAsia="Arial" w:hAnsi="Arial"/>
          <w:color w:val="2A2A2A"/>
          <w:sz w:val="22"/>
          <w:szCs w:val="22"/>
        </w:rPr>
        <w:t xml:space="preserve">Surface a “Picked for you” shelf above the main listing.</w:t>
      </w:r>
    </w:p>
    <w:p>
      <w:pPr>
        <w:pStyle w:val="ListParagraph"/>
        <w:numPr>
          <w:ilvl w:val="0"/>
          <w:numId w:val="2"/>
        </w:numPr>
        <w:spacing w:after="60" w:before="40"/>
      </w:pPr>
      <w:r>
        <w:rPr>
          <w:rFonts w:ascii="Arial" w:cs="Arial" w:eastAsia="Arial" w:hAnsi="Arial"/>
          <w:color w:val="2A2A2A"/>
          <w:sz w:val="22"/>
          <w:szCs w:val="22"/>
        </w:rPr>
        <w:t xml:space="preserve">Measure click-through rate on personalised results versus the control group.</w:t>
      </w:r>
    </w:p>
    <w:p>
      <w:pPr>
        <w:spacing w:after="0" w:before="40"/>
      </w:pPr>
      <w:r>
        <w:t xml:space="preserve"/>
      </w:r>
    </w:p>
    <w:p>
      <w:pPr>
        <w:spacing w:after="80" w:before="60"/>
        <w:jc w:val="both"/>
      </w:pPr>
      <w:r>
        <w:rPr>
          <w:rFonts w:ascii="Arial" w:cs="Arial" w:eastAsia="Arial" w:hAnsi="Arial"/>
          <w:color w:val="2A2A2A"/>
          <w:sz w:val="22"/>
          <w:szCs w:val="22"/>
        </w:rPr>
        <w:t xml:space="preserve">This is a clean, well-defined ML problem. It uses your training in recommendation systems. It has a measurable impact metric. And it creates a visible, explainable value-add that you can describe to investors and users alike.</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Stage 3 — Month 12 to Month 18: Event quality and fraud signals</w:t>
      </w:r>
    </w:p>
    <w:p>
      <w:pPr>
        <w:spacing w:after="80" w:before="60"/>
        <w:jc w:val="both"/>
      </w:pPr>
      <w:r>
        <w:rPr>
          <w:rFonts w:ascii="Arial" w:cs="Arial" w:eastAsia="Arial" w:hAnsi="Arial"/>
          <w:color w:val="2A2A2A"/>
          <w:sz w:val="22"/>
          <w:szCs w:val="22"/>
        </w:rPr>
        <w:t xml:space="preserve">As volume grows, quality control becomes a genuine problem. Spam events, misleading descriptions, and low-effort listings degrade the discovery experience. This is where an ML-based content quality scorer becomes high-value. Train a classifier on organiser behaviour signals: completion rate of event details, history of successful events, engagement rate of past listings, verification status. Use this score to decide which events get surface prominence and which get reviewed before publication.</w:t>
      </w:r>
    </w:p>
    <w:p>
      <w:pPr>
        <w:spacing w:after="0" w:before="40"/>
      </w:pPr>
      <w:r>
        <w:t xml:space="preserve"/>
      </w:r>
    </w:p>
    <w:p>
      <w:pPr>
        <w:spacing w:after="80" w:before="60"/>
        <w:jc w:val="both"/>
      </w:pPr>
      <w:r>
        <w:rPr>
          <w:rFonts w:ascii="Arial" w:cs="Arial" w:eastAsia="Arial" w:hAnsi="Arial"/>
          <w:color w:val="2A2A2A"/>
          <w:sz w:val="22"/>
          <w:szCs w:val="22"/>
        </w:rPr>
        <w:t xml:space="preserve">This directly protects brand trust, which is a core business asset. It is also technically interesting — combining structured data signals with natural language features from event descriptions. A strong implementation here would be genuinely publishable as applied ML work.</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Stage 4 — Month 18+: Demand forecasting for organisers</w:t>
      </w:r>
    </w:p>
    <w:p>
      <w:pPr>
        <w:spacing w:after="80" w:before="60"/>
        <w:jc w:val="both"/>
      </w:pPr>
      <w:r>
        <w:rPr>
          <w:rFonts w:ascii="Arial" w:cs="Arial" w:eastAsia="Arial" w:hAnsi="Arial"/>
          <w:color w:val="2A2A2A"/>
          <w:sz w:val="22"/>
          <w:szCs w:val="22"/>
        </w:rPr>
        <w:t xml:space="preserve">Once you have a year or more of event data across categories, venues, times, and demographics, you can offer organisers something genuinely valuable: a predicted attendance range before they publish. “Events like this in Kampala in this category typically attract 80–150 people based on your organiser history and current demand.” This helps organisers set ticket capacity, price tickets appropriately, and plan logistics. It is a premium feature worth charging for and a genuine competitive moat that no simple listings platform can replicate.</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FF6B00" w:sz="12"/>
              <w:bottom w:val="none" w:color="FFFFFF" w:sz="0"/>
              <w:right w:val="none" w:color="FFFFFF" w:sz="0"/>
            </w:tcBorders>
            <w:shd w:fill="F5F5F2" w:val="clear"/>
          </w:tcPr>
          <w:p>
            <w:r>
              <w:t xml:space="preserve"/>
            </w:r>
          </w:p>
        </w:tc>
        <w:tc>
          <w:tcPr>
            <w:tcW w:type="dxa" w:w="9160"/>
            <w:tcBorders>
              <w:top w:val="none" w:color="FFFFFF" w:sz="0"/>
              <w:left w:val="none" w:color="FFFFFF" w:sz="0"/>
              <w:bottom w:val="none" w:color="FFFFFF" w:sz="0"/>
              <w:right w:val="none" w:color="FFFFFF" w:sz="0"/>
            </w:tcBorders>
            <w:shd w:fill="F5F5F2" w:val="clear"/>
            <w:tcMar>
              <w:top w:type="dxa" w:w="120"/>
              <w:left w:type="dxa" w:w="180"/>
              <w:bottom w:type="dxa" w:w="120"/>
              <w:right w:type="dxa" w:w="180"/>
            </w:tcMar>
          </w:tcPr>
          <w:p>
            <w:r>
              <w:rPr>
                <w:rFonts w:ascii="Arial" w:cs="Arial" w:eastAsia="Arial" w:hAnsi="Arial"/>
                <w:i/>
                <w:iCs/>
                <w:color w:val="2A2A2A"/>
                <w:sz w:val="21"/>
                <w:szCs w:val="21"/>
              </w:rPr>
              <w:t xml:space="preserve">The ML progression is: instrument now → personalise at Month 6 → quality-score at Month 12 → forecast at Month 18. Each stage builds on the data and trust established by the previous one. Skipping ahead produces impressive demos and poor products.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ML stage</w:t>
            </w:r>
          </w:p>
        </w:tc>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What you need first</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Personalised ranking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Ranks events by user affinity</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500+ users with 3+ interactions each</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Quality scoring</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Flags low-quality or spam events</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1,000+ events with outcome data</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Attendance forecasting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Predicts turnout for organisers</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12+ months of event completion data</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Pricing optimisation</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Suggests ticket prices by demand</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Mature payment data + market comps</w:t>
            </w:r>
          </w:p>
        </w:tc>
      </w:tr>
    </w:tbl>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PRODUCT TRAJECTORY</w:t>
      </w:r>
    </w:p>
    <w:p>
      <w:pPr>
        <w:pStyle w:val="Heading1"/>
        <w:spacing w:after="160" w:before="120"/>
      </w:pPr>
      <w:r>
        <w:rPr>
          <w:rFonts w:ascii="Arial" w:cs="Arial" w:eastAsia="Arial" w:hAnsi="Arial"/>
          <w:b/>
          <w:bCs/>
          <w:color w:val="0F0F1A"/>
          <w:sz w:val="40"/>
          <w:szCs w:val="40"/>
        </w:rPr>
        <w:t xml:space="preserve">The arc from now to market leader</w:t>
      </w:r>
    </w:p>
    <w:p>
      <w:pPr>
        <w:spacing w:after="80" w:before="60"/>
        <w:jc w:val="both"/>
      </w:pPr>
      <w:r>
        <w:rPr>
          <w:rFonts w:ascii="Arial" w:cs="Arial" w:eastAsia="Arial" w:hAnsi="Arial"/>
          <w:color w:val="2A2A2A"/>
          <w:sz w:val="22"/>
          <w:szCs w:val="22"/>
        </w:rPr>
        <w:t xml:space="preserve">Here is the honest trajectory, written without optimism bias. Every stage has a gate: a condition that must be true before you invest heavily in the next stage. Building beyond your current gate is waste.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F6B0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01</w:t>
            </w:r>
          </w:p>
          <w:p>
            <w:pPr>
              <w:jc w:val="center"/>
            </w:pPr>
            <w:r>
              <w:rPr>
                <w:rFonts w:ascii="Arial" w:cs="Arial" w:eastAsia="Arial" w:hAnsi="Arial"/>
                <w:color w:val="FFD4A8"/>
                <w:sz w:val="16"/>
                <w:szCs w:val="16"/>
              </w:rPr>
              <w:t xml:space="preserve">Now — Month 3</w:t>
            </w:r>
          </w:p>
        </w:tc>
        <w:tc>
          <w:tcPr>
            <w:tcW w:type="dxa" w:w="7560"/>
            <w:tcBorders>
              <w:top w:val="single" w:color="E0DDD6" w:sz="1"/>
              <w:left w:val="none" w:color="FFFFFF" w:sz="0"/>
              <w:bottom w:val="single" w:color="E0DDD6" w:sz="1"/>
              <w:right w:val="single" w:color="E0DDD6" w:sz="1"/>
            </w:tcBorders>
            <w:shd w:fill="FFFFFF" w:val="clear"/>
            <w:tcMar>
              <w:top w:type="dxa" w:w="120"/>
              <w:left w:type="dxa" w:w="200"/>
              <w:bottom w:type="dxa" w:w="120"/>
              <w:right w:type="dxa" w:w="160"/>
            </w:tcMar>
          </w:tcPr>
          <w:p>
            <w:r>
              <w:rPr>
                <w:rFonts w:ascii="Arial" w:cs="Arial" w:eastAsia="Arial" w:hAnsi="Arial"/>
                <w:b/>
                <w:bCs/>
                <w:color w:val="0F0F1A"/>
                <w:sz w:val="24"/>
                <w:szCs w:val="24"/>
              </w:rPr>
              <w:t xml:space="preserve">Prove the loop</w:t>
            </w:r>
          </w:p>
          <w:p>
            <w:pPr>
              <w:pStyle w:val="ListParagraph"/>
              <w:numPr>
                <w:ilvl w:val="0"/>
                <w:numId w:val="2"/>
              </w:numPr>
              <w:spacing w:after="30" w:before="30"/>
            </w:pPr>
            <w:r>
              <w:rPr>
                <w:rFonts w:ascii="Arial" w:cs="Arial" w:eastAsia="Arial" w:hAnsi="Arial"/>
                <w:color w:val="2A2A2A"/>
                <w:sz w:val="20"/>
                <w:szCs w:val="20"/>
              </w:rPr>
              <w:t xml:space="preserve">Get 10 real events published by real organisers</w:t>
            </w:r>
          </w:p>
          <w:p>
            <w:pPr>
              <w:pStyle w:val="ListParagraph"/>
              <w:numPr>
                <w:ilvl w:val="0"/>
                <w:numId w:val="2"/>
              </w:numPr>
              <w:spacing w:after="30" w:before="30"/>
            </w:pPr>
            <w:r>
              <w:rPr>
                <w:rFonts w:ascii="Arial" w:cs="Arial" w:eastAsia="Arial" w:hAnsi="Arial"/>
                <w:color w:val="2A2A2A"/>
                <w:sz w:val="20"/>
                <w:szCs w:val="20"/>
              </w:rPr>
              <w:t xml:space="preserve">Achieve at least 50 real ticket registrations across those events</w:t>
            </w:r>
          </w:p>
          <w:p>
            <w:pPr>
              <w:pStyle w:val="ListParagraph"/>
              <w:numPr>
                <w:ilvl w:val="0"/>
                <w:numId w:val="2"/>
              </w:numPr>
              <w:spacing w:after="30" w:before="30"/>
            </w:pPr>
            <w:r>
              <w:rPr>
                <w:rFonts w:ascii="Arial" w:cs="Arial" w:eastAsia="Arial" w:hAnsi="Arial"/>
                <w:color w:val="2A2A2A"/>
                <w:sz w:val="20"/>
                <w:szCs w:val="20"/>
              </w:rPr>
              <w:t xml:space="preserve">Interview every organiser and at least 20 attendees</w:t>
            </w:r>
          </w:p>
          <w:p>
            <w:pPr>
              <w:pStyle w:val="ListParagraph"/>
              <w:numPr>
                <w:ilvl w:val="0"/>
                <w:numId w:val="2"/>
              </w:numPr>
              <w:spacing w:after="30" w:before="30"/>
            </w:pPr>
            <w:r>
              <w:rPr>
                <w:rFonts w:ascii="Arial" w:cs="Arial" w:eastAsia="Arial" w:hAnsi="Arial"/>
                <w:color w:val="2A2A2A"/>
                <w:sz w:val="20"/>
                <w:szCs w:val="20"/>
              </w:rPr>
              <w:t xml:space="preserve">Identify the single biggest drop-off point in both flows</w:t>
            </w:r>
          </w:p>
          <w:p>
            <w:pPr>
              <w:pStyle w:val="ListParagraph"/>
              <w:numPr>
                <w:ilvl w:val="0"/>
                <w:numId w:val="2"/>
              </w:numPr>
              <w:spacing w:after="30" w:before="30"/>
            </w:pPr>
            <w:r>
              <w:rPr>
                <w:rFonts w:ascii="Arial" w:cs="Arial" w:eastAsia="Arial" w:hAnsi="Arial"/>
                <w:color w:val="2A2A2A"/>
                <w:sz w:val="20"/>
                <w:szCs w:val="20"/>
              </w:rPr>
              <w:t xml:space="preserve">Fix that drop-off point before adding any new features</w:t>
            </w:r>
          </w:p>
          <w:p>
            <w:pPr>
              <w:pStyle w:val="ListParagraph"/>
              <w:numPr>
                <w:ilvl w:val="0"/>
                <w:numId w:val="2"/>
              </w:numPr>
              <w:spacing w:after="30" w:before="30"/>
            </w:pPr>
            <w:r>
              <w:rPr>
                <w:rFonts w:ascii="Arial" w:cs="Arial" w:eastAsia="Arial" w:hAnsi="Arial"/>
                <w:color w:val="2A2A2A"/>
                <w:sz w:val="20"/>
                <w:szCs w:val="20"/>
              </w:rPr>
              <w:t xml:space="preserve">Gate: can you describe in one sentence why organisers prefer Toka to WhatsApp forwarding?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F6B0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02</w:t>
            </w:r>
          </w:p>
          <w:p>
            <w:pPr>
              <w:jc w:val="center"/>
            </w:pPr>
            <w:r>
              <w:rPr>
                <w:rFonts w:ascii="Arial" w:cs="Arial" w:eastAsia="Arial" w:hAnsi="Arial"/>
                <w:color w:val="FFD4A8"/>
                <w:sz w:val="16"/>
                <w:szCs w:val="16"/>
              </w:rPr>
              <w:t xml:space="preserve">Month 3 — Month 9</w:t>
            </w:r>
          </w:p>
        </w:tc>
        <w:tc>
          <w:tcPr>
            <w:tcW w:type="dxa" w:w="7560"/>
            <w:tcBorders>
              <w:top w:val="single" w:color="E0DDD6" w:sz="1"/>
              <w:left w:val="none" w:color="FFFFFF" w:sz="0"/>
              <w:bottom w:val="single" w:color="E0DDD6" w:sz="1"/>
              <w:right w:val="single" w:color="E0DDD6" w:sz="1"/>
            </w:tcBorders>
            <w:shd w:fill="FFFFFF" w:val="clear"/>
            <w:tcMar>
              <w:top w:type="dxa" w:w="120"/>
              <w:left w:type="dxa" w:w="200"/>
              <w:bottom w:type="dxa" w:w="120"/>
              <w:right w:type="dxa" w:w="160"/>
            </w:tcMar>
          </w:tcPr>
          <w:p>
            <w:r>
              <w:rPr>
                <w:rFonts w:ascii="Arial" w:cs="Arial" w:eastAsia="Arial" w:hAnsi="Arial"/>
                <w:b/>
                <w:bCs/>
                <w:color w:val="0F0F1A"/>
                <w:sz w:val="24"/>
                <w:szCs w:val="24"/>
              </w:rPr>
              <w:t xml:space="preserve">Build the habit</w:t>
            </w:r>
          </w:p>
          <w:p>
            <w:pPr>
              <w:pStyle w:val="ListParagraph"/>
              <w:numPr>
                <w:ilvl w:val="0"/>
                <w:numId w:val="2"/>
              </w:numPr>
              <w:spacing w:after="30" w:before="30"/>
            </w:pPr>
            <w:r>
              <w:rPr>
                <w:rFonts w:ascii="Arial" w:cs="Arial" w:eastAsia="Arial" w:hAnsi="Arial"/>
                <w:color w:val="2A2A2A"/>
                <w:sz w:val="20"/>
                <w:szCs w:val="20"/>
              </w:rPr>
              <w:t xml:space="preserve">Grow to 50 active organiser accounts with at least 2 events published each</w:t>
            </w:r>
          </w:p>
          <w:p>
            <w:pPr>
              <w:pStyle w:val="ListParagraph"/>
              <w:numPr>
                <w:ilvl w:val="0"/>
                <w:numId w:val="2"/>
              </w:numPr>
              <w:spacing w:after="30" w:before="30"/>
            </w:pPr>
            <w:r>
              <w:rPr>
                <w:rFonts w:ascii="Arial" w:cs="Arial" w:eastAsia="Arial" w:hAnsi="Arial"/>
                <w:color w:val="2A2A2A"/>
                <w:sz w:val="20"/>
                <w:szCs w:val="20"/>
              </w:rPr>
              <w:t xml:space="preserve">Launch the referral dashboard and measure viral coefficient</w:t>
            </w:r>
          </w:p>
          <w:p>
            <w:pPr>
              <w:pStyle w:val="ListParagraph"/>
              <w:numPr>
                <w:ilvl w:val="0"/>
                <w:numId w:val="2"/>
              </w:numPr>
              <w:spacing w:after="30" w:before="30"/>
            </w:pPr>
            <w:r>
              <w:rPr>
                <w:rFonts w:ascii="Arial" w:cs="Arial" w:eastAsia="Arial" w:hAnsi="Arial"/>
                <w:color w:val="2A2A2A"/>
                <w:sz w:val="20"/>
                <w:szCs w:val="20"/>
              </w:rPr>
              <w:t xml:space="preserve">Add verified organiser badges through a simple manual process</w:t>
            </w:r>
          </w:p>
          <w:p>
            <w:pPr>
              <w:pStyle w:val="ListParagraph"/>
              <w:numPr>
                <w:ilvl w:val="0"/>
                <w:numId w:val="2"/>
              </w:numPr>
              <w:spacing w:after="30" w:before="30"/>
            </w:pPr>
            <w:r>
              <w:rPr>
                <w:rFonts w:ascii="Arial" w:cs="Arial" w:eastAsia="Arial" w:hAnsi="Arial"/>
                <w:color w:val="2A2A2A"/>
                <w:sz w:val="20"/>
                <w:szCs w:val="20"/>
              </w:rPr>
              <w:t xml:space="preserve">Launch curated editorial shelves on the home screen</w:t>
            </w:r>
          </w:p>
          <w:p>
            <w:pPr>
              <w:pStyle w:val="ListParagraph"/>
              <w:numPr>
                <w:ilvl w:val="0"/>
                <w:numId w:val="2"/>
              </w:numPr>
              <w:spacing w:after="30" w:before="30"/>
            </w:pPr>
            <w:r>
              <w:rPr>
                <w:rFonts w:ascii="Arial" w:cs="Arial" w:eastAsia="Arial" w:hAnsi="Arial"/>
                <w:color w:val="2A2A2A"/>
                <w:sz w:val="20"/>
                <w:szCs w:val="20"/>
              </w:rPr>
              <w:t xml:space="preserve">Begin capturing structured behavioural data for future ML work</w:t>
            </w:r>
          </w:p>
          <w:p>
            <w:pPr>
              <w:pStyle w:val="ListParagraph"/>
              <w:numPr>
                <w:ilvl w:val="0"/>
                <w:numId w:val="2"/>
              </w:numPr>
              <w:spacing w:after="30" w:before="30"/>
            </w:pPr>
            <w:r>
              <w:rPr>
                <w:rFonts w:ascii="Arial" w:cs="Arial" w:eastAsia="Arial" w:hAnsi="Arial"/>
                <w:color w:val="2A2A2A"/>
                <w:sz w:val="20"/>
                <w:szCs w:val="20"/>
              </w:rPr>
              <w:t xml:space="preserve">Gate: do users return to the app at least once a week without a push notification?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F6B0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03</w:t>
            </w:r>
          </w:p>
          <w:p>
            <w:pPr>
              <w:jc w:val="center"/>
            </w:pPr>
            <w:r>
              <w:rPr>
                <w:rFonts w:ascii="Arial" w:cs="Arial" w:eastAsia="Arial" w:hAnsi="Arial"/>
                <w:color w:val="FFD4A8"/>
                <w:sz w:val="16"/>
                <w:szCs w:val="16"/>
              </w:rPr>
              <w:t xml:space="preserve">Month 9 — Month 18</w:t>
            </w:r>
          </w:p>
        </w:tc>
        <w:tc>
          <w:tcPr>
            <w:tcW w:type="dxa" w:w="7560"/>
            <w:tcBorders>
              <w:top w:val="single" w:color="E0DDD6" w:sz="1"/>
              <w:left w:val="none" w:color="FFFFFF" w:sz="0"/>
              <w:bottom w:val="single" w:color="E0DDD6" w:sz="1"/>
              <w:right w:val="single" w:color="E0DDD6" w:sz="1"/>
            </w:tcBorders>
            <w:shd w:fill="FFFFFF" w:val="clear"/>
            <w:tcMar>
              <w:top w:type="dxa" w:w="120"/>
              <w:left w:type="dxa" w:w="200"/>
              <w:bottom w:type="dxa" w:w="120"/>
              <w:right w:type="dxa" w:w="160"/>
            </w:tcMar>
          </w:tcPr>
          <w:p>
            <w:r>
              <w:rPr>
                <w:rFonts w:ascii="Arial" w:cs="Arial" w:eastAsia="Arial" w:hAnsi="Arial"/>
                <w:b/>
                <w:bCs/>
                <w:color w:val="0F0F1A"/>
                <w:sz w:val="24"/>
                <w:szCs w:val="24"/>
              </w:rPr>
              <w:t xml:space="preserve">Introduce money</w:t>
            </w:r>
          </w:p>
          <w:p>
            <w:pPr>
              <w:pStyle w:val="ListParagraph"/>
              <w:numPr>
                <w:ilvl w:val="0"/>
                <w:numId w:val="2"/>
              </w:numPr>
              <w:spacing w:after="30" w:before="30"/>
            </w:pPr>
            <w:r>
              <w:rPr>
                <w:rFonts w:ascii="Arial" w:cs="Arial" w:eastAsia="Arial" w:hAnsi="Arial"/>
                <w:color w:val="2A2A2A"/>
                <w:sz w:val="20"/>
                <w:szCs w:val="20"/>
              </w:rPr>
              <w:t xml:space="preserve">Integrate a real payment provider (MTN Mobile Money, Airtel Money, card)</w:t>
            </w:r>
          </w:p>
          <w:p>
            <w:pPr>
              <w:pStyle w:val="ListParagraph"/>
              <w:numPr>
                <w:ilvl w:val="0"/>
                <w:numId w:val="2"/>
              </w:numPr>
              <w:spacing w:after="30" w:before="30"/>
            </w:pPr>
            <w:r>
              <w:rPr>
                <w:rFonts w:ascii="Arial" w:cs="Arial" w:eastAsia="Arial" w:hAnsi="Arial"/>
                <w:color w:val="2A2A2A"/>
                <w:sz w:val="20"/>
                <w:szCs w:val="20"/>
              </w:rPr>
              <w:t xml:space="preserve">Launch paid ticket support with transparent fee structure</w:t>
            </w:r>
          </w:p>
          <w:p>
            <w:pPr>
              <w:pStyle w:val="ListParagraph"/>
              <w:numPr>
                <w:ilvl w:val="0"/>
                <w:numId w:val="2"/>
              </w:numPr>
              <w:spacing w:after="30" w:before="30"/>
            </w:pPr>
            <w:r>
              <w:rPr>
                <w:rFonts w:ascii="Arial" w:cs="Arial" w:eastAsia="Arial" w:hAnsi="Arial"/>
                <w:color w:val="2A2A2A"/>
                <w:sz w:val="20"/>
                <w:szCs w:val="20"/>
              </w:rPr>
              <w:t xml:space="preserve">Build organiser payout flow with basic reconciliation</w:t>
            </w:r>
          </w:p>
          <w:p>
            <w:pPr>
              <w:pStyle w:val="ListParagraph"/>
              <w:numPr>
                <w:ilvl w:val="0"/>
                <w:numId w:val="2"/>
              </w:numPr>
              <w:spacing w:after="30" w:before="30"/>
            </w:pPr>
            <w:r>
              <w:rPr>
                <w:rFonts w:ascii="Arial" w:cs="Arial" w:eastAsia="Arial" w:hAnsi="Arial"/>
                <w:color w:val="2A2A2A"/>
                <w:sz w:val="20"/>
                <w:szCs w:val="20"/>
              </w:rPr>
              <w:t xml:space="preserve">Release organiser dashboard with conversion metrics</w:t>
            </w:r>
          </w:p>
          <w:p>
            <w:pPr>
              <w:pStyle w:val="ListParagraph"/>
              <w:numPr>
                <w:ilvl w:val="0"/>
                <w:numId w:val="2"/>
              </w:numPr>
              <w:spacing w:after="30" w:before="30"/>
            </w:pPr>
            <w:r>
              <w:rPr>
                <w:rFonts w:ascii="Arial" w:cs="Arial" w:eastAsia="Arial" w:hAnsi="Arial"/>
                <w:color w:val="2A2A2A"/>
                <w:sz w:val="20"/>
                <w:szCs w:val="20"/>
              </w:rPr>
              <w:t xml:space="preserve">Launch personalised event ranking as first ML feature</w:t>
            </w:r>
          </w:p>
          <w:p>
            <w:pPr>
              <w:pStyle w:val="ListParagraph"/>
              <w:numPr>
                <w:ilvl w:val="0"/>
                <w:numId w:val="2"/>
              </w:numPr>
              <w:spacing w:after="30" w:before="30"/>
            </w:pPr>
            <w:r>
              <w:rPr>
                <w:rFonts w:ascii="Arial" w:cs="Arial" w:eastAsia="Arial" w:hAnsi="Arial"/>
                <w:color w:val="2A2A2A"/>
                <w:sz w:val="20"/>
                <w:szCs w:val="20"/>
              </w:rPr>
              <w:t xml:space="preserve">Gate: are at least 20 organisers generating real revenue through the platform?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F6B0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04</w:t>
            </w:r>
          </w:p>
          <w:p>
            <w:pPr>
              <w:jc w:val="center"/>
            </w:pPr>
            <w:r>
              <w:rPr>
                <w:rFonts w:ascii="Arial" w:cs="Arial" w:eastAsia="Arial" w:hAnsi="Arial"/>
                <w:color w:val="FFD4A8"/>
                <w:sz w:val="16"/>
                <w:szCs w:val="16"/>
              </w:rPr>
              <w:t xml:space="preserve">Month 18 — Month 36</w:t>
            </w:r>
          </w:p>
        </w:tc>
        <w:tc>
          <w:tcPr>
            <w:tcW w:type="dxa" w:w="7560"/>
            <w:tcBorders>
              <w:top w:val="single" w:color="E0DDD6" w:sz="1"/>
              <w:left w:val="none" w:color="FFFFFF" w:sz="0"/>
              <w:bottom w:val="single" w:color="E0DDD6" w:sz="1"/>
              <w:right w:val="single" w:color="E0DDD6" w:sz="1"/>
            </w:tcBorders>
            <w:shd w:fill="FFFFFF" w:val="clear"/>
            <w:tcMar>
              <w:top w:type="dxa" w:w="120"/>
              <w:left w:type="dxa" w:w="200"/>
              <w:bottom w:type="dxa" w:w="120"/>
              <w:right w:type="dxa" w:w="160"/>
            </w:tcMar>
          </w:tcPr>
          <w:p>
            <w:r>
              <w:rPr>
                <w:rFonts w:ascii="Arial" w:cs="Arial" w:eastAsia="Arial" w:hAnsi="Arial"/>
                <w:b/>
                <w:bCs/>
                <w:color w:val="0F0F1A"/>
                <w:sz w:val="24"/>
                <w:szCs w:val="24"/>
              </w:rPr>
              <w:t xml:space="preserve">Become infrastructure</w:t>
            </w:r>
          </w:p>
          <w:p>
            <w:pPr>
              <w:pStyle w:val="ListParagraph"/>
              <w:numPr>
                <w:ilvl w:val="0"/>
                <w:numId w:val="2"/>
              </w:numPr>
              <w:spacing w:after="30" w:before="30"/>
            </w:pPr>
            <w:r>
              <w:rPr>
                <w:rFonts w:ascii="Arial" w:cs="Arial" w:eastAsia="Arial" w:hAnsi="Arial"/>
                <w:color w:val="2A2A2A"/>
                <w:sz w:val="20"/>
                <w:szCs w:val="20"/>
              </w:rPr>
              <w:t xml:space="preserve">Launch demand forecasting for organisers as a premium feature</w:t>
            </w:r>
          </w:p>
          <w:p>
            <w:pPr>
              <w:pStyle w:val="ListParagraph"/>
              <w:numPr>
                <w:ilvl w:val="0"/>
                <w:numId w:val="2"/>
              </w:numPr>
              <w:spacing w:after="30" w:before="30"/>
            </w:pPr>
            <w:r>
              <w:rPr>
                <w:rFonts w:ascii="Arial" w:cs="Arial" w:eastAsia="Arial" w:hAnsi="Arial"/>
                <w:color w:val="2A2A2A"/>
                <w:sz w:val="20"/>
                <w:szCs w:val="20"/>
              </w:rPr>
              <w:t xml:space="preserve">Expand to a second city with a dedicated local organiser community</w:t>
            </w:r>
          </w:p>
          <w:p>
            <w:pPr>
              <w:pStyle w:val="ListParagraph"/>
              <w:numPr>
                <w:ilvl w:val="0"/>
                <w:numId w:val="2"/>
              </w:numPr>
              <w:spacing w:after="30" w:before="30"/>
            </w:pPr>
            <w:r>
              <w:rPr>
                <w:rFonts w:ascii="Arial" w:cs="Arial" w:eastAsia="Arial" w:hAnsi="Arial"/>
                <w:color w:val="2A2A2A"/>
                <w:sz w:val="20"/>
                <w:szCs w:val="20"/>
              </w:rPr>
              <w:t xml:space="preserve">Build API access for event venues to publish directly</w:t>
            </w:r>
          </w:p>
          <w:p>
            <w:pPr>
              <w:pStyle w:val="ListParagraph"/>
              <w:numPr>
                <w:ilvl w:val="0"/>
                <w:numId w:val="2"/>
              </w:numPr>
              <w:spacing w:after="30" w:before="30"/>
            </w:pPr>
            <w:r>
              <w:rPr>
                <w:rFonts w:ascii="Arial" w:cs="Arial" w:eastAsia="Arial" w:hAnsi="Arial"/>
                <w:color w:val="2A2A2A"/>
                <w:sz w:val="20"/>
                <w:szCs w:val="20"/>
              </w:rPr>
              <w:t xml:space="preserve">Introduce organiser tiers with platform-level promotion benefits</w:t>
            </w:r>
          </w:p>
          <w:p>
            <w:pPr>
              <w:pStyle w:val="ListParagraph"/>
              <w:numPr>
                <w:ilvl w:val="0"/>
                <w:numId w:val="2"/>
              </w:numPr>
              <w:spacing w:after="30" w:before="30"/>
            </w:pPr>
            <w:r>
              <w:rPr>
                <w:rFonts w:ascii="Arial" w:cs="Arial" w:eastAsia="Arial" w:hAnsi="Arial"/>
                <w:color w:val="2A2A2A"/>
                <w:sz w:val="20"/>
                <w:szCs w:val="20"/>
              </w:rPr>
              <w:t xml:space="preserve">Launch event quality scoring ML model for content trust</w:t>
            </w:r>
          </w:p>
          <w:p>
            <w:pPr>
              <w:pStyle w:val="ListParagraph"/>
              <w:numPr>
                <w:ilvl w:val="0"/>
                <w:numId w:val="2"/>
              </w:numPr>
              <w:spacing w:after="30" w:before="30"/>
            </w:pPr>
            <w:r>
              <w:rPr>
                <w:rFonts w:ascii="Arial" w:cs="Arial" w:eastAsia="Arial" w:hAnsi="Arial"/>
                <w:color w:val="2A2A2A"/>
                <w:sz w:val="20"/>
                <w:szCs w:val="20"/>
              </w:rPr>
              <w:t xml:space="preserve">Gate: do people in two or more cities say ‘use Toka’ reflexively when asked about events?</w:t>
            </w:r>
          </w:p>
        </w:tc>
      </w:tr>
    </w:tbl>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COMPANY FORMATION</w:t>
      </w:r>
    </w:p>
    <w:p>
      <w:pPr>
        <w:pStyle w:val="Heading1"/>
        <w:spacing w:after="160" w:before="120"/>
      </w:pPr>
      <w:r>
        <w:rPr>
          <w:rFonts w:ascii="Arial" w:cs="Arial" w:eastAsia="Arial" w:hAnsi="Arial"/>
          <w:b/>
          <w:bCs/>
          <w:color w:val="0F0F1A"/>
          <w:sz w:val="40"/>
          <w:szCs w:val="40"/>
        </w:rPr>
        <w:t xml:space="preserve">When and how to make it official</w:t>
      </w:r>
    </w:p>
    <w:p>
      <w:pPr>
        <w:spacing w:after="80" w:before="60"/>
        <w:jc w:val="both"/>
      </w:pPr>
      <w:r>
        <w:rPr>
          <w:rFonts w:ascii="Arial" w:cs="Arial" w:eastAsia="Arial" w:hAnsi="Arial"/>
          <w:color w:val="2A2A2A"/>
          <w:sz w:val="22"/>
          <w:szCs w:val="22"/>
        </w:rPr>
        <w:t xml:space="preserve">This is one of the most commonly misunderstood decisions in early-stage product work. Registering a company does not make you a startup. Having paying customers makes you a startup. The company registration is administrative infrastructure — it should follow commercial reality, not lead it.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Do not incorporate yet if:</w:t>
      </w:r>
    </w:p>
    <w:p>
      <w:pPr>
        <w:pStyle w:val="ListParagraph"/>
        <w:numPr>
          <w:ilvl w:val="0"/>
          <w:numId w:val="2"/>
        </w:numPr>
        <w:spacing w:after="60" w:before="40"/>
      </w:pPr>
      <w:r>
        <w:rPr>
          <w:rFonts w:ascii="Arial" w:cs="Arial" w:eastAsia="Arial" w:hAnsi="Arial"/>
          <w:color w:val="2A2A2A"/>
          <w:sz w:val="22"/>
          <w:szCs w:val="22"/>
        </w:rPr>
        <w:t xml:space="preserve">You have no paying customers or no clear path to revenue in the next 90 days.</w:t>
      </w:r>
    </w:p>
    <w:p>
      <w:pPr>
        <w:pStyle w:val="ListParagraph"/>
        <w:numPr>
          <w:ilvl w:val="0"/>
          <w:numId w:val="2"/>
        </w:numPr>
        <w:spacing w:after="60" w:before="40"/>
      </w:pPr>
      <w:r>
        <w:rPr>
          <w:rFonts w:ascii="Arial" w:cs="Arial" w:eastAsia="Arial" w:hAnsi="Arial"/>
          <w:color w:val="2A2A2A"/>
          <w:sz w:val="22"/>
          <w:szCs w:val="22"/>
        </w:rPr>
        <w:t xml:space="preserve">You have no co-founder or team member who needs formal equity clarity.</w:t>
      </w:r>
    </w:p>
    <w:p>
      <w:pPr>
        <w:pStyle w:val="ListParagraph"/>
        <w:numPr>
          <w:ilvl w:val="0"/>
          <w:numId w:val="2"/>
        </w:numPr>
        <w:spacing w:after="60" w:before="40"/>
      </w:pPr>
      <w:r>
        <w:rPr>
          <w:rFonts w:ascii="Arial" w:cs="Arial" w:eastAsia="Arial" w:hAnsi="Arial"/>
          <w:color w:val="2A2A2A"/>
          <w:sz w:val="22"/>
          <w:szCs w:val="22"/>
        </w:rPr>
        <w:t xml:space="preserve">You are not raising external funding in the next 6 months.</w:t>
      </w:r>
    </w:p>
    <w:p>
      <w:pPr>
        <w:pStyle w:val="ListParagraph"/>
        <w:numPr>
          <w:ilvl w:val="0"/>
          <w:numId w:val="2"/>
        </w:numPr>
        <w:spacing w:after="60" w:before="40"/>
      </w:pPr>
      <w:r>
        <w:rPr>
          <w:rFonts w:ascii="Arial" w:cs="Arial" w:eastAsia="Arial" w:hAnsi="Arial"/>
          <w:color w:val="2A2A2A"/>
          <w:sz w:val="22"/>
          <w:szCs w:val="22"/>
        </w:rPr>
        <w:t xml:space="preserve">You have not yet validated that organisers will pay for any feature.</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Incorporate when any of these become true:</w:t>
      </w:r>
    </w:p>
    <w:p>
      <w:pPr>
        <w:pStyle w:val="ListParagraph"/>
        <w:numPr>
          <w:ilvl w:val="0"/>
          <w:numId w:val="2"/>
        </w:numPr>
        <w:spacing w:after="60" w:before="40"/>
      </w:pPr>
      <w:r>
        <w:rPr>
          <w:rFonts w:ascii="Arial" w:cs="Arial" w:eastAsia="Arial" w:hAnsi="Arial"/>
          <w:color w:val="2A2A2A"/>
          <w:sz w:val="22"/>
          <w:szCs w:val="22"/>
        </w:rPr>
        <w:t xml:space="preserve">A paying customer asks for an invoice from a registered entity.</w:t>
      </w:r>
    </w:p>
    <w:p>
      <w:pPr>
        <w:pStyle w:val="ListParagraph"/>
        <w:numPr>
          <w:ilvl w:val="0"/>
          <w:numId w:val="2"/>
        </w:numPr>
        <w:spacing w:after="60" w:before="40"/>
      </w:pPr>
      <w:r>
        <w:rPr>
          <w:rFonts w:ascii="Arial" w:cs="Arial" w:eastAsia="Arial" w:hAnsi="Arial"/>
          <w:color w:val="2A2A2A"/>
          <w:sz w:val="22"/>
          <w:szCs w:val="22"/>
        </w:rPr>
        <w:t xml:space="preserve">You are ready to apply for a startup accelerator or grant program that requires registration.</w:t>
      </w:r>
    </w:p>
    <w:p>
      <w:pPr>
        <w:pStyle w:val="ListParagraph"/>
        <w:numPr>
          <w:ilvl w:val="0"/>
          <w:numId w:val="2"/>
        </w:numPr>
        <w:spacing w:after="60" w:before="40"/>
      </w:pPr>
      <w:r>
        <w:rPr>
          <w:rFonts w:ascii="Arial" w:cs="Arial" w:eastAsia="Arial" w:hAnsi="Arial"/>
          <w:color w:val="2A2A2A"/>
          <w:sz w:val="22"/>
          <w:szCs w:val="22"/>
        </w:rPr>
        <w:t xml:space="preserve">You bring in a co-founder and need to formalise equity splits before resentment builds.</w:t>
      </w:r>
    </w:p>
    <w:p>
      <w:pPr>
        <w:pStyle w:val="ListParagraph"/>
        <w:numPr>
          <w:ilvl w:val="0"/>
          <w:numId w:val="2"/>
        </w:numPr>
        <w:spacing w:after="60" w:before="40"/>
      </w:pPr>
      <w:r>
        <w:rPr>
          <w:rFonts w:ascii="Arial" w:cs="Arial" w:eastAsia="Arial" w:hAnsi="Arial"/>
          <w:color w:val="2A2A2A"/>
          <w:sz w:val="22"/>
          <w:szCs w:val="22"/>
        </w:rPr>
        <w:t xml:space="preserve">You are handling real money from ticket sales and need a bank account in the company name.</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FF6B00" w:sz="12"/>
              <w:bottom w:val="none" w:color="FFFFFF" w:sz="0"/>
              <w:right w:val="none" w:color="FFFFFF" w:sz="0"/>
            </w:tcBorders>
            <w:shd w:fill="F5F5F2" w:val="clear"/>
          </w:tcPr>
          <w:p>
            <w:r>
              <w:t xml:space="preserve"/>
            </w:r>
          </w:p>
        </w:tc>
        <w:tc>
          <w:tcPr>
            <w:tcW w:type="dxa" w:w="9160"/>
            <w:tcBorders>
              <w:top w:val="none" w:color="FFFFFF" w:sz="0"/>
              <w:left w:val="none" w:color="FFFFFF" w:sz="0"/>
              <w:bottom w:val="none" w:color="FFFFFF" w:sz="0"/>
              <w:right w:val="none" w:color="FFFFFF" w:sz="0"/>
            </w:tcBorders>
            <w:shd w:fill="F5F5F2" w:val="clear"/>
            <w:tcMar>
              <w:top w:type="dxa" w:w="120"/>
              <w:left w:type="dxa" w:w="180"/>
              <w:bottom w:type="dxa" w:w="120"/>
              <w:right w:type="dxa" w:w="180"/>
            </w:tcMar>
          </w:tcPr>
          <w:p>
            <w:r>
              <w:rPr>
                <w:rFonts w:ascii="Arial" w:cs="Arial" w:eastAsia="Arial" w:hAnsi="Arial"/>
                <w:i/>
                <w:iCs/>
                <w:color w:val="2A2A2A"/>
                <w:sz w:val="21"/>
                <w:szCs w:val="21"/>
              </w:rPr>
              <w:t xml:space="preserve">The practical signal: incorporate when not being incorporated creates a specific, concrete problem. Not before.</w:t>
            </w:r>
          </w:p>
        </w:tc>
      </w:tr>
    </w:tbl>
    <w:p>
      <w:pPr>
        <w:spacing w:after="0" w:before="60"/>
      </w:pPr>
      <w:r>
        <w:t xml:space="preserve"/>
      </w:r>
    </w:p>
    <w:p>
      <w:pPr>
        <w:pStyle w:val="Heading2"/>
        <w:spacing w:after="100" w:before="280"/>
      </w:pPr>
      <w:r>
        <w:rPr>
          <w:rFonts w:ascii="Arial" w:cs="Arial" w:eastAsia="Arial" w:hAnsi="Arial"/>
          <w:b/>
          <w:bCs/>
          <w:color w:val="0F0F1A"/>
          <w:sz w:val="28"/>
          <w:szCs w:val="28"/>
        </w:rPr>
        <w:t xml:space="preserve">When you do incorporate:</w:t>
      </w:r>
    </w:p>
    <w:p>
      <w:pPr>
        <w:spacing w:after="80" w:before="60"/>
        <w:jc w:val="both"/>
      </w:pPr>
      <w:r>
        <w:rPr>
          <w:rFonts w:ascii="Arial" w:cs="Arial" w:eastAsia="Arial" w:hAnsi="Arial"/>
          <w:color w:val="2A2A2A"/>
          <w:sz w:val="22"/>
          <w:szCs w:val="22"/>
        </w:rPr>
        <w:t xml:space="preserve">In Uganda, register as a Private Limited Company through the Uganda Registration Services Bureau. Budget approximately UGX 500,000–800,000 for the process including professional fees. Allocate equity carefully from day one — founder equity diluted by bad early decisions is one of the most common reasons promising startups fracture. If you have a co-founder, have a direct conversation about roles, decision rights, and vesting before you file anything.</w:t>
      </w:r>
    </w:p>
    <w:p>
      <w:pPr>
        <w:spacing w:after="0" w:before="40"/>
      </w:pPr>
      <w:r>
        <w:t xml:space="preserve"/>
      </w:r>
    </w:p>
    <w:p>
      <w:pPr>
        <w:spacing w:after="80" w:before="60"/>
        <w:jc w:val="both"/>
      </w:pPr>
      <w:r>
        <w:rPr>
          <w:rFonts w:ascii="Arial" w:cs="Arial" w:eastAsia="Arial" w:hAnsi="Arial"/>
          <w:color w:val="2A2A2A"/>
          <w:sz w:val="22"/>
          <w:szCs w:val="22"/>
        </w:rPr>
        <w:t xml:space="preserve">Simultaneously, explore these programs which accept pre-incorporation applications and can accelerate your path to formalisation with support:</w:t>
      </w:r>
    </w:p>
    <w:p>
      <w:pPr>
        <w:spacing w:after="0" w:before="40"/>
      </w:pPr>
      <w:r>
        <w:t xml:space="preserve"/>
      </w:r>
    </w:p>
    <w:p>
      <w:pPr>
        <w:pStyle w:val="ListParagraph"/>
        <w:numPr>
          <w:ilvl w:val="0"/>
          <w:numId w:val="2"/>
        </w:numPr>
        <w:spacing w:after="60" w:before="40"/>
      </w:pPr>
      <w:r>
        <w:rPr>
          <w:rFonts w:ascii="Arial" w:cs="Arial" w:eastAsia="Arial" w:hAnsi="Arial"/>
          <w:color w:val="2A2A2A"/>
          <w:sz w:val="22"/>
          <w:szCs w:val="22"/>
        </w:rPr>
        <w:t xml:space="preserve">Founders Factory Africa — active in East Africa, strong on product companies</w:t>
      </w:r>
    </w:p>
    <w:p>
      <w:pPr>
        <w:pStyle w:val="ListParagraph"/>
        <w:numPr>
          <w:ilvl w:val="0"/>
          <w:numId w:val="2"/>
        </w:numPr>
        <w:spacing w:after="60" w:before="40"/>
      </w:pPr>
      <w:r>
        <w:rPr>
          <w:rFonts w:ascii="Arial" w:cs="Arial" w:eastAsia="Arial" w:hAnsi="Arial"/>
          <w:color w:val="2A2A2A"/>
          <w:sz w:val="22"/>
          <w:szCs w:val="22"/>
        </w:rPr>
        <w:t xml:space="preserve">Google for Startups Africa — equity-free support and cloud credits</w:t>
      </w:r>
    </w:p>
    <w:p>
      <w:pPr>
        <w:pStyle w:val="ListParagraph"/>
        <w:numPr>
          <w:ilvl w:val="0"/>
          <w:numId w:val="2"/>
        </w:numPr>
        <w:spacing w:after="60" w:before="40"/>
      </w:pPr>
      <w:r>
        <w:rPr>
          <w:rFonts w:ascii="Arial" w:cs="Arial" w:eastAsia="Arial" w:hAnsi="Arial"/>
          <w:color w:val="2A2A2A"/>
          <w:sz w:val="22"/>
          <w:szCs w:val="22"/>
        </w:rPr>
        <w:t xml:space="preserve">Tony Elumelu Foundation Entrepreneurship Program — capital + mentorship</w:t>
      </w:r>
    </w:p>
    <w:p>
      <w:pPr>
        <w:pStyle w:val="ListParagraph"/>
        <w:numPr>
          <w:ilvl w:val="0"/>
          <w:numId w:val="2"/>
        </w:numPr>
        <w:spacing w:after="60" w:before="40"/>
      </w:pPr>
      <w:r>
        <w:rPr>
          <w:rFonts w:ascii="Arial" w:cs="Arial" w:eastAsia="Arial" w:hAnsi="Arial"/>
          <w:color w:val="2A2A2A"/>
          <w:sz w:val="22"/>
          <w:szCs w:val="22"/>
        </w:rPr>
        <w:t xml:space="preserve">Msingi East Africa — focused on Ugandan founders</w:t>
      </w:r>
    </w:p>
    <w:p>
      <w:pPr>
        <w:pStyle w:val="ListParagraph"/>
        <w:numPr>
          <w:ilvl w:val="0"/>
          <w:numId w:val="2"/>
        </w:numPr>
        <w:spacing w:after="60" w:before="40"/>
      </w:pPr>
      <w:r>
        <w:rPr>
          <w:rFonts w:ascii="Arial" w:cs="Arial" w:eastAsia="Arial" w:hAnsi="Arial"/>
          <w:color w:val="2A2A2A"/>
          <w:sz w:val="22"/>
          <w:szCs w:val="22"/>
        </w:rPr>
        <w:t xml:space="preserve">Presidential Initiative on Skilling and Entrepreneurship — local government support</w:t>
      </w:r>
    </w:p>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BUSINESS MODEL</w:t>
      </w:r>
    </w:p>
    <w:p>
      <w:pPr>
        <w:pStyle w:val="Heading1"/>
        <w:spacing w:after="160" w:before="120"/>
      </w:pPr>
      <w:r>
        <w:rPr>
          <w:rFonts w:ascii="Arial" w:cs="Arial" w:eastAsia="Arial" w:hAnsi="Arial"/>
          <w:b/>
          <w:bCs/>
          <w:color w:val="0F0F1A"/>
          <w:sz w:val="40"/>
          <w:szCs w:val="40"/>
        </w:rPr>
        <w:t xml:space="preserve">How Toka makes money</w:t>
      </w:r>
    </w:p>
    <w:p>
      <w:pPr>
        <w:spacing w:after="80" w:before="60"/>
        <w:jc w:val="both"/>
      </w:pPr>
      <w:r>
        <w:rPr>
          <w:rFonts w:ascii="Arial" w:cs="Arial" w:eastAsia="Arial" w:hAnsi="Arial"/>
          <w:color w:val="2A2A2A"/>
          <w:sz w:val="22"/>
          <w:szCs w:val="22"/>
        </w:rPr>
        <w:t xml:space="preserve">A product without a revenue model is a hobby. Here is the cleanest path from free to commercial for Toka, sequenced by what requires the least infrastructure to implement: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Revenue stream 1: Ticket transaction fee (Month 9+)</w:t>
      </w:r>
    </w:p>
    <w:p>
      <w:pPr>
        <w:spacing w:after="80" w:before="60"/>
        <w:jc w:val="both"/>
      </w:pPr>
      <w:r>
        <w:rPr>
          <w:rFonts w:ascii="Arial" w:cs="Arial" w:eastAsia="Arial" w:hAnsi="Arial"/>
          <w:color w:val="2A2A2A"/>
          <w:sz w:val="22"/>
          <w:szCs w:val="22"/>
        </w:rPr>
        <w:t xml:space="preserve">This is the natural first revenue source. When organisers charge attendees for tickets, Toka takes a small percentage of each transaction. The industry standard is 2–5% plus a small flat fee. Start at 3% with no flat fee to reduce price sensitivity. At 500 tickets per month averaging UGX 20,000 each, that is UGX 300,000 in revenue monthly. Small, but real — and it scales automatically with platform activity.</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Revenue stream 2: Promoted event placement (Month 12+)</w:t>
      </w:r>
    </w:p>
    <w:p>
      <w:pPr>
        <w:spacing w:after="80" w:before="60"/>
        <w:jc w:val="both"/>
      </w:pPr>
      <w:r>
        <w:rPr>
          <w:rFonts w:ascii="Arial" w:cs="Arial" w:eastAsia="Arial" w:hAnsi="Arial"/>
          <w:color w:val="2A2A2A"/>
          <w:sz w:val="22"/>
          <w:szCs w:val="22"/>
        </w:rPr>
        <w:t xml:space="preserve">Organisers with budget will pay for guaranteed visibility. A simple “Boost this event” feature that places their event at the top of relevant category searches for a flat weekly fee. Start at UGX 50,000 per week per event. This is understandable, predictable, and requires no new infrastructure beyond a promoted flag in the database and a simple payment flow.</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Revenue stream 3: Organiser Pro subscription (Month 15+)</w:t>
      </w:r>
    </w:p>
    <w:p>
      <w:pPr>
        <w:spacing w:after="80" w:before="60"/>
        <w:jc w:val="both"/>
      </w:pPr>
      <w:r>
        <w:rPr>
          <w:rFonts w:ascii="Arial" w:cs="Arial" w:eastAsia="Arial" w:hAnsi="Arial"/>
          <w:color w:val="2A2A2A"/>
          <w:sz w:val="22"/>
          <w:szCs w:val="22"/>
        </w:rPr>
        <w:t xml:space="preserve">A monthly subscription tier for serious organisers that includes: advanced analytics, custom event page branding, priority support, early access to new features, and — when ready — the attendance forecasting ML feature. Price at UGX 150,000–200,000 per month. This creates predictable recurring revenue and a direct commercial incentive to keep improving organiser tools.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DD6" w:sz="1"/>
              <w:left w:val="single" w:color="E0DDD6" w:sz="1"/>
              <w:bottom w:val="single" w:color="E0DDD6" w:sz="1"/>
              <w:right w:val="single" w:color="E0DDD6"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4680"/>
            <w:tcBorders>
              <w:top w:val="single" w:color="E0DDD6" w:sz="1"/>
              <w:left w:val="single" w:color="E0DDD6" w:sz="1"/>
              <w:bottom w:val="single" w:color="E0DDD6" w:sz="1"/>
              <w:right w:val="single" w:color="E0DDD6"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When to launch</w:t>
            </w:r>
          </w:p>
        </w:tc>
      </w:tr>
      <w:tr>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Ticket transaction fee (3%)</w:t>
            </w:r>
          </w:p>
        </w:tc>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Month 9 — when payment infrastructure is live</w:t>
            </w:r>
          </w:p>
        </w:tc>
      </w:tr>
      <w:tr>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b/>
                <w:bCs/>
                <w:color w:val="1A1A2E"/>
                <w:sz w:val="20"/>
                <w:szCs w:val="20"/>
              </w:rPr>
              <w:t xml:space="preserve">Promoted event placement</w:t>
            </w:r>
          </w:p>
        </w:tc>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color w:val="2A2A2A"/>
                <w:sz w:val="20"/>
                <w:szCs w:val="20"/>
              </w:rPr>
              <w:t xml:space="preserve">Month 12 — when you have enough organic traffic to make promotion valuable</w:t>
            </w:r>
          </w:p>
        </w:tc>
      </w:tr>
      <w:tr>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Organiser Pro subscription</w:t>
            </w:r>
          </w:p>
        </w:tc>
        <w:tc>
          <w:tcPr>
            <w:tcW w:type="dxa" w:w="4680"/>
            <w:tcBorders>
              <w:top w:val="single" w:color="E0DDD6" w:sz="1"/>
              <w:left w:val="single" w:color="E0DDD6" w:sz="1"/>
              <w:bottom w:val="single" w:color="E0DDD6" w:sz="1"/>
              <w:right w:val="single" w:color="E0DDD6" w:sz="1"/>
            </w:tcBorders>
            <w:shd w:fill="FFFFFF" w:val="clear"/>
            <w:tcMar>
              <w:top w:type="dxa" w:w="80"/>
              <w:left w:type="dxa" w:w="140"/>
              <w:bottom w:type="dxa" w:w="80"/>
              <w:right w:type="dxa" w:w="140"/>
            </w:tcMar>
          </w:tcPr>
          <w:p>
            <w:r>
              <w:rPr>
                <w:rFonts w:ascii="Arial" w:cs="Arial" w:eastAsia="Arial" w:hAnsi="Arial"/>
                <w:color w:val="2A2A2A"/>
                <w:sz w:val="20"/>
                <w:szCs w:val="20"/>
              </w:rPr>
              <w:t xml:space="preserve">Month 15 — when the feature set justifies a monthly fee</w:t>
            </w:r>
          </w:p>
        </w:tc>
      </w:tr>
      <w:tr>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b/>
                <w:bCs/>
                <w:color w:val="1A1A2E"/>
                <w:sz w:val="20"/>
                <w:szCs w:val="20"/>
              </w:rPr>
              <w:t xml:space="preserve">White-label for corporates</w:t>
            </w:r>
          </w:p>
        </w:tc>
        <w:tc>
          <w:tcPr>
            <w:tcW w:type="dxa" w:w="4680"/>
            <w:tcBorders>
              <w:top w:val="single" w:color="E0DDD6" w:sz="1"/>
              <w:left w:val="single" w:color="E0DDD6" w:sz="1"/>
              <w:bottom w:val="single" w:color="E0DDD6" w:sz="1"/>
              <w:right w:val="single" w:color="E0DDD6" w:sz="1"/>
            </w:tcBorders>
            <w:shd w:fill="F5F5F2" w:val="clear"/>
            <w:tcMar>
              <w:top w:type="dxa" w:w="80"/>
              <w:left w:type="dxa" w:w="140"/>
              <w:bottom w:type="dxa" w:w="80"/>
              <w:right w:type="dxa" w:w="140"/>
            </w:tcMar>
          </w:tcPr>
          <w:p>
            <w:r>
              <w:rPr>
                <w:rFonts w:ascii="Arial" w:cs="Arial" w:eastAsia="Arial" w:hAnsi="Arial"/>
                <w:color w:val="2A2A2A"/>
                <w:sz w:val="20"/>
                <w:szCs w:val="20"/>
              </w:rPr>
              <w:t xml:space="preserve">Month 24+ — requires maturity, dedicated sales motion</w:t>
            </w:r>
          </w:p>
        </w:tc>
      </w:tr>
    </w:tbl>
    <w:p>
      <w:pPr>
        <w:spacing w:after="0" w:before="120"/>
      </w:pPr>
      <w:r>
        <w:t xml:space="preserve"/>
      </w:r>
    </w:p>
    <w:p>
      <w:pPr>
        <w:pBdr>
          <w:bottom w:val="single" w:color="FF6B00" w:sz="4" w:space="4"/>
        </w:pBdr>
        <w:spacing w:after="80" w:before="360"/>
      </w:pPr>
      <w:r>
        <w:rPr>
          <w:rFonts w:ascii="Arial" w:cs="Arial" w:eastAsia="Arial" w:hAnsi="Arial"/>
          <w:b/>
          <w:bCs/>
          <w:color w:val="FF6B00"/>
          <w:sz w:val="18"/>
          <w:szCs w:val="18"/>
        </w:rPr>
        <w:t xml:space="preserve">FOUNDER ADVICE</w:t>
      </w:r>
    </w:p>
    <w:p>
      <w:pPr>
        <w:pStyle w:val="Heading1"/>
        <w:spacing w:after="160" w:before="120"/>
      </w:pPr>
      <w:r>
        <w:rPr>
          <w:rFonts w:ascii="Arial" w:cs="Arial" w:eastAsia="Arial" w:hAnsi="Arial"/>
          <w:b/>
          <w:bCs/>
          <w:color w:val="0F0F1A"/>
          <w:sz w:val="40"/>
          <w:szCs w:val="40"/>
        </w:rPr>
        <w:t xml:space="preserve">What I would tell you directly</w:t>
      </w:r>
    </w:p>
    <w:p>
      <w:pPr>
        <w:spacing w:after="80" w:before="60"/>
        <w:jc w:val="both"/>
      </w:pPr>
      <w:r>
        <w:rPr>
          <w:rFonts w:ascii="Arial" w:cs="Arial" w:eastAsia="Arial" w:hAnsi="Arial"/>
          <w:color w:val="2A2A2A"/>
          <w:sz w:val="22"/>
          <w:szCs w:val="22"/>
        </w:rPr>
        <w:t xml:space="preserve">This final section is the most important one. Everything above is strategy. Strategy is useless without the mindset to execute it. Here is what experience teaches about the gap between founders who succeed and founders who plateau:</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Your biggest risk is not competition</w:t>
      </w:r>
    </w:p>
    <w:p>
      <w:pPr>
        <w:spacing w:after="80" w:before="60"/>
        <w:jc w:val="both"/>
      </w:pPr>
      <w:r>
        <w:rPr>
          <w:rFonts w:ascii="Arial" w:cs="Arial" w:eastAsia="Arial" w:hAnsi="Arial"/>
          <w:color w:val="2A2A2A"/>
          <w:sz w:val="22"/>
          <w:szCs w:val="22"/>
        </w:rPr>
        <w:t xml:space="preserve">There is no well-funded competitor about to crush Toka in Kampala. The local events technology landscape is genuinely fragmented and largely unserved. Your real competition is inertia — the WhatsApp group, the Facebook event, the Google Form, the printed flyer. These win by being familiar. You win by being meaningfully better at a specific job, not marginally better at everything.</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Stay out of the building long enough to understand the problem</w:t>
      </w:r>
    </w:p>
    <w:p>
      <w:pPr>
        <w:spacing w:after="80" w:before="60"/>
        <w:jc w:val="both"/>
      </w:pPr>
      <w:r>
        <w:rPr>
          <w:rFonts w:ascii="Arial" w:cs="Arial" w:eastAsia="Arial" w:hAnsi="Arial"/>
          <w:color w:val="2A2A2A"/>
          <w:sz w:val="22"/>
          <w:szCs w:val="22"/>
        </w:rPr>
        <w:t xml:space="preserve">Builders have a natural tendency to retreat to the keyboard when things are uncertain. The keyboard feels productive. It is often avoidance. Every hour you spend talking to real organizers and real attendees in the next 60 days is worth ten hours of feature development. You will discover things about how events actually work in this context that no amount of product intuition can substitute for.</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The applied ML angle is a genuine differentiator — use it in your narrative</w:t>
      </w:r>
    </w:p>
    <w:p>
      <w:pPr>
        <w:spacing w:after="80" w:before="60"/>
        <w:jc w:val="both"/>
      </w:pPr>
      <w:r>
        <w:rPr>
          <w:rFonts w:ascii="Arial" w:cs="Arial" w:eastAsia="Arial" w:hAnsi="Arial"/>
          <w:color w:val="2A2A2A"/>
          <w:sz w:val="22"/>
          <w:szCs w:val="22"/>
        </w:rPr>
        <w:t xml:space="preserve">Most local event platforms are built by people who know how to ship a product. You know how to ship a product and apply machine learning to real problems. That combination is rare and genuinely valuable. When you talk to potential partners, investors, or accelerator programs, lead with the ML roadmap. Not as features you have built, but as a trajectory that your competitors cannot credibly replicate. An event platform that gets smarter as it grows is a fundamentally different business than one that does not.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Document everything from the beginning</w:t>
      </w:r>
    </w:p>
    <w:p>
      <w:pPr>
        <w:spacing w:after="80" w:before="60"/>
        <w:jc w:val="both"/>
      </w:pPr>
      <w:r>
        <w:rPr>
          <w:rFonts w:ascii="Arial" w:cs="Arial" w:eastAsia="Arial" w:hAnsi="Arial"/>
          <w:color w:val="2A2A2A"/>
          <w:sz w:val="22"/>
          <w:szCs w:val="22"/>
        </w:rPr>
        <w:t xml:space="preserve">Your early conversations with organisers, the patterns you observe, the iterations you make and why — all of this is gold for future fundraising, hiring, and product decisions. Keep a simple founder journal. One paragraph per day about what you learned and what it changed in your thinking. In two years you will be grateful for this record.</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Protect the brand ruthlessly</w:t>
      </w:r>
    </w:p>
    <w:p>
      <w:pPr>
        <w:spacing w:after="80" w:before="60"/>
        <w:jc w:val="both"/>
      </w:pPr>
      <w:r>
        <w:rPr>
          <w:rFonts w:ascii="Arial" w:cs="Arial" w:eastAsia="Arial" w:hAnsi="Arial"/>
          <w:color w:val="2A2A2A"/>
          <w:sz w:val="22"/>
          <w:szCs w:val="22"/>
        </w:rPr>
        <w:t xml:space="preserve">Toka has a strong name and a clear identity. Do not dilute it by trying to serve every possible use case before you have mastered one. Every time you are tempted to add a feature that ‘could be useful,’ ask whether it makes the core experience — discover, register, attend, return — measurably better. If it does not, it can wait.</w:t>
      </w:r>
    </w:p>
    <w:p>
      <w:pPr>
        <w:spacing w:after="0" w:before="60"/>
      </w:pPr>
      <w:r>
        <w:t xml:space="preserve"/>
      </w:r>
    </w:p>
    <w:p>
      <w:pPr>
        <w:pStyle w:val="Heading2"/>
        <w:spacing w:after="100" w:before="280"/>
      </w:pPr>
      <w:r>
        <w:rPr>
          <w:rFonts w:ascii="Arial" w:cs="Arial" w:eastAsia="Arial" w:hAnsi="Arial"/>
          <w:b/>
          <w:bCs/>
          <w:color w:val="0F0F1A"/>
          <w:sz w:val="28"/>
          <w:szCs w:val="28"/>
        </w:rPr>
        <w:t xml:space="preserve">Think about your co-founder question now</w:t>
      </w:r>
    </w:p>
    <w:p>
      <w:pPr>
        <w:spacing w:after="80" w:before="60"/>
        <w:jc w:val="both"/>
      </w:pPr>
      <w:r>
        <w:rPr>
          <w:rFonts w:ascii="Arial" w:cs="Arial" w:eastAsia="Arial" w:hAnsi="Arial"/>
          <w:color w:val="2A2A2A"/>
          <w:sz w:val="22"/>
          <w:szCs w:val="22"/>
        </w:rPr>
        <w:t xml:space="preserve">Building alone is possible. Building alone at speed across product, engineering, sales, and operations is very difficult. The right co-founder with complementary skills — someone who is strong at the commercial side while you are strong at the technical side, or vice versa — can double your velocity. The wrong co-founder can end the company. Think seriously about whether you want to build this alone or with someone, and if with someone, define what complementary means before you make any offers.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FF6B00" w:sz="12"/>
              <w:bottom w:val="none" w:color="FFFFFF" w:sz="0"/>
              <w:right w:val="none" w:color="FFFFFF" w:sz="0"/>
            </w:tcBorders>
            <w:shd w:fill="F5F5F2" w:val="clear"/>
          </w:tcPr>
          <w:p>
            <w:r>
              <w:t xml:space="preserve"/>
            </w:r>
          </w:p>
        </w:tc>
        <w:tc>
          <w:tcPr>
            <w:tcW w:type="dxa" w:w="9160"/>
            <w:tcBorders>
              <w:top w:val="none" w:color="FFFFFF" w:sz="0"/>
              <w:left w:val="none" w:color="FFFFFF" w:sz="0"/>
              <w:bottom w:val="none" w:color="FFFFFF" w:sz="0"/>
              <w:right w:val="none" w:color="FFFFFF" w:sz="0"/>
            </w:tcBorders>
            <w:shd w:fill="F5F5F2" w:val="clear"/>
            <w:tcMar>
              <w:top w:type="dxa" w:w="120"/>
              <w:left w:type="dxa" w:w="180"/>
              <w:bottom w:type="dxa" w:w="120"/>
              <w:right w:type="dxa" w:w="180"/>
            </w:tcMar>
          </w:tcPr>
          <w:p>
            <w:r>
              <w:rPr>
                <w:rFonts w:ascii="Arial" w:cs="Arial" w:eastAsia="Arial" w:hAnsi="Arial"/>
                <w:i/>
                <w:iCs/>
                <w:color w:val="2A2A2A"/>
                <w:sz w:val="21"/>
                <w:szCs w:val="21"/>
              </w:rPr>
              <w:t xml:space="preserve">The single most important thing you can do right now is get Toka in front of one real organiser with a real upcoming event, sit with them while they set it up, and watch what happens. Everything else in this document flows from that first observation.</w:t>
            </w:r>
          </w:p>
        </w:tc>
      </w:tr>
    </w:tbl>
    <w:p>
      <w:pPr>
        <w:spacing w:after="0" w:before="100"/>
      </w:pPr>
      <w:r>
        <w:t xml:space="preserve"/>
      </w:r>
    </w:p>
    <w:p>
      <w:pPr>
        <w:pBdr>
          <w:bottom w:val="single" w:color="FF6B00" w:sz="4" w:space="4"/>
        </w:pBdr>
        <w:spacing w:after="80" w:before="360"/>
      </w:pPr>
      <w:r>
        <w:rPr>
          <w:rFonts w:ascii="Arial" w:cs="Arial" w:eastAsia="Arial" w:hAnsi="Arial"/>
          <w:b/>
          <w:bCs/>
          <w:color w:val="FF6B00"/>
          <w:sz w:val="18"/>
          <w:szCs w:val="18"/>
        </w:rPr>
        <w:t xml:space="preserve">SUMMARY</w:t>
      </w:r>
    </w:p>
    <w:p>
      <w:pPr>
        <w:pStyle w:val="Heading2"/>
        <w:spacing w:after="100" w:before="280"/>
      </w:pPr>
      <w:r>
        <w:rPr>
          <w:rFonts w:ascii="Arial" w:cs="Arial" w:eastAsia="Arial" w:hAnsi="Arial"/>
          <w:b/>
          <w:bCs/>
          <w:color w:val="0F0F1A"/>
          <w:sz w:val="28"/>
          <w:szCs w:val="28"/>
        </w:rPr>
        <w:t xml:space="preserve">The 90-day priority stack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What to do</w:t>
            </w:r>
          </w:p>
        </w:tc>
        <w:tc>
          <w:tcPr>
            <w:tcW w:type="dxa" w:w="3120"/>
            <w:tcBorders>
              <w:top w:val="single" w:color="E0DDD6" w:sz="1"/>
              <w:left w:val="single" w:color="E0DDD6" w:sz="1"/>
              <w:bottom w:val="single" w:color="E0DDD6" w:sz="1"/>
              <w:right w:val="single" w:color="E0DDD6" w:sz="1"/>
            </w:tcBorders>
            <w:shd w:fill="FF6B00" w:val="clear"/>
            <w:tcMar>
              <w:top w:type="dxa" w:w="100"/>
              <w:left w:type="dxa" w:w="120"/>
              <w:bottom w:type="dxa" w:w="100"/>
              <w:right w:type="dxa" w:w="120"/>
            </w:tcMar>
          </w:tcPr>
          <w:p>
            <w:r>
              <w:rPr>
                <w:rFonts w:ascii="Arial" w:cs="Arial" w:eastAsia="Arial" w:hAnsi="Arial"/>
                <w:b/>
                <w:bCs/>
                <w:color w:val="FFFFFF"/>
                <w:sz w:val="20"/>
                <w:szCs w:val="20"/>
              </w:rPr>
              <w:t xml:space="preserve">Success signal</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1 — This week</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Contact 3 real event organisers for live testing</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One agrees to publish an event</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2 — This month</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Instrument the app for behavioural data collection</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Clean events + actions tables in Supabase</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3 — This month</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Fix the single biggest mobile UX drop-off point</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Registration completion rate improves</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4 — Month 2</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Reach 10 real published events with real attendees</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50+ real ticket registrations</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5 — Month 2–3</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Launch referral dashboard and curated home shelves</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Measurable word-of-mouth registrations</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6 — Month 3–6</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Begin building personalised ranking model with collected data</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Click-through improves on ranked results</w:t>
            </w:r>
          </w:p>
        </w:tc>
      </w:tr>
      <w:tr>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7 — Month 6–9</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Integrate real payment provider</w:t>
            </w:r>
          </w:p>
        </w:tc>
        <w:tc>
          <w:tcPr>
            <w:tcW w:type="dxa" w:w="312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color w:val="2A2A2A"/>
                <w:sz w:val="19"/>
                <w:szCs w:val="19"/>
              </w:rPr>
              <w:t xml:space="preserve">First paid ticket transaction</w:t>
            </w:r>
          </w:p>
        </w:tc>
      </w:tr>
      <w:tr>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8 — Month 9+</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Launch organiser dashboard with conversion metrics</w:t>
            </w:r>
          </w:p>
        </w:tc>
        <w:tc>
          <w:tcPr>
            <w:tcW w:type="dxa" w:w="3120"/>
            <w:tcBorders>
              <w:top w:val="single" w:color="E0DDD6" w:sz="1"/>
              <w:left w:val="single" w:color="E0DDD6" w:sz="1"/>
              <w:bottom w:val="single" w:color="E0DDD6" w:sz="1"/>
              <w:right w:val="single" w:color="E0DDD6" w:sz="1"/>
            </w:tcBorders>
            <w:shd w:fill="F5F5F2" w:val="clear"/>
            <w:tcMar>
              <w:top w:type="dxa" w:w="80"/>
              <w:left w:type="dxa" w:w="120"/>
              <w:bottom w:type="dxa" w:w="80"/>
              <w:right w:type="dxa" w:w="120"/>
            </w:tcMar>
          </w:tcPr>
          <w:p>
            <w:r>
              <w:rPr>
                <w:rFonts w:ascii="Arial" w:cs="Arial" w:eastAsia="Arial" w:hAnsi="Arial"/>
                <w:color w:val="2A2A2A"/>
                <w:sz w:val="19"/>
                <w:szCs w:val="19"/>
              </w:rPr>
              <w:t xml:space="preserve">Organiser retention improves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B00" w:val="clear"/>
            <w:tcMar>
              <w:top w:type="dxa" w:w="400"/>
              <w:left w:type="dxa" w:w="480"/>
              <w:bottom w:type="dxa" w:w="400"/>
              <w:right w:type="dxa" w:w="480"/>
            </w:tcMar>
          </w:tcPr>
          <w:p>
            <w:pPr>
              <w:spacing w:after="60"/>
              <w:jc w:val="center"/>
            </w:pPr>
            <w:r>
              <w:rPr>
                <w:rFonts w:ascii="Arial" w:cs="Arial" w:eastAsia="Arial" w:hAnsi="Arial"/>
                <w:b/>
                <w:bCs/>
                <w:i/>
                <w:iCs/>
                <w:color w:val="FFFFFF"/>
                <w:sz w:val="48"/>
                <w:szCs w:val="48"/>
              </w:rPr>
              <w:t xml:space="preserve">Step into it.</w:t>
            </w:r>
          </w:p>
          <w:p>
            <w:pPr>
              <w:spacing w:after="0"/>
              <w:jc w:val="center"/>
            </w:pPr>
            <w:r>
              <w:rPr>
                <w:rFonts w:ascii="Arial" w:cs="Arial" w:eastAsia="Arial" w:hAnsi="Arial"/>
                <w:color w:val="FFE4CC"/>
                <w:sz w:val="22"/>
                <w:szCs w:val="22"/>
              </w:rPr>
              <w:t xml:space="preserve">The opportunity is real. The foundation is already here. The key is disciplined execution.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6E0" w:sz="4" w:space="4"/>
      </w:pBdr>
      <w:jc w:val="center"/>
    </w:pPr>
    <w:r>
      <w:rPr>
        <w:rFonts w:ascii="Arial" w:cs="Arial" w:eastAsia="Arial" w:hAnsi="Arial"/>
        <w:color w:val="6B6B6B"/>
        <w:sz w:val="16"/>
        <w:szCs w:val="16"/>
      </w:rPr>
      <w:t xml:space="preserve">Confidential  —  Toka Events 2025</w:t>
    </w:r>
    <w:r>
      <w:rPr>
        <w:rFonts w:ascii="Arial" w:cs="Arial" w:eastAsia="Arial" w:hAnsi="Arial"/>
        <w:color w:val="6B6B6B"/>
        <w:sz w:val="16"/>
        <w:szCs w:val="16"/>
      </w:rPr>
      <w:t xml:space="preserve">     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6E0" w:sz="4" w:space="4"/>
      </w:pBdr>
      <w:spacing w:after="0"/>
    </w:pPr>
    <w:r>
      <w:rPr>
        <w:rFonts w:ascii="Arial" w:cs="Arial" w:eastAsia="Arial" w:hAnsi="Arial"/>
        <w:b/>
        <w:bCs/>
        <w:color w:val="FF6B00"/>
        <w:sz w:val="16"/>
        <w:szCs w:val="16"/>
      </w:rPr>
      <w:t xml:space="preserve">TOKA EVENTS</w:t>
    </w:r>
    <w:r>
      <w:rPr>
        <w:rFonts w:ascii="Arial" w:cs="Arial" w:eastAsia="Arial" w:hAnsi="Arial"/>
        <w:color w:val="6B6B6B"/>
        <w:sz w:val="16"/>
        <w:szCs w:val="16"/>
      </w:rPr>
      <w:t xml:space="preserve">   |   Founder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0F0F1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F0F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2026-04-05T15:28:33.682Z</dcterms:created>
  <dcterms:modified xsi:type="dcterms:W3CDTF">2026-04-05T15:28:33.683Z</dcterms:modified>
</cp:coreProperties>
</file>

<file path=docProps/custom.xml><?xml version="1.0" encoding="utf-8"?>
<Properties xmlns="http://schemas.openxmlformats.org/officeDocument/2006/custom-properties" xmlns:vt="http://schemas.openxmlformats.org/officeDocument/2006/docPropsVTypes"/>
</file>