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0F1A" w:val="clear"/>
            <w:tcMar>
              <w:top w:type="dxa" w:w="560"/>
              <w:left w:type="dxa" w:w="480"/>
              <w:bottom w:type="dxa" w:w="560"/>
              <w:right w:type="dxa" w:w="480"/>
            </w:tcMar>
          </w:tcPr>
          <w:p>
            <w:pPr>
              <w:spacing w:after="40" w:before="0"/>
              <w:jc w:val="left"/>
            </w:pPr>
            <w:r>
              <w:rPr>
                <w:rFonts w:ascii="Arial" w:cs="Arial" w:eastAsia="Arial" w:hAnsi="Arial"/>
                <w:b/>
                <w:bCs/>
                <w:color w:val="FF6B00"/>
                <w:sz w:val="56"/>
                <w:szCs w:val="56"/>
              </w:rPr>
              <w:t xml:space="preserve">TOKA EVENTS</w:t>
            </w:r>
          </w:p>
          <w:p>
            <w:pPr>
              <w:spacing w:after="60" w:before="0"/>
              <w:jc w:val="left"/>
            </w:pPr>
            <w:r>
              <w:rPr>
                <w:rFonts w:ascii="Arial" w:cs="Arial" w:eastAsia="Arial" w:hAnsi="Arial"/>
                <w:b/>
                <w:bCs/>
                <w:color w:val="FFFFFF"/>
                <w:sz w:val="80"/>
                <w:szCs w:val="80"/>
              </w:rPr>
              <w:t xml:space="preserve">VOLUME II</w:t>
            </w:r>
          </w:p>
          <w:p>
            <w:pPr>
              <w:spacing w:after="200" w:before="0"/>
              <w:jc w:val="left"/>
            </w:pPr>
            <w:r>
              <w:rPr>
                <w:rFonts w:ascii="Arial" w:cs="Arial" w:eastAsia="Arial" w:hAnsi="Arial"/>
                <w:color w:val="FF6B00"/>
                <w:sz w:val="22"/>
                <w:szCs w:val="22"/>
              </w:rPr>
              <w:t xml:space="preserve">————————————————————————</w:t>
            </w:r>
          </w:p>
          <w:p>
            <w:pPr>
              <w:spacing w:after="80" w:before="0"/>
              <w:jc w:val="left"/>
            </w:pPr>
            <w:r>
              <w:rPr>
                <w:rFonts w:ascii="Arial" w:cs="Arial" w:eastAsia="Arial" w:hAnsi="Arial"/>
                <w:i/>
                <w:iCs/>
                <w:color w:val="D0CCc4"/>
                <w:sz w:val="32"/>
                <w:szCs w:val="32"/>
              </w:rPr>
              <w:t xml:space="preserve">Unsolved Problems. Gen Z Obsession.</w:t>
            </w:r>
          </w:p>
          <w:p>
            <w:pPr>
              <w:spacing w:after="80" w:before="0"/>
              <w:jc w:val="left"/>
            </w:pPr>
            <w:r>
              <w:rPr>
                <w:rFonts w:ascii="Arial" w:cs="Arial" w:eastAsia="Arial" w:hAnsi="Arial"/>
                <w:i/>
                <w:iCs/>
                <w:color w:val="A0A09A"/>
                <w:sz w:val="28"/>
                <w:szCs w:val="28"/>
              </w:rPr>
              <w:t xml:space="preserve">QR Tickets. TikTok. Real Investment. Organiser Hunt.</w:t>
            </w:r>
          </w:p>
          <w:p>
            <w:pPr>
              <w:spacing w:after="0" w:before="120"/>
              <w:jc w:val="left"/>
            </w:pPr>
            <w:r>
              <w:rPr>
                <w:rFonts w:ascii="Arial" w:cs="Arial" w:eastAsia="Arial" w:hAnsi="Arial"/>
                <w:color w:val="505048"/>
                <w:sz w:val="18"/>
                <w:szCs w:val="18"/>
              </w:rPr>
              <w:t xml:space="preserve">April 2025  ·  Kampala, Uganda  ·  Confidential</w:t>
            </w:r>
          </w:p>
        </w:tc>
      </w:tr>
    </w:tbl>
    <w:p>
      <w:pPr>
        <w:spacing w:after="0" w:before="200"/>
      </w:pPr>
      <w:r>
        <w:t xml:space="preserve"/>
      </w:r>
    </w:p>
    <w:p>
      <w:pPr>
        <w:pBdr>
          <w:bottom w:val="single" w:color="FF6B00" w:sz="4" w:space="4"/>
        </w:pBdr>
        <w:spacing w:after="80" w:before="400"/>
      </w:pPr>
      <w:r>
        <w:rPr>
          <w:rFonts w:ascii="Arial" w:cs="Arial" w:eastAsia="Arial" w:hAnsi="Arial"/>
          <w:b/>
          <w:bCs/>
          <w:color w:val="FF6B00"/>
          <w:spacing w:val="40"/>
          <w:sz w:val="17"/>
          <w:szCs w:val="17"/>
        </w:rPr>
        <w:t xml:space="preserve">WHY THIS DOCUMENT EXISTS</w:t>
      </w:r>
    </w:p>
    <w:p>
      <w:pPr>
        <w:pStyle w:val="Heading1"/>
        <w:spacing w:after="160" w:before="100"/>
      </w:pPr>
      <w:r>
        <w:rPr>
          <w:rFonts w:ascii="Arial" w:cs="Arial" w:eastAsia="Arial" w:hAnsi="Arial"/>
          <w:b/>
          <w:bCs/>
          <w:color w:val="0F0F1A"/>
          <w:sz w:val="42"/>
          <w:szCs w:val="42"/>
        </w:rPr>
        <w:t xml:space="preserve">The gaps the first document did not fill</w:t>
      </w:r>
    </w:p>
    <w:p>
      <w:pPr>
        <w:spacing w:after="80" w:before="60"/>
        <w:jc w:val="both"/>
      </w:pPr>
      <w:r>
        <w:rPr>
          <w:rFonts w:ascii="Arial" w:cs="Arial" w:eastAsia="Arial" w:hAnsi="Arial"/>
          <w:color w:val="2A2826"/>
          <w:sz w:val="22"/>
          <w:szCs w:val="22"/>
        </w:rPr>
        <w:t xml:space="preserve">The first document gave you the strategic arc: what to do first, who to target, when to apply ML, when to incorporate. But building a company is not a clean arc. It is a sequence of specific, concrete problems that each need a real answer. This document goes deeper on the things that are either unsolved, underexplored, or that you raised yourself as questions. It covers six areas:</w:t>
      </w:r>
    </w:p>
    <w:p>
      <w:pPr>
        <w:spacing w:after="0" w:before="40"/>
      </w:pPr>
      <w:r>
        <w:t xml:space="preserve"/>
      </w:r>
    </w:p>
    <w:p>
      <w:pPr>
        <w:pStyle w:val="ListParagraph"/>
        <w:numPr>
          <w:ilvl w:val="0"/>
          <w:numId w:val="2"/>
        </w:numPr>
        <w:spacing w:after="50" w:before="40"/>
      </w:pPr>
      <w:r>
        <w:rPr>
          <w:rFonts w:ascii="Arial" w:cs="Arial" w:eastAsia="Arial" w:hAnsi="Arial"/>
          <w:color w:val="2A2826"/>
          <w:sz w:val="22"/>
          <w:szCs w:val="22"/>
        </w:rPr>
        <w:t xml:space="preserve">QR code ticket generation and real verification infrastructure</w:t>
      </w:r>
    </w:p>
    <w:p>
      <w:pPr>
        <w:pStyle w:val="ListParagraph"/>
        <w:numPr>
          <w:ilvl w:val="0"/>
          <w:numId w:val="2"/>
        </w:numPr>
        <w:spacing w:after="50" w:before="40"/>
      </w:pPr>
      <w:r>
        <w:rPr>
          <w:rFonts w:ascii="Arial" w:cs="Arial" w:eastAsia="Arial" w:hAnsi="Arial"/>
          <w:color w:val="2A2826"/>
          <w:sz w:val="22"/>
          <w:szCs w:val="22"/>
        </w:rPr>
        <w:t xml:space="preserve">What it actually takes to make Gen Z in Kampala fall in love with a product</w:t>
      </w:r>
    </w:p>
    <w:p>
      <w:pPr>
        <w:pStyle w:val="ListParagraph"/>
        <w:numPr>
          <w:ilvl w:val="0"/>
          <w:numId w:val="2"/>
        </w:numPr>
        <w:spacing w:after="50" w:before="40"/>
      </w:pPr>
      <w:r>
        <w:rPr>
          <w:rFonts w:ascii="Arial" w:cs="Arial" w:eastAsia="Arial" w:hAnsi="Arial"/>
          <w:color w:val="2A2826"/>
          <w:sz w:val="22"/>
          <w:szCs w:val="22"/>
        </w:rPr>
        <w:t xml:space="preserve">TikTok as a serious marketing channel — honest assessment and how to use it</w:t>
      </w:r>
    </w:p>
    <w:p>
      <w:pPr>
        <w:pStyle w:val="ListParagraph"/>
        <w:numPr>
          <w:ilvl w:val="0"/>
          <w:numId w:val="2"/>
        </w:numPr>
        <w:spacing w:after="50" w:before="40"/>
      </w:pPr>
      <w:r>
        <w:rPr>
          <w:rFonts w:ascii="Arial" w:cs="Arial" w:eastAsia="Arial" w:hAnsi="Arial"/>
          <w:color w:val="2A2826"/>
          <w:sz w:val="22"/>
          <w:szCs w:val="22"/>
        </w:rPr>
        <w:t xml:space="preserve">The investment question: what you actually need to spend money on, and when</w:t>
      </w:r>
    </w:p>
    <w:p>
      <w:pPr>
        <w:pStyle w:val="ListParagraph"/>
        <w:numPr>
          <w:ilvl w:val="0"/>
          <w:numId w:val="2"/>
        </w:numPr>
        <w:spacing w:after="50" w:before="40"/>
      </w:pPr>
      <w:r>
        <w:rPr>
          <w:rFonts w:ascii="Arial" w:cs="Arial" w:eastAsia="Arial" w:hAnsi="Arial"/>
          <w:color w:val="2A2826"/>
          <w:sz w:val="22"/>
          <w:szCs w:val="22"/>
        </w:rPr>
        <w:t xml:space="preserve">The organiser acquisition playbook: how to start the hunt</w:t>
      </w:r>
    </w:p>
    <w:p>
      <w:pPr>
        <w:pStyle w:val="ListParagraph"/>
        <w:numPr>
          <w:ilvl w:val="0"/>
          <w:numId w:val="2"/>
        </w:numPr>
        <w:spacing w:after="50" w:before="40"/>
      </w:pPr>
      <w:r>
        <w:rPr>
          <w:rFonts w:ascii="Arial" w:cs="Arial" w:eastAsia="Arial" w:hAnsi="Arial"/>
          <w:color w:val="2A2826"/>
          <w:sz w:val="22"/>
          <w:szCs w:val="22"/>
        </w:rPr>
        <w:t xml:space="preserve">Everything else that was left out of Volume 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FF6B00" w:sz="16"/>
              <w:bottom w:val="none" w:color="FFFFFF" w:sz="0"/>
              <w:right w:val="none" w:color="FFFFFF" w:sz="0"/>
            </w:tcBorders>
            <w:shd w:fill="FFF4EC" w:val="clear"/>
          </w:tcPr>
          <w:p>
            <w:r>
              <w:t xml:space="preserve"/>
            </w:r>
          </w:p>
        </w:tc>
        <w:tc>
          <w:tcPr>
            <w:tcW w:type="dxa" w:w="9180"/>
            <w:tcBorders>
              <w:top w:val="none" w:color="FFFFFF" w:sz="0"/>
              <w:left w:val="none" w:color="FFFFFF" w:sz="0"/>
              <w:bottom w:val="none" w:color="FFFFFF" w:sz="0"/>
              <w:right w:val="none" w:color="FFFFFF" w:sz="0"/>
            </w:tcBorders>
            <w:shd w:fill="FFF4EC" w:val="clear"/>
            <w:tcMar>
              <w:top w:type="dxa" w:w="140"/>
              <w:left w:type="dxa" w:w="200"/>
              <w:bottom w:type="dxa" w:w="140"/>
              <w:right w:type="dxa" w:w="200"/>
            </w:tcMar>
          </w:tcPr>
          <w:p>
            <w:pPr>
              <w:jc w:val="both"/>
            </w:pPr>
            <w:r>
              <w:rPr>
                <w:rFonts w:ascii="Arial" w:cs="Arial" w:eastAsia="Arial" w:hAnsi="Arial"/>
                <w:i/>
                <w:iCs/>
                <w:color w:val="2A2826"/>
                <w:sz w:val="22"/>
                <w:szCs w:val="22"/>
              </w:rPr>
              <w:t xml:space="preserve">Read this document as a working manual, not a vision statement. Every section ends with something concrete you can do this week.</w:t>
            </w:r>
          </w:p>
        </w:tc>
      </w:tr>
    </w:tbl>
    <w:p>
      <w:pPr>
        <w:spacing w:after="0" w:before="120"/>
      </w:pPr>
      <w:r>
        <w:t xml:space="preserve"/>
      </w:r>
    </w:p>
    <w:p>
      <w:pPr>
        <w:pBdr>
          <w:bottom w:val="single" w:color="FF6B00" w:sz="4" w:space="4"/>
        </w:pBdr>
        <w:spacing w:after="80" w:before="400"/>
      </w:pPr>
      <w:r>
        <w:rPr>
          <w:rFonts w:ascii="Arial" w:cs="Arial" w:eastAsia="Arial" w:hAnsi="Arial"/>
          <w:b/>
          <w:bCs/>
          <w:color w:val="FF6B00"/>
          <w:spacing w:val="40"/>
          <w:sz w:val="17"/>
          <w:szCs w:val="17"/>
        </w:rPr>
        <w:t xml:space="preserve">UNSOLVED PROBLEM 01</w:t>
      </w:r>
    </w:p>
    <w:p>
      <w:pPr>
        <w:pStyle w:val="Heading1"/>
        <w:spacing w:after="160" w:before="100"/>
      </w:pPr>
      <w:r>
        <w:rPr>
          <w:rFonts w:ascii="Arial" w:cs="Arial" w:eastAsia="Arial" w:hAnsi="Arial"/>
          <w:b/>
          <w:bCs/>
          <w:color w:val="0F0F1A"/>
          <w:sz w:val="42"/>
          <w:szCs w:val="42"/>
        </w:rPr>
        <w:t xml:space="preserve">QR code tickets and real verification</w:t>
      </w:r>
    </w:p>
    <w:p>
      <w:pPr>
        <w:spacing w:after="80" w:before="60"/>
        <w:jc w:val="both"/>
      </w:pPr>
      <w:r>
        <w:rPr>
          <w:rFonts w:ascii="Arial" w:cs="Arial" w:eastAsia="Arial" w:hAnsi="Arial"/>
          <w:color w:val="2A2826"/>
          <w:sz w:val="22"/>
          <w:szCs w:val="22"/>
        </w:rPr>
        <w:t xml:space="preserve">You are right to think about this now. The QR ticket system is not just a feature — it is the trust infrastructure that makes Toka a real ticketing platform rather than a registration form with a nice interface. Without it, your tickets are screenshots. With it, your tickets are credentials. Here is exactly how to build it properly.</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How the system works end to end</w:t>
      </w:r>
    </w:p>
    <w:p>
      <w:pPr>
        <w:spacing w:after="80" w:before="60"/>
        <w:jc w:val="both"/>
      </w:pPr>
      <w:r>
        <w:rPr>
          <w:rFonts w:ascii="Arial" w:cs="Arial" w:eastAsia="Arial" w:hAnsi="Arial"/>
          <w:color w:val="2A2826"/>
          <w:sz w:val="22"/>
          <w:szCs w:val="22"/>
        </w:rPr>
        <w:t xml:space="preserve">The full verification chain has four components that must work together: ticket generation at registration, QR encoding with a tamper-proof payload, a scanner interface for organisers at the gate, and a validation endpoint that checks against your Supabase database in real time. Each component is simpler than it sounds.</w:t>
      </w:r>
    </w:p>
    <w:p>
      <w:pPr>
        <w:spacing w:after="0" w:before="60"/>
      </w:pPr>
      <w:r>
        <w:t xml:space="preserve"/>
      </w:r>
    </w:p>
    <w:p>
      <w:pPr>
        <w:spacing w:after="60" w:before="180"/>
      </w:pPr>
      <w:r>
        <w:rPr>
          <w:rFonts w:ascii="Arial" w:cs="Arial" w:eastAsia="Arial" w:hAnsi="Arial"/>
          <w:b/>
          <w:bCs/>
          <w:color w:val="1A1A2E"/>
          <w:sz w:val="22"/>
          <w:szCs w:val="22"/>
        </w:rPr>
        <w:t xml:space="preserve">Component 1: Ticket generation</w:t>
      </w:r>
    </w:p>
    <w:p>
      <w:pPr>
        <w:spacing w:after="80" w:before="60"/>
        <w:jc w:val="both"/>
      </w:pPr>
      <w:r>
        <w:rPr>
          <w:rFonts w:ascii="Arial" w:cs="Arial" w:eastAsia="Arial" w:hAnsi="Arial"/>
          <w:color w:val="2A2826"/>
          <w:sz w:val="22"/>
          <w:szCs w:val="22"/>
        </w:rPr>
        <w:t xml:space="preserve">When a user completes registration, generate a unique ticket identifier server-side. This identifier should be a UUID v4 — a random string that cannot be guessed or predicted. Store this UUID in your tickets table in Supabase alongside the event ID, the user ID, the ticket type, the timestamp of purchase, and a status field that starts as ‘valid.’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FF6B00" w:sz="16"/>
              <w:bottom w:val="none" w:color="FFFFFF" w:sz="0"/>
              <w:right w:val="none" w:color="FFFFFF" w:sz="0"/>
            </w:tcBorders>
            <w:shd w:fill="FFF4EC" w:val="clear"/>
          </w:tcPr>
          <w:p>
            <w:r>
              <w:t xml:space="preserve"/>
            </w:r>
          </w:p>
        </w:tc>
        <w:tc>
          <w:tcPr>
            <w:tcW w:type="dxa" w:w="9180"/>
            <w:tcBorders>
              <w:top w:val="none" w:color="FFFFFF" w:sz="0"/>
              <w:left w:val="none" w:color="FFFFFF" w:sz="0"/>
              <w:bottom w:val="none" w:color="FFFFFF" w:sz="0"/>
              <w:right w:val="none" w:color="FFFFFF" w:sz="0"/>
            </w:tcBorders>
            <w:shd w:fill="FFF4EC" w:val="clear"/>
            <w:tcMar>
              <w:top w:type="dxa" w:w="140"/>
              <w:left w:type="dxa" w:w="200"/>
              <w:bottom w:type="dxa" w:w="140"/>
              <w:right w:type="dxa" w:w="200"/>
            </w:tcMar>
          </w:tcPr>
          <w:p>
            <w:pPr>
              <w:jc w:val="both"/>
            </w:pPr>
            <w:r>
              <w:rPr>
                <w:rFonts w:ascii="Arial" w:cs="Arial" w:eastAsia="Arial" w:hAnsi="Arial"/>
                <w:i/>
                <w:iCs/>
                <w:color w:val="2A2826"/>
                <w:sz w:val="22"/>
                <w:szCs w:val="22"/>
              </w:rPr>
              <w:t xml:space="preserve">Never encode personal data in the QR code itself. The QR code should contain only the ticket UUID. All verification happens by looking up that UUID in your database. This protects user privacy and means you can revoke tickets instantly by changing their status in the database.</w:t>
            </w:r>
          </w:p>
        </w:tc>
      </w:tr>
    </w:tbl>
    <w:p>
      <w:pPr>
        <w:spacing w:after="0" w:before="60"/>
      </w:pPr>
      <w:r>
        <w:t xml:space="preserve"/>
      </w:r>
    </w:p>
    <w:p>
      <w:pPr>
        <w:spacing w:after="60" w:before="180"/>
      </w:pPr>
      <w:r>
        <w:rPr>
          <w:rFonts w:ascii="Arial" w:cs="Arial" w:eastAsia="Arial" w:hAnsi="Arial"/>
          <w:b/>
          <w:bCs/>
          <w:color w:val="1A1A2E"/>
          <w:sz w:val="22"/>
          <w:szCs w:val="22"/>
        </w:rPr>
        <w:t xml:space="preserve">Component 2: QR code encoding</w:t>
      </w:r>
    </w:p>
    <w:p>
      <w:pPr>
        <w:spacing w:after="80" w:before="60"/>
        <w:jc w:val="both"/>
      </w:pPr>
      <w:r>
        <w:rPr>
          <w:rFonts w:ascii="Arial" w:cs="Arial" w:eastAsia="Arial" w:hAnsi="Arial"/>
          <w:color w:val="2A2826"/>
          <w:sz w:val="22"/>
          <w:szCs w:val="22"/>
        </w:rPr>
        <w:t xml:space="preserve">Use the qrcode npm package in your JavaScript environment. It is lightweight, well-maintained, and generates clean SVG or PNG output. The QR code encodes a verification URL in this format:</w:t>
      </w:r>
    </w:p>
    <w:p>
      <w:pPr>
        <w:spacing w:after="0" w:before="30"/>
      </w:pPr>
      <w:r>
        <w:t xml:space="preserve"/>
      </w:r>
    </w:p>
    <w:p>
      <w:pPr>
        <w:spacing w:after="40" w:before="40"/>
      </w:pPr>
      <w:r>
        <w:rPr>
          <w:rFonts w:ascii="Courier New" w:cs="Courier New" w:eastAsia="Courier New" w:hAnsi="Courier New"/>
          <w:color w:val="FF6B00"/>
          <w:sz w:val="20"/>
          <w:szCs w:val="20"/>
        </w:rPr>
        <w:t xml:space="preserve">    https://toka.app/verify/{ticket-uuid}</w:t>
      </w:r>
    </w:p>
    <w:p>
      <w:pPr>
        <w:spacing w:after="0" w:before="30"/>
      </w:pPr>
      <w:r>
        <w:t xml:space="preserve"/>
      </w:r>
    </w:p>
    <w:p>
      <w:pPr>
        <w:spacing w:after="80" w:before="60"/>
        <w:jc w:val="both"/>
      </w:pPr>
      <w:r>
        <w:rPr>
          <w:rFonts w:ascii="Arial" w:cs="Arial" w:eastAsia="Arial" w:hAnsi="Arial"/>
          <w:color w:val="2A2826"/>
          <w:sz w:val="22"/>
          <w:szCs w:val="22"/>
        </w:rPr>
        <w:t xml:space="preserve">When scanned by any camera or QR reader, this URL opens directly to a verification page. This means organisers do not need a special app installed. Any phone with a camera can scan. If they scan on the Toka app, they get the full rich verification experience. If they scan on a camera app, they get a mobile-optimised web page that confirms the ticket status with a clear green or red display.</w:t>
      </w:r>
    </w:p>
    <w:p>
      <w:pPr>
        <w:spacing w:after="0" w:before="60"/>
      </w:pPr>
      <w:r>
        <w:t xml:space="preserve"/>
      </w:r>
    </w:p>
    <w:p>
      <w:pPr>
        <w:spacing w:after="60" w:before="180"/>
      </w:pPr>
      <w:r>
        <w:rPr>
          <w:rFonts w:ascii="Arial" w:cs="Arial" w:eastAsia="Arial" w:hAnsi="Arial"/>
          <w:b/>
          <w:bCs/>
          <w:color w:val="1A1A2E"/>
          <w:sz w:val="22"/>
          <w:szCs w:val="22"/>
        </w:rPr>
        <w:t xml:space="preserve">Component 3: The verification endpoint</w:t>
      </w:r>
    </w:p>
    <w:p>
      <w:pPr>
        <w:spacing w:after="80" w:before="60"/>
        <w:jc w:val="both"/>
      </w:pPr>
      <w:r>
        <w:rPr>
          <w:rFonts w:ascii="Arial" w:cs="Arial" w:eastAsia="Arial" w:hAnsi="Arial"/>
          <w:color w:val="2A2826"/>
          <w:sz w:val="22"/>
          <w:szCs w:val="22"/>
        </w:rPr>
        <w:t xml:space="preserve">Create a Supabase Edge Function at /verify/{uuid} that does the following in sequence: looks up the ticket by UUID, checks that the event ID matches the organiser’s current event, checks that the ticket status is ‘valid’ and not already ‘used,’ if all checks pass marks the ticket as ‘used’ and returns a success response with the attendee’s name, ticket type, and check-in timestamp, and if any check fails returns a clear rejection reason.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16"/>
              <w:bottom w:val="none" w:color="FFFFFF" w:sz="0"/>
              <w:right w:val="none" w:color="FFFFFF" w:sz="0"/>
            </w:tcBorders>
            <w:shd w:fill="FFF0EE" w:val="clear"/>
          </w:tcPr>
          <w:p>
            <w:r>
              <w:t xml:space="preserve"/>
            </w:r>
          </w:p>
        </w:tc>
        <w:tc>
          <w:tcPr>
            <w:tcW w:type="dxa" w:w="9180"/>
            <w:tcBorders>
              <w:top w:val="none" w:color="FFFFFF" w:sz="0"/>
              <w:left w:val="none" w:color="FFFFFF" w:sz="0"/>
              <w:bottom w:val="none" w:color="FFFFFF" w:sz="0"/>
              <w:right w:val="none" w:color="FFFFFF" w:sz="0"/>
            </w:tcBorders>
            <w:shd w:fill="FFF0EE" w:val="clear"/>
            <w:tcMar>
              <w:top w:type="dxa" w:w="140"/>
              <w:left w:type="dxa" w:w="200"/>
              <w:bottom w:type="dxa" w:w="140"/>
              <w:right w:type="dxa" w:w="200"/>
            </w:tcMar>
          </w:tcPr>
          <w:p>
            <w:pPr>
              <w:jc w:val="both"/>
            </w:pPr>
            <w:r>
              <w:rPr>
                <w:rFonts w:ascii="Arial" w:cs="Arial" w:eastAsia="Arial" w:hAnsi="Arial"/>
                <w:i/>
                <w:iCs/>
                <w:color w:val="7A1A1A"/>
                <w:sz w:val="22"/>
                <w:szCs w:val="22"/>
              </w:rPr>
              <w:t xml:space="preserve">The single most important rule in ticket verification: the act of checking a ticket must atomically mark it as used. If you check first and mark second, a bad actor can scan the same ticket twice in the gap between those two operations. Use a Supabase database transaction or a single UPDATE...RETURNING statement that does both in one operation.</w:t>
            </w:r>
          </w:p>
        </w:tc>
      </w:tr>
    </w:tbl>
    <w:p>
      <w:pPr>
        <w:spacing w:after="0" w:before="60"/>
      </w:pPr>
      <w:r>
        <w:t xml:space="preserve"/>
      </w:r>
    </w:p>
    <w:p>
      <w:pPr>
        <w:spacing w:after="60" w:before="180"/>
      </w:pPr>
      <w:r>
        <w:rPr>
          <w:rFonts w:ascii="Arial" w:cs="Arial" w:eastAsia="Arial" w:hAnsi="Arial"/>
          <w:b/>
          <w:bCs/>
          <w:color w:val="1A1A2E"/>
          <w:sz w:val="22"/>
          <w:szCs w:val="22"/>
        </w:rPr>
        <w:t xml:space="preserve">Component 4: Organiser scanner interface</w:t>
      </w:r>
    </w:p>
    <w:p>
      <w:pPr>
        <w:spacing w:after="80" w:before="60"/>
        <w:jc w:val="both"/>
      </w:pPr>
      <w:r>
        <w:rPr>
          <w:rFonts w:ascii="Arial" w:cs="Arial" w:eastAsia="Arial" w:hAnsi="Arial"/>
          <w:color w:val="2A2826"/>
          <w:sz w:val="22"/>
          <w:szCs w:val="22"/>
        </w:rPr>
        <w:t xml:space="preserve">Build a dedicated scanner screen inside the Toka app that organisers access from their host dashboard. It should open the device camera, detect QR codes in real time using a library like jsQR or the browser’s native BarcodeDetector API, send the decoded UUID to your verification endpoint, and display the result with unmistakable visual clarity: a full-screen green overlay with the attendee name for a valid ticket, and a full-screen red overlay with the reason for an invalid or already-used ticket.</w:t>
      </w:r>
    </w:p>
    <w:p>
      <w:pPr>
        <w:spacing w:after="0" w:before="40"/>
      </w:pPr>
      <w:r>
        <w:t xml:space="preserve"/>
      </w:r>
    </w:p>
    <w:p>
      <w:pPr>
        <w:spacing w:after="80" w:before="60"/>
        <w:jc w:val="both"/>
      </w:pPr>
      <w:r>
        <w:rPr>
          <w:rFonts w:ascii="Arial" w:cs="Arial" w:eastAsia="Arial" w:hAnsi="Arial"/>
          <w:color w:val="2A2826"/>
          <w:sz w:val="22"/>
          <w:szCs w:val="22"/>
        </w:rPr>
        <w:t xml:space="preserve">The UX requirement here is critical: an organiser at a venue gate is under pressure, holding a phone with one hand, managing a queue with the other. The result must be readable at a glance from arm’s length in bright sunlight or dim venue lighting. Large text. Maximum contrast. A sound cue for pass and a different sound for fail. No ambiguity.</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What this system cannot handle yet</w:t>
      </w:r>
    </w:p>
    <w:p>
      <w:pPr>
        <w:spacing w:after="80" w:before="60"/>
        <w:jc w:val="both"/>
      </w:pPr>
      <w:r>
        <w:rPr>
          <w:rFonts w:ascii="Arial" w:cs="Arial" w:eastAsia="Arial" w:hAnsi="Arial"/>
          <w:color w:val="2A2826"/>
          <w:sz w:val="22"/>
          <w:szCs w:val="22"/>
        </w:rPr>
        <w:t xml:space="preserve">Be honest with yourself about the limitations at MVP stage. The basic QR system described above handles most real-world cases but has known gaps that you will need to address as volume grows:</w:t>
      </w:r>
    </w:p>
    <w:p>
      <w:pPr>
        <w:spacing w:after="0" w:before="40"/>
      </w:pPr>
      <w:r>
        <w:t xml:space="preserve"/>
      </w:r>
    </w:p>
    <w:p>
      <w:pPr>
        <w:pStyle w:val="ListParagraph"/>
        <w:numPr>
          <w:ilvl w:val="0"/>
          <w:numId w:val="2"/>
        </w:numPr>
        <w:spacing w:after="50" w:before="40"/>
      </w:pPr>
      <w:r>
        <w:rPr>
          <w:rFonts w:ascii="Arial" w:cs="Arial" w:eastAsia="Arial" w:hAnsi="Arial"/>
          <w:color w:val="2A2826"/>
          <w:sz w:val="22"/>
          <w:szCs w:val="22"/>
        </w:rPr>
        <w:t xml:space="preserve">Offline scanning: if the organiser’s phone has no data at the venue, verification fails. Mitigation: allow the organiser to pre-download a list of valid ticket UUIDs for their event before arriving.</w:t>
      </w:r>
    </w:p>
    <w:p>
      <w:pPr>
        <w:pStyle w:val="ListParagraph"/>
        <w:numPr>
          <w:ilvl w:val="0"/>
          <w:numId w:val="2"/>
        </w:numPr>
        <w:spacing w:after="50" w:before="40"/>
      </w:pPr>
      <w:r>
        <w:rPr>
          <w:rFonts w:ascii="Arial" w:cs="Arial" w:eastAsia="Arial" w:hAnsi="Arial"/>
          <w:color w:val="2A2826"/>
          <w:sz w:val="22"/>
          <w:szCs w:val="22"/>
        </w:rPr>
        <w:t xml:space="preserve">Screenshot fraud: a user could screenshot someone else’s QR code. Mitigation: the first scan marks the ticket used, making the second scan fail. This is sufficient for most contexts.</w:t>
      </w:r>
    </w:p>
    <w:p>
      <w:pPr>
        <w:pStyle w:val="ListParagraph"/>
        <w:numPr>
          <w:ilvl w:val="0"/>
          <w:numId w:val="2"/>
        </w:numPr>
        <w:spacing w:after="50" w:before="40"/>
      </w:pPr>
      <w:r>
        <w:rPr>
          <w:rFonts w:ascii="Arial" w:cs="Arial" w:eastAsia="Arial" w:hAnsi="Arial"/>
          <w:color w:val="2A2826"/>
          <w:sz w:val="22"/>
          <w:szCs w:val="22"/>
        </w:rPr>
        <w:t xml:space="preserve">Group tickets: if one person buys tickets for five friends, you need one QR per person, not one QR for the group. Design your data model with this from the start.</w:t>
      </w:r>
    </w:p>
    <w:p>
      <w:pPr>
        <w:pStyle w:val="ListParagraph"/>
        <w:numPr>
          <w:ilvl w:val="0"/>
          <w:numId w:val="2"/>
        </w:numPr>
        <w:spacing w:after="50" w:before="40"/>
      </w:pPr>
      <w:r>
        <w:rPr>
          <w:rFonts w:ascii="Arial" w:cs="Arial" w:eastAsia="Arial" w:hAnsi="Arial"/>
          <w:color w:val="2A2826"/>
          <w:sz w:val="22"/>
          <w:szCs w:val="22"/>
        </w:rPr>
        <w:t xml:space="preserve">Refund flows: once a ticket is marked used, the refund process needs manual intervention. Define your policy clearly before launch.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DBD4" w:sz="1"/>
              <w:left w:val="single" w:color="DEDBD4" w:sz="1"/>
              <w:bottom w:val="single" w:color="DEDBD4" w:sz="1"/>
              <w:right w:val="single" w:color="DEDBD4"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120"/>
            <w:tcBorders>
              <w:top w:val="single" w:color="DEDBD4" w:sz="1"/>
              <w:left w:val="single" w:color="DEDBD4" w:sz="1"/>
              <w:bottom w:val="single" w:color="DEDBD4" w:sz="1"/>
              <w:right w:val="single" w:color="DEDBD4"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tcW w:type="dxa" w:w="3120"/>
            <w:tcBorders>
              <w:top w:val="single" w:color="DEDBD4" w:sz="1"/>
              <w:left w:val="single" w:color="DEDBD4" w:sz="1"/>
              <w:bottom w:val="single" w:color="DEDBD4" w:sz="1"/>
              <w:right w:val="single" w:color="DEDBD4"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Technology to use</w:t>
            </w:r>
          </w:p>
        </w:tc>
      </w:tr>
      <w:tr>
        <w:tc>
          <w:tcPr>
            <w:tcW w:type="dxa" w:w="3120"/>
            <w:tcBorders>
              <w:top w:val="single" w:color="DEDBD4" w:sz="1"/>
              <w:left w:val="single" w:color="DEDBD4" w:sz="1"/>
              <w:bottom w:val="single" w:color="DEDBD4" w:sz="1"/>
              <w:right w:val="single" w:color="DEDBD4" w:sz="1"/>
            </w:tcBorders>
            <w:shd w:fill="FFFFFF" w:val="clear"/>
            <w:tcMar>
              <w:top w:type="dxa" w:w="80"/>
              <w:left w:type="dxa" w:w="120"/>
              <w:bottom w:type="dxa" w:w="80"/>
              <w:right w:type="dxa" w:w="120"/>
            </w:tcMar>
          </w:tcPr>
          <w:p>
            <w:r>
              <w:rPr>
                <w:rFonts w:ascii="Arial" w:cs="Arial" w:eastAsia="Arial" w:hAnsi="Arial"/>
                <w:color w:val="2A2826"/>
                <w:sz w:val="19"/>
                <w:szCs w:val="19"/>
              </w:rPr>
              <w:t xml:space="preserve">Registration complete</w:t>
            </w:r>
          </w:p>
        </w:tc>
        <w:tc>
          <w:tcPr>
            <w:tcW w:type="dxa" w:w="3120"/>
            <w:tcBorders>
              <w:top w:val="single" w:color="DEDBD4" w:sz="1"/>
              <w:left w:val="single" w:color="DEDBD4" w:sz="1"/>
              <w:bottom w:val="single" w:color="DEDBD4" w:sz="1"/>
              <w:right w:val="single" w:color="DEDBD4" w:sz="1"/>
            </w:tcBorders>
            <w:shd w:fill="FFFFFF" w:val="clear"/>
            <w:tcMar>
              <w:top w:type="dxa" w:w="80"/>
              <w:left w:type="dxa" w:w="120"/>
              <w:bottom w:type="dxa" w:w="80"/>
              <w:right w:type="dxa" w:w="120"/>
            </w:tcMar>
          </w:tcPr>
          <w:p>
            <w:r>
              <w:rPr>
                <w:rFonts w:ascii="Arial" w:cs="Arial" w:eastAsia="Arial" w:hAnsi="Arial"/>
                <w:color w:val="2A2826"/>
                <w:sz w:val="19"/>
                <w:szCs w:val="19"/>
              </w:rPr>
              <w:t xml:space="preserve">UUID generated, stored in Supabase tickets table</w:t>
            </w:r>
          </w:p>
        </w:tc>
        <w:tc>
          <w:tcPr>
            <w:tcW w:type="dxa" w:w="3120"/>
            <w:tcBorders>
              <w:top w:val="single" w:color="DEDBD4" w:sz="1"/>
              <w:left w:val="single" w:color="DEDBD4" w:sz="1"/>
              <w:bottom w:val="single" w:color="DEDBD4" w:sz="1"/>
              <w:right w:val="single" w:color="DEDBD4" w:sz="1"/>
            </w:tcBorders>
            <w:shd w:fill="FFFFFF" w:val="clear"/>
            <w:tcMar>
              <w:top w:type="dxa" w:w="80"/>
              <w:left w:type="dxa" w:w="120"/>
              <w:bottom w:type="dxa" w:w="80"/>
              <w:right w:type="dxa" w:w="120"/>
            </w:tcMar>
          </w:tcPr>
          <w:p>
            <w:r>
              <w:rPr>
                <w:rFonts w:ascii="Arial" w:cs="Arial" w:eastAsia="Arial" w:hAnsi="Arial"/>
                <w:color w:val="2A2826"/>
                <w:sz w:val="19"/>
                <w:szCs w:val="19"/>
              </w:rPr>
              <w:t xml:space="preserve">Supabase insert + UUID v4</w:t>
            </w:r>
          </w:p>
        </w:tc>
      </w:tr>
      <w:tr>
        <w:tc>
          <w:tcPr>
            <w:tcW w:type="dxa" w:w="3120"/>
            <w:tcBorders>
              <w:top w:val="single" w:color="DEDBD4" w:sz="1"/>
              <w:left w:val="single" w:color="DEDBD4" w:sz="1"/>
              <w:bottom w:val="single" w:color="DEDBD4" w:sz="1"/>
              <w:right w:val="single" w:color="DEDBD4" w:sz="1"/>
            </w:tcBorders>
            <w:shd w:fill="F6F4F0" w:val="clear"/>
            <w:tcMar>
              <w:top w:type="dxa" w:w="80"/>
              <w:left w:type="dxa" w:w="120"/>
              <w:bottom w:type="dxa" w:w="80"/>
              <w:right w:type="dxa" w:w="120"/>
            </w:tcMar>
          </w:tcPr>
          <w:p>
            <w:r>
              <w:rPr>
                <w:rFonts w:ascii="Arial" w:cs="Arial" w:eastAsia="Arial" w:hAnsi="Arial"/>
                <w:color w:val="2A2826"/>
                <w:sz w:val="19"/>
                <w:szCs w:val="19"/>
              </w:rPr>
              <w:t xml:space="preserve">Ticket displayed</w:t>
            </w:r>
          </w:p>
        </w:tc>
        <w:tc>
          <w:tcPr>
            <w:tcW w:type="dxa" w:w="3120"/>
            <w:tcBorders>
              <w:top w:val="single" w:color="DEDBD4" w:sz="1"/>
              <w:left w:val="single" w:color="DEDBD4" w:sz="1"/>
              <w:bottom w:val="single" w:color="DEDBD4" w:sz="1"/>
              <w:right w:val="single" w:color="DEDBD4" w:sz="1"/>
            </w:tcBorders>
            <w:shd w:fill="F6F4F0" w:val="clear"/>
            <w:tcMar>
              <w:top w:type="dxa" w:w="80"/>
              <w:left w:type="dxa" w:w="120"/>
              <w:bottom w:type="dxa" w:w="80"/>
              <w:right w:type="dxa" w:w="120"/>
            </w:tcMar>
          </w:tcPr>
          <w:p>
            <w:r>
              <w:rPr>
                <w:rFonts w:ascii="Arial" w:cs="Arial" w:eastAsia="Arial" w:hAnsi="Arial"/>
                <w:color w:val="2A2826"/>
                <w:sz w:val="19"/>
                <w:szCs w:val="19"/>
              </w:rPr>
              <w:t xml:space="preserve">QR code rendered from verification URL</w:t>
            </w:r>
          </w:p>
        </w:tc>
        <w:tc>
          <w:tcPr>
            <w:tcW w:type="dxa" w:w="3120"/>
            <w:tcBorders>
              <w:top w:val="single" w:color="DEDBD4" w:sz="1"/>
              <w:left w:val="single" w:color="DEDBD4" w:sz="1"/>
              <w:bottom w:val="single" w:color="DEDBD4" w:sz="1"/>
              <w:right w:val="single" w:color="DEDBD4" w:sz="1"/>
            </w:tcBorders>
            <w:shd w:fill="F6F4F0" w:val="clear"/>
            <w:tcMar>
              <w:top w:type="dxa" w:w="80"/>
              <w:left w:type="dxa" w:w="120"/>
              <w:bottom w:type="dxa" w:w="80"/>
              <w:right w:type="dxa" w:w="120"/>
            </w:tcMar>
          </w:tcPr>
          <w:p>
            <w:r>
              <w:rPr>
                <w:rFonts w:ascii="Arial" w:cs="Arial" w:eastAsia="Arial" w:hAnsi="Arial"/>
                <w:color w:val="2A2826"/>
                <w:sz w:val="19"/>
                <w:szCs w:val="19"/>
              </w:rPr>
              <w:t xml:space="preserve">qrcode npm package</w:t>
            </w:r>
          </w:p>
        </w:tc>
      </w:tr>
      <w:tr>
        <w:tc>
          <w:tcPr>
            <w:tcW w:type="dxa" w:w="3120"/>
            <w:tcBorders>
              <w:top w:val="single" w:color="DEDBD4" w:sz="1"/>
              <w:left w:val="single" w:color="DEDBD4" w:sz="1"/>
              <w:bottom w:val="single" w:color="DEDBD4" w:sz="1"/>
              <w:right w:val="single" w:color="DEDBD4" w:sz="1"/>
            </w:tcBorders>
            <w:shd w:fill="FFFFFF" w:val="clear"/>
            <w:tcMar>
              <w:top w:type="dxa" w:w="80"/>
              <w:left w:type="dxa" w:w="120"/>
              <w:bottom w:type="dxa" w:w="80"/>
              <w:right w:type="dxa" w:w="120"/>
            </w:tcMar>
          </w:tcPr>
          <w:p>
            <w:r>
              <w:rPr>
                <w:rFonts w:ascii="Arial" w:cs="Arial" w:eastAsia="Arial" w:hAnsi="Arial"/>
                <w:color w:val="2A2826"/>
                <w:sz w:val="19"/>
                <w:szCs w:val="19"/>
              </w:rPr>
              <w:t xml:space="preserve">Ticket shared</w:t>
            </w:r>
          </w:p>
        </w:tc>
        <w:tc>
          <w:tcPr>
            <w:tcW w:type="dxa" w:w="3120"/>
            <w:tcBorders>
              <w:top w:val="single" w:color="DEDBD4" w:sz="1"/>
              <w:left w:val="single" w:color="DEDBD4" w:sz="1"/>
              <w:bottom w:val="single" w:color="DEDBD4" w:sz="1"/>
              <w:right w:val="single" w:color="DEDBD4" w:sz="1"/>
            </w:tcBorders>
            <w:shd w:fill="FFFFFF" w:val="clear"/>
            <w:tcMar>
              <w:top w:type="dxa" w:w="80"/>
              <w:left w:type="dxa" w:w="120"/>
              <w:bottom w:type="dxa" w:w="80"/>
              <w:right w:type="dxa" w:w="120"/>
            </w:tcMar>
          </w:tcPr>
          <w:p>
            <w:r>
              <w:rPr>
                <w:rFonts w:ascii="Arial" w:cs="Arial" w:eastAsia="Arial" w:hAnsi="Arial"/>
                <w:color w:val="2A2826"/>
                <w:sz w:val="19"/>
                <w:szCs w:val="19"/>
              </w:rPr>
              <w:t xml:space="preserve">User screenshots or downloads ticket image</w:t>
            </w:r>
          </w:p>
        </w:tc>
        <w:tc>
          <w:tcPr>
            <w:tcW w:type="dxa" w:w="3120"/>
            <w:tcBorders>
              <w:top w:val="single" w:color="DEDBD4" w:sz="1"/>
              <w:left w:val="single" w:color="DEDBD4" w:sz="1"/>
              <w:bottom w:val="single" w:color="DEDBD4" w:sz="1"/>
              <w:right w:val="single" w:color="DEDBD4" w:sz="1"/>
            </w:tcBorders>
            <w:shd w:fill="FFFFFF" w:val="clear"/>
            <w:tcMar>
              <w:top w:type="dxa" w:w="80"/>
              <w:left w:type="dxa" w:w="120"/>
              <w:bottom w:type="dxa" w:w="80"/>
              <w:right w:type="dxa" w:w="120"/>
            </w:tcMar>
          </w:tcPr>
          <w:p>
            <w:r>
              <w:rPr>
                <w:rFonts w:ascii="Arial" w:cs="Arial" w:eastAsia="Arial" w:hAnsi="Arial"/>
                <w:color w:val="2A2826"/>
                <w:sz w:val="19"/>
                <w:szCs w:val="19"/>
              </w:rPr>
              <w:t xml:space="preserve">Canvas or SVG export</w:t>
            </w:r>
          </w:p>
        </w:tc>
      </w:tr>
      <w:tr>
        <w:tc>
          <w:tcPr>
            <w:tcW w:type="dxa" w:w="3120"/>
            <w:tcBorders>
              <w:top w:val="single" w:color="DEDBD4" w:sz="1"/>
              <w:left w:val="single" w:color="DEDBD4" w:sz="1"/>
              <w:bottom w:val="single" w:color="DEDBD4" w:sz="1"/>
              <w:right w:val="single" w:color="DEDBD4" w:sz="1"/>
            </w:tcBorders>
            <w:shd w:fill="F6F4F0" w:val="clear"/>
            <w:tcMar>
              <w:top w:type="dxa" w:w="80"/>
              <w:left w:type="dxa" w:w="120"/>
              <w:bottom w:type="dxa" w:w="80"/>
              <w:right w:type="dxa" w:w="120"/>
            </w:tcMar>
          </w:tcPr>
          <w:p>
            <w:r>
              <w:rPr>
                <w:rFonts w:ascii="Arial" w:cs="Arial" w:eastAsia="Arial" w:hAnsi="Arial"/>
                <w:color w:val="2A2826"/>
                <w:sz w:val="19"/>
                <w:szCs w:val="19"/>
              </w:rPr>
              <w:t xml:space="preserve">Gate scan</w:t>
            </w:r>
          </w:p>
        </w:tc>
        <w:tc>
          <w:tcPr>
            <w:tcW w:type="dxa" w:w="3120"/>
            <w:tcBorders>
              <w:top w:val="single" w:color="DEDBD4" w:sz="1"/>
              <w:left w:val="single" w:color="DEDBD4" w:sz="1"/>
              <w:bottom w:val="single" w:color="DEDBD4" w:sz="1"/>
              <w:right w:val="single" w:color="DEDBD4" w:sz="1"/>
            </w:tcBorders>
            <w:shd w:fill="F6F4F0" w:val="clear"/>
            <w:tcMar>
              <w:top w:type="dxa" w:w="80"/>
              <w:left w:type="dxa" w:w="120"/>
              <w:bottom w:type="dxa" w:w="80"/>
              <w:right w:type="dxa" w:w="120"/>
            </w:tcMar>
          </w:tcPr>
          <w:p>
            <w:r>
              <w:rPr>
                <w:rFonts w:ascii="Arial" w:cs="Arial" w:eastAsia="Arial" w:hAnsi="Arial"/>
                <w:color w:val="2A2826"/>
                <w:sz w:val="19"/>
                <w:szCs w:val="19"/>
              </w:rPr>
              <w:t xml:space="preserve">Organiser scans QR with scanner screen</w:t>
            </w:r>
          </w:p>
        </w:tc>
        <w:tc>
          <w:tcPr>
            <w:tcW w:type="dxa" w:w="3120"/>
            <w:tcBorders>
              <w:top w:val="single" w:color="DEDBD4" w:sz="1"/>
              <w:left w:val="single" w:color="DEDBD4" w:sz="1"/>
              <w:bottom w:val="single" w:color="DEDBD4" w:sz="1"/>
              <w:right w:val="single" w:color="DEDBD4" w:sz="1"/>
            </w:tcBorders>
            <w:shd w:fill="F6F4F0" w:val="clear"/>
            <w:tcMar>
              <w:top w:type="dxa" w:w="80"/>
              <w:left w:type="dxa" w:w="120"/>
              <w:bottom w:type="dxa" w:w="80"/>
              <w:right w:type="dxa" w:w="120"/>
            </w:tcMar>
          </w:tcPr>
          <w:p>
            <w:r>
              <w:rPr>
                <w:rFonts w:ascii="Arial" w:cs="Arial" w:eastAsia="Arial" w:hAnsi="Arial"/>
                <w:color w:val="2A2826"/>
                <w:sz w:val="19"/>
                <w:szCs w:val="19"/>
              </w:rPr>
              <w:t xml:space="preserve">jsQR or BarcodeDetector API</w:t>
            </w:r>
          </w:p>
        </w:tc>
      </w:tr>
      <w:tr>
        <w:tc>
          <w:tcPr>
            <w:tcW w:type="dxa" w:w="3120"/>
            <w:tcBorders>
              <w:top w:val="single" w:color="DEDBD4" w:sz="1"/>
              <w:left w:val="single" w:color="DEDBD4" w:sz="1"/>
              <w:bottom w:val="single" w:color="DEDBD4" w:sz="1"/>
              <w:right w:val="single" w:color="DEDBD4" w:sz="1"/>
            </w:tcBorders>
            <w:shd w:fill="FFFFFF" w:val="clear"/>
            <w:tcMar>
              <w:top w:type="dxa" w:w="80"/>
              <w:left w:type="dxa" w:w="120"/>
              <w:bottom w:type="dxa" w:w="80"/>
              <w:right w:type="dxa" w:w="120"/>
            </w:tcMar>
          </w:tcPr>
          <w:p>
            <w:r>
              <w:rPr>
                <w:rFonts w:ascii="Arial" w:cs="Arial" w:eastAsia="Arial" w:hAnsi="Arial"/>
                <w:color w:val="2A2826"/>
                <w:sz w:val="19"/>
                <w:szCs w:val="19"/>
              </w:rPr>
              <w:t xml:space="preserve">Verification</w:t>
            </w:r>
          </w:p>
        </w:tc>
        <w:tc>
          <w:tcPr>
            <w:tcW w:type="dxa" w:w="3120"/>
            <w:tcBorders>
              <w:top w:val="single" w:color="DEDBD4" w:sz="1"/>
              <w:left w:val="single" w:color="DEDBD4" w:sz="1"/>
              <w:bottom w:val="single" w:color="DEDBD4" w:sz="1"/>
              <w:right w:val="single" w:color="DEDBD4" w:sz="1"/>
            </w:tcBorders>
            <w:shd w:fill="FFFFFF" w:val="clear"/>
            <w:tcMar>
              <w:top w:type="dxa" w:w="80"/>
              <w:left w:type="dxa" w:w="120"/>
              <w:bottom w:type="dxa" w:w="80"/>
              <w:right w:type="dxa" w:w="120"/>
            </w:tcMar>
          </w:tcPr>
          <w:p>
            <w:r>
              <w:rPr>
                <w:rFonts w:ascii="Arial" w:cs="Arial" w:eastAsia="Arial" w:hAnsi="Arial"/>
                <w:color w:val="2A2826"/>
                <w:sz w:val="19"/>
                <w:szCs w:val="19"/>
              </w:rPr>
              <w:t xml:space="preserve">UUID looked up, status checked and updated atomically</w:t>
            </w:r>
          </w:p>
        </w:tc>
        <w:tc>
          <w:tcPr>
            <w:tcW w:type="dxa" w:w="3120"/>
            <w:tcBorders>
              <w:top w:val="single" w:color="DEDBD4" w:sz="1"/>
              <w:left w:val="single" w:color="DEDBD4" w:sz="1"/>
              <w:bottom w:val="single" w:color="DEDBD4" w:sz="1"/>
              <w:right w:val="single" w:color="DEDBD4" w:sz="1"/>
            </w:tcBorders>
            <w:shd w:fill="FFFFFF" w:val="clear"/>
            <w:tcMar>
              <w:top w:type="dxa" w:w="80"/>
              <w:left w:type="dxa" w:w="120"/>
              <w:bottom w:type="dxa" w:w="80"/>
              <w:right w:type="dxa" w:w="120"/>
            </w:tcMar>
          </w:tcPr>
          <w:p>
            <w:r>
              <w:rPr>
                <w:rFonts w:ascii="Arial" w:cs="Arial" w:eastAsia="Arial" w:hAnsi="Arial"/>
                <w:color w:val="2A2826"/>
                <w:sz w:val="19"/>
                <w:szCs w:val="19"/>
              </w:rPr>
              <w:t xml:space="preserve">Supabase Edge Function</w:t>
            </w:r>
          </w:p>
        </w:tc>
      </w:tr>
      <w:tr>
        <w:tc>
          <w:tcPr>
            <w:tcW w:type="dxa" w:w="3120"/>
            <w:tcBorders>
              <w:top w:val="single" w:color="DEDBD4" w:sz="1"/>
              <w:left w:val="single" w:color="DEDBD4" w:sz="1"/>
              <w:bottom w:val="single" w:color="DEDBD4" w:sz="1"/>
              <w:right w:val="single" w:color="DEDBD4" w:sz="1"/>
            </w:tcBorders>
            <w:shd w:fill="F6F4F0" w:val="clear"/>
            <w:tcMar>
              <w:top w:type="dxa" w:w="80"/>
              <w:left w:type="dxa" w:w="120"/>
              <w:bottom w:type="dxa" w:w="80"/>
              <w:right w:type="dxa" w:w="120"/>
            </w:tcMar>
          </w:tcPr>
          <w:p>
            <w:r>
              <w:rPr>
                <w:rFonts w:ascii="Arial" w:cs="Arial" w:eastAsia="Arial" w:hAnsi="Arial"/>
                <w:color w:val="2A2826"/>
                <w:sz w:val="19"/>
                <w:szCs w:val="19"/>
              </w:rPr>
              <w:t xml:space="preserve">Result displayed</w:t>
            </w:r>
          </w:p>
        </w:tc>
        <w:tc>
          <w:tcPr>
            <w:tcW w:type="dxa" w:w="3120"/>
            <w:tcBorders>
              <w:top w:val="single" w:color="DEDBD4" w:sz="1"/>
              <w:left w:val="single" w:color="DEDBD4" w:sz="1"/>
              <w:bottom w:val="single" w:color="DEDBD4" w:sz="1"/>
              <w:right w:val="single" w:color="DEDBD4" w:sz="1"/>
            </w:tcBorders>
            <w:shd w:fill="F6F4F0" w:val="clear"/>
            <w:tcMar>
              <w:top w:type="dxa" w:w="80"/>
              <w:left w:type="dxa" w:w="120"/>
              <w:bottom w:type="dxa" w:w="80"/>
              <w:right w:type="dxa" w:w="120"/>
            </w:tcMar>
          </w:tcPr>
          <w:p>
            <w:r>
              <w:rPr>
                <w:rFonts w:ascii="Arial" w:cs="Arial" w:eastAsia="Arial" w:hAnsi="Arial"/>
                <w:color w:val="2A2826"/>
                <w:sz w:val="19"/>
                <w:szCs w:val="19"/>
              </w:rPr>
              <w:t xml:space="preserve">Green pass or red fail shown full screen</w:t>
            </w:r>
          </w:p>
        </w:tc>
        <w:tc>
          <w:tcPr>
            <w:tcW w:type="dxa" w:w="3120"/>
            <w:tcBorders>
              <w:top w:val="single" w:color="DEDBD4" w:sz="1"/>
              <w:left w:val="single" w:color="DEDBD4" w:sz="1"/>
              <w:bottom w:val="single" w:color="DEDBD4" w:sz="1"/>
              <w:right w:val="single" w:color="DEDBD4" w:sz="1"/>
            </w:tcBorders>
            <w:shd w:fill="F6F4F0" w:val="clear"/>
            <w:tcMar>
              <w:top w:type="dxa" w:w="80"/>
              <w:left w:type="dxa" w:w="120"/>
              <w:bottom w:type="dxa" w:w="80"/>
              <w:right w:type="dxa" w:w="120"/>
            </w:tcMar>
          </w:tcPr>
          <w:p>
            <w:r>
              <w:rPr>
                <w:rFonts w:ascii="Arial" w:cs="Arial" w:eastAsia="Arial" w:hAnsi="Arial"/>
                <w:color w:val="2A2826"/>
                <w:sz w:val="19"/>
                <w:szCs w:val="19"/>
              </w:rPr>
              <w:t xml:space="preserve">CSS overlay, audio cue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1A7A4A" w:sz="16"/>
              <w:bottom w:val="none" w:color="FFFFFF" w:sz="0"/>
              <w:right w:val="none" w:color="FFFFFF" w:sz="0"/>
            </w:tcBorders>
            <w:shd w:fill="F0FAF4" w:val="clear"/>
          </w:tcPr>
          <w:p>
            <w:r>
              <w:t xml:space="preserve"/>
            </w:r>
          </w:p>
        </w:tc>
        <w:tc>
          <w:tcPr>
            <w:tcW w:type="dxa" w:w="9180"/>
            <w:tcBorders>
              <w:top w:val="none" w:color="FFFFFF" w:sz="0"/>
              <w:left w:val="none" w:color="FFFFFF" w:sz="0"/>
              <w:bottom w:val="none" w:color="FFFFFF" w:sz="0"/>
              <w:right w:val="none" w:color="FFFFFF" w:sz="0"/>
            </w:tcBorders>
            <w:shd w:fill="F0FAF4" w:val="clear"/>
            <w:tcMar>
              <w:top w:type="dxa" w:w="140"/>
              <w:left w:type="dxa" w:w="200"/>
              <w:bottom w:type="dxa" w:w="140"/>
              <w:right w:type="dxa" w:w="200"/>
            </w:tcMar>
          </w:tcPr>
          <w:p>
            <w:pPr>
              <w:jc w:val="both"/>
            </w:pPr>
            <w:r>
              <w:rPr>
                <w:rFonts w:ascii="Arial" w:cs="Arial" w:eastAsia="Arial" w:hAnsi="Arial"/>
                <w:i/>
                <w:iCs/>
                <w:color w:val="0F4A28"/>
                <w:sz w:val="22"/>
                <w:szCs w:val="22"/>
              </w:rPr>
              <w:t xml:space="preserve">Build the QR ticket system before you launch paid events. The moment money is involved, a credible ticket is non-negotiable. Without it you are not a ticketing platform, you are a WhatsApp group with better design.</w:t>
            </w:r>
          </w:p>
        </w:tc>
      </w:tr>
    </w:tbl>
    <w:p>
      <w:pPr>
        <w:spacing w:after="0" w:before="120"/>
      </w:pPr>
      <w:r>
        <w:t xml:space="preserve"/>
      </w:r>
    </w:p>
    <w:p>
      <w:pPr>
        <w:pBdr>
          <w:bottom w:val="single" w:color="FF6B00" w:sz="4" w:space="4"/>
        </w:pBdr>
        <w:spacing w:after="80" w:before="400"/>
      </w:pPr>
      <w:r>
        <w:rPr>
          <w:rFonts w:ascii="Arial" w:cs="Arial" w:eastAsia="Arial" w:hAnsi="Arial"/>
          <w:b/>
          <w:bCs/>
          <w:color w:val="FF6B00"/>
          <w:spacing w:val="40"/>
          <w:sz w:val="17"/>
          <w:szCs w:val="17"/>
        </w:rPr>
        <w:t xml:space="preserve">GROWTH STRATEGY</w:t>
      </w:r>
    </w:p>
    <w:p>
      <w:pPr>
        <w:pStyle w:val="Heading1"/>
        <w:spacing w:after="160" w:before="100"/>
      </w:pPr>
      <w:r>
        <w:rPr>
          <w:rFonts w:ascii="Arial" w:cs="Arial" w:eastAsia="Arial" w:hAnsi="Arial"/>
          <w:b/>
          <w:bCs/>
          <w:color w:val="0F0F1A"/>
          <w:sz w:val="42"/>
          <w:szCs w:val="42"/>
        </w:rPr>
        <w:t xml:space="preserve">Making Gen Z in Kampala fall in love with Toka</w:t>
      </w:r>
    </w:p>
    <w:p>
      <w:pPr>
        <w:spacing w:after="80" w:before="60"/>
        <w:jc w:val="both"/>
      </w:pPr>
      <w:r>
        <w:rPr>
          <w:rFonts w:ascii="Arial" w:cs="Arial" w:eastAsia="Arial" w:hAnsi="Arial"/>
          <w:color w:val="2A2826"/>
          <w:sz w:val="22"/>
          <w:szCs w:val="22"/>
        </w:rPr>
        <w:t xml:space="preserve">This is where most founders go wrong. They think ‘Gen Z marketing’ means posting on Instagram and making the UI dark mode. That is not even close to the full picture. Gen Z does not fall in love with apps. They fall in love with experiences that make them feel seen, ahead of the curve, and part of something real. Here is what actually works in this context.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Understand what Gen Z in Kampala actually wants</w:t>
      </w:r>
    </w:p>
    <w:p>
      <w:pPr>
        <w:spacing w:after="80" w:before="60"/>
        <w:jc w:val="both"/>
      </w:pPr>
      <w:r>
        <w:rPr>
          <w:rFonts w:ascii="Arial" w:cs="Arial" w:eastAsia="Arial" w:hAnsi="Arial"/>
          <w:color w:val="2A2826"/>
          <w:sz w:val="22"/>
          <w:szCs w:val="22"/>
        </w:rPr>
        <w:t xml:space="preserve">Before any tactic, understand the specific psychological and social drivers at play. Kampala’s Gen Z cohort is not the same as London or Nairobi Gen Z, though they share surface-level aesthetics. Kampala Gen Z is navigating identity, aspiration, and community simultaneously. They are digital-first but physically social. They follow trends from Lagos, Nairobi, and globally, but they want to see their own city reflected back at them with pride.</w:t>
      </w:r>
    </w:p>
    <w:p>
      <w:pPr>
        <w:spacing w:after="0" w:before="40"/>
      </w:pPr>
      <w:r>
        <w:t xml:space="preserve"/>
      </w:r>
    </w:p>
    <w:p>
      <w:pPr>
        <w:pStyle w:val="ListParagraph"/>
        <w:numPr>
          <w:ilvl w:val="0"/>
          <w:numId w:val="2"/>
        </w:numPr>
        <w:spacing w:after="50" w:before="40"/>
      </w:pPr>
      <w:r>
        <w:rPr>
          <w:rFonts w:ascii="Arial" w:cs="Arial" w:eastAsia="Arial" w:hAnsi="Arial"/>
          <w:color w:val="2A2826"/>
          <w:sz w:val="22"/>
          <w:szCs w:val="22"/>
        </w:rPr>
        <w:t xml:space="preserve">They want to be the person who finds things first. Being early to a product or an event is social currency.</w:t>
      </w:r>
    </w:p>
    <w:p>
      <w:pPr>
        <w:pStyle w:val="ListParagraph"/>
        <w:numPr>
          <w:ilvl w:val="0"/>
          <w:numId w:val="2"/>
        </w:numPr>
        <w:spacing w:after="50" w:before="40"/>
      </w:pPr>
      <w:r>
        <w:rPr>
          <w:rFonts w:ascii="Arial" w:cs="Arial" w:eastAsia="Arial" w:hAnsi="Arial"/>
          <w:color w:val="2A2826"/>
          <w:sz w:val="22"/>
          <w:szCs w:val="22"/>
        </w:rPr>
        <w:t xml:space="preserve">They are intensely community-driven. An app their friends use is ten times more trustworthy than an app with a good review.</w:t>
      </w:r>
    </w:p>
    <w:p>
      <w:pPr>
        <w:pStyle w:val="ListParagraph"/>
        <w:numPr>
          <w:ilvl w:val="0"/>
          <w:numId w:val="2"/>
        </w:numPr>
        <w:spacing w:after="50" w:before="40"/>
      </w:pPr>
      <w:r>
        <w:rPr>
          <w:rFonts w:ascii="Arial" w:cs="Arial" w:eastAsia="Arial" w:hAnsi="Arial"/>
          <w:color w:val="2A2826"/>
          <w:sz w:val="22"/>
          <w:szCs w:val="22"/>
        </w:rPr>
        <w:t xml:space="preserve">They can detect inauthenticity instantly. Marketing that feels corporate or forced gets ignored or mocked.</w:t>
      </w:r>
    </w:p>
    <w:p>
      <w:pPr>
        <w:pStyle w:val="ListParagraph"/>
        <w:numPr>
          <w:ilvl w:val="0"/>
          <w:numId w:val="2"/>
        </w:numPr>
        <w:spacing w:after="50" w:before="40"/>
      </w:pPr>
      <w:r>
        <w:rPr>
          <w:rFonts w:ascii="Arial" w:cs="Arial" w:eastAsia="Arial" w:hAnsi="Arial"/>
          <w:color w:val="2A2826"/>
          <w:sz w:val="22"/>
          <w:szCs w:val="22"/>
        </w:rPr>
        <w:t xml:space="preserve">They share based on emotion, not information. They share things that make them feel something: excitement, pride, humour, belonging.</w:t>
      </w:r>
    </w:p>
    <w:p>
      <w:pPr>
        <w:pStyle w:val="ListParagraph"/>
        <w:numPr>
          <w:ilvl w:val="0"/>
          <w:numId w:val="2"/>
        </w:numPr>
        <w:spacing w:after="50" w:before="40"/>
      </w:pPr>
      <w:r>
        <w:rPr>
          <w:rFonts w:ascii="Arial" w:cs="Arial" w:eastAsia="Arial" w:hAnsi="Arial"/>
          <w:color w:val="2A2826"/>
          <w:sz w:val="22"/>
          <w:szCs w:val="22"/>
        </w:rPr>
        <w:t xml:space="preserve">They are mobile-native. If an experience is not smooth on a mid-range Android, they will not tolerate it.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Strategy 1: Make using Toka feel like an identity signal</w:t>
      </w:r>
    </w:p>
    <w:p>
      <w:pPr>
        <w:spacing w:after="80" w:before="60"/>
        <w:jc w:val="both"/>
      </w:pPr>
      <w:r>
        <w:rPr>
          <w:rFonts w:ascii="Arial" w:cs="Arial" w:eastAsia="Arial" w:hAnsi="Arial"/>
          <w:color w:val="2A2826"/>
          <w:sz w:val="22"/>
          <w:szCs w:val="22"/>
        </w:rPr>
        <w:t xml:space="preserve">The most powerful thing you can do is make having a Toka ticket feel like being part of something. Not just a ticket — a credential. Consider the design of the ticket itself: it should look so good that people screenshot it to post on their story before the event. It should have the event artwork, a clean Toka watermark, the attendee’s name rendered beautifully, and a QR code that looks intentional rather than functional. When the ticket is beautiful, sharing it is free advertising.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FF6B00" w:sz="16"/>
              <w:bottom w:val="none" w:color="FFFFFF" w:sz="0"/>
              <w:right w:val="none" w:color="FFFFFF" w:sz="0"/>
            </w:tcBorders>
            <w:shd w:fill="FFF4EC" w:val="clear"/>
          </w:tcPr>
          <w:p>
            <w:r>
              <w:t xml:space="preserve"/>
            </w:r>
          </w:p>
        </w:tc>
        <w:tc>
          <w:tcPr>
            <w:tcW w:type="dxa" w:w="9180"/>
            <w:tcBorders>
              <w:top w:val="none" w:color="FFFFFF" w:sz="0"/>
              <w:left w:val="none" w:color="FFFFFF" w:sz="0"/>
              <w:bottom w:val="none" w:color="FFFFFF" w:sz="0"/>
              <w:right w:val="none" w:color="FFFFFF" w:sz="0"/>
            </w:tcBorders>
            <w:shd w:fill="FFF4EC" w:val="clear"/>
            <w:tcMar>
              <w:top w:type="dxa" w:w="140"/>
              <w:left w:type="dxa" w:w="200"/>
              <w:bottom w:type="dxa" w:w="140"/>
              <w:right w:type="dxa" w:w="200"/>
            </w:tcMar>
          </w:tcPr>
          <w:p>
            <w:pPr>
              <w:jc w:val="both"/>
            </w:pPr>
            <w:r>
              <w:rPr>
                <w:rFonts w:ascii="Arial" w:cs="Arial" w:eastAsia="Arial" w:hAnsi="Arial"/>
                <w:i/>
                <w:iCs/>
                <w:color w:val="2A2826"/>
                <w:sz w:val="22"/>
                <w:szCs w:val="22"/>
              </w:rPr>
              <w:t xml:space="preserve">Study how Spotify Wrapped became a cultural moment. It was not a feature. It was a shareable identity signal. Your ticket is the equivalent. Every person who posts their Toka ticket to their story has just told their entire network that Toka exists and that they use it. That is worth more than any paid ad.</w:t>
            </w:r>
          </w:p>
        </w:tc>
      </w:tr>
    </w:tbl>
    <w:p>
      <w:pPr>
        <w:spacing w:after="0" w:before="60"/>
      </w:pPr>
      <w:r>
        <w:t xml:space="preserve"/>
      </w:r>
    </w:p>
    <w:p>
      <w:pPr>
        <w:pStyle w:val="Heading2"/>
        <w:spacing w:after="100" w:before="280"/>
      </w:pPr>
      <w:r>
        <w:rPr>
          <w:rFonts w:ascii="Arial" w:cs="Arial" w:eastAsia="Arial" w:hAnsi="Arial"/>
          <w:b/>
          <w:bCs/>
          <w:color w:val="0F0F1A"/>
          <w:sz w:val="28"/>
          <w:szCs w:val="28"/>
        </w:rPr>
        <w:t xml:space="preserve">Strategy 2: The insider access loop</w:t>
      </w:r>
    </w:p>
    <w:p>
      <w:pPr>
        <w:spacing w:after="80" w:before="60"/>
        <w:jc w:val="both"/>
      </w:pPr>
      <w:r>
        <w:rPr>
          <w:rFonts w:ascii="Arial" w:cs="Arial" w:eastAsia="Arial" w:hAnsi="Arial"/>
          <w:color w:val="2A2826"/>
          <w:sz w:val="22"/>
          <w:szCs w:val="22"/>
        </w:rPr>
        <w:t xml:space="preserve">Gen Z responds powerfully to the feeling of insider access. Design a system where being an early Toka user gives you something real: priority registration for high-demand events, access to a pre-sale window before an event goes public, a small badge on your profile that marks you as an early adopter. None of this requires significant engineering. It requires intentional product design that creates hierarchy and aspiration.</w:t>
      </w:r>
    </w:p>
    <w:p>
      <w:pPr>
        <w:spacing w:after="0" w:before="40"/>
      </w:pPr>
      <w:r>
        <w:t xml:space="preserve"/>
      </w:r>
    </w:p>
    <w:p>
      <w:pPr>
        <w:spacing w:after="80" w:before="60"/>
        <w:jc w:val="both"/>
      </w:pPr>
      <w:r>
        <w:rPr>
          <w:rFonts w:ascii="Arial" w:cs="Arial" w:eastAsia="Arial" w:hAnsi="Arial"/>
          <w:color w:val="2A2826"/>
          <w:sz w:val="22"/>
          <w:szCs w:val="22"/>
        </w:rPr>
        <w:t xml:space="preserve">Practically: for the first 100 users who register on Toka, give them an ‘OG’ badge that is permanently visible on their profile. Make it clear this badge will never be given to anyone who joins after the launch period. Scarcity and permanence make it valuable. Those 100 users will have a personal reason to tell others about Toka because their early adoption is now part of their identity on the platform.</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Strategy 3: Make the organiser the hero</w:t>
      </w:r>
    </w:p>
    <w:p>
      <w:pPr>
        <w:spacing w:after="80" w:before="60"/>
        <w:jc w:val="both"/>
      </w:pPr>
      <w:r>
        <w:rPr>
          <w:rFonts w:ascii="Arial" w:cs="Arial" w:eastAsia="Arial" w:hAnsi="Arial"/>
          <w:color w:val="2A2826"/>
          <w:sz w:val="22"/>
          <w:szCs w:val="22"/>
        </w:rPr>
        <w:t xml:space="preserve">In Kampala’s events scene, the organiser is a social figure. People follow promoters and creatives the way they follow influencers. If Toka positions itself as the platform that makes great organisers look more professional and reach more people, word will spread through organiser networks faster than any attendee-facing campaign could achieve. When an organiser shares their Toka event page with pride — because it looks significantly better than a Facebook event or a WhatsApp flyer — every person who sees it is a potential Toka user.</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Strategy 4: Campus ambassador programme</w:t>
      </w:r>
    </w:p>
    <w:p>
      <w:pPr>
        <w:spacing w:after="80" w:before="60"/>
        <w:jc w:val="both"/>
      </w:pPr>
      <w:r>
        <w:rPr>
          <w:rFonts w:ascii="Arial" w:cs="Arial" w:eastAsia="Arial" w:hAnsi="Arial"/>
          <w:color w:val="2A2826"/>
          <w:sz w:val="22"/>
          <w:szCs w:val="22"/>
        </w:rPr>
        <w:t xml:space="preserve">Identify one person at each of Kampala’s major campuses: Makerere, Kyambogo, MUBS, UCU, Nkumba. Their job is not to be a salesperson. Their job is to be the person on campus who makes events happen through Toka. Give them early access to features, give them a verified organiser badge, give them a direct line to you for support. In return, their events are Toka’s proof points at that institution. This is how Uber launched in new markets. This is how Airbnb seeded cities. Personal ambassadors who have genuine social capital in a specific community.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EDBD4" w:sz="1"/>
              <w:left w:val="single" w:color="DEDBD4" w:sz="1"/>
              <w:bottom w:val="single" w:color="DEDBD4" w:sz="1"/>
              <w:right w:val="single" w:color="DEDBD4"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Campus</w:t>
            </w:r>
          </w:p>
        </w:tc>
        <w:tc>
          <w:tcPr>
            <w:tcW w:type="dxa" w:w="5760"/>
            <w:tcBorders>
              <w:top w:val="single" w:color="DEDBD4" w:sz="1"/>
              <w:left w:val="single" w:color="DEDBD4" w:sz="1"/>
              <w:bottom w:val="single" w:color="DEDBD4" w:sz="1"/>
              <w:right w:val="single" w:color="DEDBD4"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What you need from the ambassador</w:t>
            </w:r>
          </w:p>
        </w:tc>
      </w:tr>
      <w:tr>
        <w:tc>
          <w:tcPr>
            <w:tcW w:type="dxa" w:w="36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Makerere University</w:t>
            </w:r>
          </w:p>
        </w:tc>
        <w:tc>
          <w:tcPr>
            <w:tcW w:type="dxa" w:w="57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Guild-connected student with event organising experience</w:t>
            </w:r>
          </w:p>
        </w:tc>
      </w:tr>
      <w:tr>
        <w:tc>
          <w:tcPr>
            <w:tcW w:type="dxa" w:w="36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Kyambogo University</w:t>
            </w:r>
          </w:p>
        </w:tc>
        <w:tc>
          <w:tcPr>
            <w:tcW w:type="dxa" w:w="57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Active in sports, cultural events, or faculty societies</w:t>
            </w:r>
          </w:p>
        </w:tc>
      </w:tr>
      <w:tr>
        <w:tc>
          <w:tcPr>
            <w:tcW w:type="dxa" w:w="36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MUBS</w:t>
            </w:r>
          </w:p>
        </w:tc>
        <w:tc>
          <w:tcPr>
            <w:tcW w:type="dxa" w:w="57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Business-minded, connected to entrepreneurship clubs</w:t>
            </w:r>
          </w:p>
        </w:tc>
      </w:tr>
      <w:tr>
        <w:tc>
          <w:tcPr>
            <w:tcW w:type="dxa" w:w="36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UCU / Nkumba</w:t>
            </w:r>
          </w:p>
        </w:tc>
        <w:tc>
          <w:tcPr>
            <w:tcW w:type="dxa" w:w="57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Faith community events coordinator or social club leader</w:t>
            </w:r>
          </w:p>
        </w:tc>
      </w:tr>
      <w:tr>
        <w:tc>
          <w:tcPr>
            <w:tcW w:type="dxa" w:w="36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International University of East Africa</w:t>
            </w:r>
          </w:p>
        </w:tc>
        <w:tc>
          <w:tcPr>
            <w:tcW w:type="dxa" w:w="57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Cross-border network, international student community</w:t>
            </w:r>
          </w:p>
        </w:tc>
      </w:tr>
    </w:tbl>
    <w:p>
      <w:pPr>
        <w:spacing w:after="0" w:before="60"/>
      </w:pPr>
      <w:r>
        <w:t xml:space="preserve"/>
      </w:r>
    </w:p>
    <w:p>
      <w:pPr>
        <w:pStyle w:val="Heading2"/>
        <w:spacing w:after="100" w:before="280"/>
      </w:pPr>
      <w:r>
        <w:rPr>
          <w:rFonts w:ascii="Arial" w:cs="Arial" w:eastAsia="Arial" w:hAnsi="Arial"/>
          <w:b/>
          <w:bCs/>
          <w:color w:val="0F0F1A"/>
          <w:sz w:val="28"/>
          <w:szCs w:val="28"/>
        </w:rPr>
        <w:t xml:space="preserve">Strategy 5: The event memory product</w:t>
      </w:r>
    </w:p>
    <w:p>
      <w:pPr>
        <w:spacing w:after="80" w:before="60"/>
        <w:jc w:val="both"/>
      </w:pPr>
      <w:r>
        <w:rPr>
          <w:rFonts w:ascii="Arial" w:cs="Arial" w:eastAsia="Arial" w:hAnsi="Arial"/>
          <w:color w:val="2A2826"/>
          <w:sz w:val="22"/>
          <w:szCs w:val="22"/>
        </w:rPr>
        <w:t xml:space="preserve">One thing that does not exist in Kampala’s events ecosystem is a beautiful record of events after they happen. Toka can own this. Twenty-four hours after an event closes, automatically generate a simple event recap card: event name, date, number of attendees, a space for the organiser to add one photo. Share this to the event’s attendee list and make it shareable. ‘You were there.’ People share memories more readily than they share anticipation. This creates Toka-branded content at every event that flows organically through social networks.</w:t>
      </w:r>
    </w:p>
    <w:p>
      <w:pPr>
        <w:spacing w:after="0" w:before="120"/>
      </w:pPr>
      <w:r>
        <w:t xml:space="preserve"/>
      </w:r>
    </w:p>
    <w:p>
      <w:pPr>
        <w:pBdr>
          <w:bottom w:val="single" w:color="FF6B00" w:sz="4" w:space="4"/>
        </w:pBdr>
        <w:spacing w:after="80" w:before="400"/>
      </w:pPr>
      <w:r>
        <w:rPr>
          <w:rFonts w:ascii="Arial" w:cs="Arial" w:eastAsia="Arial" w:hAnsi="Arial"/>
          <w:b/>
          <w:bCs/>
          <w:color w:val="FF6B00"/>
          <w:spacing w:val="40"/>
          <w:sz w:val="17"/>
          <w:szCs w:val="17"/>
        </w:rPr>
        <w:t xml:space="preserve">MARKETING CHANNEL</w:t>
      </w:r>
    </w:p>
    <w:p>
      <w:pPr>
        <w:pStyle w:val="Heading1"/>
        <w:spacing w:after="160" w:before="100"/>
      </w:pPr>
      <w:r>
        <w:rPr>
          <w:rFonts w:ascii="Arial" w:cs="Arial" w:eastAsia="Arial" w:hAnsi="Arial"/>
          <w:b/>
          <w:bCs/>
          <w:color w:val="0F0F1A"/>
          <w:sz w:val="42"/>
          <w:szCs w:val="42"/>
        </w:rPr>
        <w:t xml:space="preserve">TikTok: honest assessment and execution plan</w:t>
      </w:r>
    </w:p>
    <w:p>
      <w:pPr>
        <w:spacing w:after="80" w:before="60"/>
        <w:jc w:val="both"/>
      </w:pPr>
      <w:r>
        <w:rPr>
          <w:rFonts w:ascii="Arial" w:cs="Arial" w:eastAsia="Arial" w:hAnsi="Arial"/>
          <w:color w:val="2A2826"/>
          <w:sz w:val="22"/>
          <w:szCs w:val="22"/>
        </w:rPr>
        <w:t xml:space="preserve">Yes. TikTok is absolutely a serious marketing channel for Toka. But let me be precise about why, and more importantly about how — because most brands use TikTok wrong and get nothing from it except wasted time.</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Why TikTok is right for Toka specifically</w:t>
      </w:r>
    </w:p>
    <w:p>
      <w:pPr>
        <w:spacing w:after="80" w:before="60"/>
        <w:jc w:val="both"/>
      </w:pPr>
      <w:r>
        <w:rPr>
          <w:rFonts w:ascii="Arial" w:cs="Arial" w:eastAsia="Arial" w:hAnsi="Arial"/>
          <w:color w:val="2A2826"/>
          <w:sz w:val="22"/>
          <w:szCs w:val="22"/>
        </w:rPr>
        <w:t xml:space="preserve">TikTok’s algorithm has one property that makes it uniquely powerful for a product at your stage: it does not care how many followers you have. A brand-new account with zero followers can post a video that reaches 500,000 people if the content holds attention. This means you can compete with established platforms on a completely level playing field. For a bootstrapped founder in Kampala with no marketing budget, that is a genuinely extraordinary opportunity.</w:t>
      </w:r>
    </w:p>
    <w:p>
      <w:pPr>
        <w:spacing w:after="0" w:before="40"/>
      </w:pPr>
      <w:r>
        <w:t xml:space="preserve"/>
      </w:r>
    </w:p>
    <w:p>
      <w:pPr>
        <w:spacing w:after="80" w:before="60"/>
        <w:jc w:val="both"/>
      </w:pPr>
      <w:r>
        <w:rPr>
          <w:rFonts w:ascii="Arial" w:cs="Arial" w:eastAsia="Arial" w:hAnsi="Arial"/>
          <w:color w:val="2A2826"/>
          <w:sz w:val="22"/>
          <w:szCs w:val="22"/>
        </w:rPr>
        <w:t xml:space="preserve">The content that performs well on TikTok in East Africa is: authentic, slightly chaotic, either funny or emotionally resonant, and grounded in real places and real people. Toka’s subject matter — events, energy, community, Kampala nightlife and culture — is natively TikTok content. You are not stretching to fit the medium. The medium fits you.</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What to post: the three content pillars</w:t>
      </w:r>
    </w:p>
    <w:p>
      <w:pPr>
        <w:spacing w:after="60" w:before="180"/>
      </w:pPr>
      <w:r>
        <w:rPr>
          <w:rFonts w:ascii="Arial" w:cs="Arial" w:eastAsia="Arial" w:hAnsi="Arial"/>
          <w:b/>
          <w:bCs/>
          <w:color w:val="1A1A2E"/>
          <w:sz w:val="22"/>
          <w:szCs w:val="22"/>
        </w:rPr>
        <w:t xml:space="preserve">Pillar 1: Behind the event</w:t>
      </w:r>
    </w:p>
    <w:p>
      <w:pPr>
        <w:spacing w:after="80" w:before="60"/>
        <w:jc w:val="both"/>
      </w:pPr>
      <w:r>
        <w:rPr>
          <w:rFonts w:ascii="Arial" w:cs="Arial" w:eastAsia="Arial" w:hAnsi="Arial"/>
          <w:color w:val="2A2826"/>
          <w:sz w:val="22"/>
          <w:szCs w:val="22"/>
        </w:rPr>
        <w:t xml:space="preserve">Short videos showing the preparation, atmosphere, and aftermath of real events published on Toka. Not promotional content. Authentic glimpses. A 30-second video of a venue being set up the morning of an event, cut to the same venue packed with people at night, ending with the Toka ticket screen. No voiceover. Just music and the images. This content tells the story of the events ecosystem better than any caption could.</w:t>
      </w:r>
    </w:p>
    <w:p>
      <w:pPr>
        <w:spacing w:after="0" w:before="40"/>
      </w:pPr>
      <w:r>
        <w:t xml:space="preserve"/>
      </w:r>
    </w:p>
    <w:p>
      <w:pPr>
        <w:spacing w:after="60" w:before="180"/>
      </w:pPr>
      <w:r>
        <w:rPr>
          <w:rFonts w:ascii="Arial" w:cs="Arial" w:eastAsia="Arial" w:hAnsi="Arial"/>
          <w:b/>
          <w:bCs/>
          <w:color w:val="1A1A2E"/>
          <w:sz w:val="22"/>
          <w:szCs w:val="22"/>
        </w:rPr>
        <w:t xml:space="preserve">Pillar 2: Organiser spotlights</w:t>
      </w:r>
    </w:p>
    <w:p>
      <w:pPr>
        <w:spacing w:after="80" w:before="60"/>
        <w:jc w:val="both"/>
      </w:pPr>
      <w:r>
        <w:rPr>
          <w:rFonts w:ascii="Arial" w:cs="Arial" w:eastAsia="Arial" w:hAnsi="Arial"/>
          <w:color w:val="2A2826"/>
          <w:sz w:val="22"/>
          <w:szCs w:val="22"/>
        </w:rPr>
        <w:t xml:space="preserve">Interview your early organisers on camera. One to two minutes. Three questions: what made you decide to organise this event, what was the hardest part, and what does it feel like when people show up. These are deeply human stories. They make the organiser sympathetic and aspirational. They show potential organisers that real people like them are using Toka successfully. And they give the featured organiser a reason to share the video with their entire network.</w:t>
      </w:r>
    </w:p>
    <w:p>
      <w:pPr>
        <w:spacing w:after="0" w:before="40"/>
      </w:pPr>
      <w:r>
        <w:t xml:space="preserve"/>
      </w:r>
    </w:p>
    <w:p>
      <w:pPr>
        <w:spacing w:after="60" w:before="180"/>
      </w:pPr>
      <w:r>
        <w:rPr>
          <w:rFonts w:ascii="Arial" w:cs="Arial" w:eastAsia="Arial" w:hAnsi="Arial"/>
          <w:b/>
          <w:bCs/>
          <w:color w:val="1A1A2E"/>
          <w:sz w:val="22"/>
          <w:szCs w:val="22"/>
        </w:rPr>
        <w:t xml:space="preserve">Pillar 3: The product reveal</w:t>
      </w:r>
    </w:p>
    <w:p>
      <w:pPr>
        <w:spacing w:after="80" w:before="60"/>
        <w:jc w:val="both"/>
      </w:pPr>
      <w:r>
        <w:rPr>
          <w:rFonts w:ascii="Arial" w:cs="Arial" w:eastAsia="Arial" w:hAnsi="Arial"/>
          <w:color w:val="2A2826"/>
          <w:sz w:val="22"/>
          <w:szCs w:val="22"/>
        </w:rPr>
        <w:t xml:space="preserve">Screen recordings of using Toka to discover an event, buy a ticket, and receive a beautiful QR ticket — all in under 60 seconds. Make it look satisfying. Spend time on the edit. Add a sound that syncs to the moments. The goal is to make people feel like they are missing out by not using it. This is the ‘how did I not know about this’ content category, and it works incredibly well for apps.</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The posting strategy</w:t>
      </w:r>
    </w:p>
    <w:p>
      <w:pPr>
        <w:spacing w:after="80" w:before="60"/>
        <w:jc w:val="both"/>
      </w:pPr>
      <w:r>
        <w:rPr>
          <w:rFonts w:ascii="Arial" w:cs="Arial" w:eastAsia="Arial" w:hAnsi="Arial"/>
          <w:color w:val="2A2826"/>
          <w:sz w:val="22"/>
          <w:szCs w:val="22"/>
        </w:rPr>
        <w:t xml:space="preserve">Post three times per week minimum for the first three months. Consistency matters more than perfection on TikTok. The algorithm rewards accounts that post regularly because it gives the recommendation engine more data to work with. Do not delete videos that perform poorly — every video teaches you something about what resonates with your audience.</w:t>
      </w:r>
    </w:p>
    <w:p>
      <w:pPr>
        <w:spacing w:after="0" w:before="40"/>
      </w:pPr>
      <w:r>
        <w:t xml:space="preserve"/>
      </w:r>
    </w:p>
    <w:p>
      <w:pPr>
        <w:pStyle w:val="ListParagraph"/>
        <w:numPr>
          <w:ilvl w:val="0"/>
          <w:numId w:val="2"/>
        </w:numPr>
        <w:spacing w:after="50" w:before="40"/>
      </w:pPr>
      <w:r>
        <w:rPr>
          <w:rFonts w:ascii="Arial" w:cs="Arial" w:eastAsia="Arial" w:hAnsi="Arial"/>
          <w:color w:val="2A2826"/>
          <w:sz w:val="22"/>
          <w:szCs w:val="22"/>
        </w:rPr>
        <w:t xml:space="preserve">Monday: organiser spotlight or behind-the-event content (emotional)</w:t>
      </w:r>
    </w:p>
    <w:p>
      <w:pPr>
        <w:pStyle w:val="ListParagraph"/>
        <w:numPr>
          <w:ilvl w:val="0"/>
          <w:numId w:val="2"/>
        </w:numPr>
        <w:spacing w:after="50" w:before="40"/>
      </w:pPr>
      <w:r>
        <w:rPr>
          <w:rFonts w:ascii="Arial" w:cs="Arial" w:eastAsia="Arial" w:hAnsi="Arial"/>
          <w:color w:val="2A2826"/>
          <w:sz w:val="22"/>
          <w:szCs w:val="22"/>
        </w:rPr>
        <w:t xml:space="preserve">Wednesday: product reveal or tutorial content (functional)</w:t>
      </w:r>
    </w:p>
    <w:p>
      <w:pPr>
        <w:pStyle w:val="ListParagraph"/>
        <w:numPr>
          <w:ilvl w:val="0"/>
          <w:numId w:val="2"/>
        </w:numPr>
        <w:spacing w:after="50" w:before="40"/>
      </w:pPr>
      <w:r>
        <w:rPr>
          <w:rFonts w:ascii="Arial" w:cs="Arial" w:eastAsia="Arial" w:hAnsi="Arial"/>
          <w:color w:val="2A2826"/>
          <w:sz w:val="22"/>
          <w:szCs w:val="22"/>
        </w:rPr>
        <w:t xml:space="preserve">Friday: event preview content tied to something happening that weekend (urgent)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FF6B00" w:sz="16"/>
              <w:bottom w:val="none" w:color="FFFFFF" w:sz="0"/>
              <w:right w:val="none" w:color="FFFFFF" w:sz="0"/>
            </w:tcBorders>
            <w:shd w:fill="FFF4EC" w:val="clear"/>
          </w:tcPr>
          <w:p>
            <w:r>
              <w:t xml:space="preserve"/>
            </w:r>
          </w:p>
        </w:tc>
        <w:tc>
          <w:tcPr>
            <w:tcW w:type="dxa" w:w="9180"/>
            <w:tcBorders>
              <w:top w:val="none" w:color="FFFFFF" w:sz="0"/>
              <w:left w:val="none" w:color="FFFFFF" w:sz="0"/>
              <w:bottom w:val="none" w:color="FFFFFF" w:sz="0"/>
              <w:right w:val="none" w:color="FFFFFF" w:sz="0"/>
            </w:tcBorders>
            <w:shd w:fill="FFF4EC" w:val="clear"/>
            <w:tcMar>
              <w:top w:type="dxa" w:w="140"/>
              <w:left w:type="dxa" w:w="200"/>
              <w:bottom w:type="dxa" w:w="140"/>
              <w:right w:type="dxa" w:w="200"/>
            </w:tcMar>
          </w:tcPr>
          <w:p>
            <w:pPr>
              <w:jc w:val="both"/>
            </w:pPr>
            <w:r>
              <w:rPr>
                <w:rFonts w:ascii="Arial" w:cs="Arial" w:eastAsia="Arial" w:hAnsi="Arial"/>
                <w:i/>
                <w:iCs/>
                <w:color w:val="2A2826"/>
                <w:sz w:val="22"/>
                <w:szCs w:val="22"/>
              </w:rPr>
              <w:t xml:space="preserve">The single most important TikTok principle: the first two seconds determine everything. If you do not hook attention in the first two seconds, the viewer scrolls and the algorithm penalises the video. Always open with either a question, a surprising visual, or a statement that creates curiosity. Never open with a logo, a brand intro, or context-setting.</w:t>
            </w:r>
          </w:p>
        </w:tc>
      </w:tr>
    </w:tbl>
    <w:p>
      <w:pPr>
        <w:spacing w:after="0" w:before="60"/>
      </w:pPr>
      <w:r>
        <w:t xml:space="preserve"/>
      </w:r>
    </w:p>
    <w:p>
      <w:pPr>
        <w:pStyle w:val="Heading2"/>
        <w:spacing w:after="100" w:before="280"/>
      </w:pPr>
      <w:r>
        <w:rPr>
          <w:rFonts w:ascii="Arial" w:cs="Arial" w:eastAsia="Arial" w:hAnsi="Arial"/>
          <w:b/>
          <w:bCs/>
          <w:color w:val="0F0F1A"/>
          <w:sz w:val="28"/>
          <w:szCs w:val="28"/>
        </w:rPr>
        <w:t xml:space="preserve">TikTok for genuine insights</w:t>
      </w:r>
    </w:p>
    <w:p>
      <w:pPr>
        <w:spacing w:after="80" w:before="60"/>
        <w:jc w:val="both"/>
      </w:pPr>
      <w:r>
        <w:rPr>
          <w:rFonts w:ascii="Arial" w:cs="Arial" w:eastAsia="Arial" w:hAnsi="Arial"/>
          <w:color w:val="2A2826"/>
          <w:sz w:val="22"/>
          <w:szCs w:val="22"/>
        </w:rPr>
        <w:t xml:space="preserve">TikTok is not just a broadcast channel. It is a research tool. Use the comments section aggressively. Ask questions in your videos. ‘What event in Kampala would you most like to see have a proper ticketing system?’ ‘What makes you not trust online event registration?’ ‘What would a perfect event discovery app look like for you?’ The comments will give you direct, unfiltered product feedback from your exact target demographic. This is ethnographic research at zero cost.</w:t>
      </w:r>
    </w:p>
    <w:p>
      <w:pPr>
        <w:spacing w:after="0" w:before="40"/>
      </w:pPr>
      <w:r>
        <w:t xml:space="preserve"/>
      </w:r>
    </w:p>
    <w:p>
      <w:pPr>
        <w:spacing w:after="80" w:before="60"/>
        <w:jc w:val="both"/>
      </w:pPr>
      <w:r>
        <w:rPr>
          <w:rFonts w:ascii="Arial" w:cs="Arial" w:eastAsia="Arial" w:hAnsi="Arial"/>
          <w:color w:val="2A2826"/>
          <w:sz w:val="22"/>
          <w:szCs w:val="22"/>
        </w:rPr>
        <w:t xml:space="preserve">Also study the TikTok feeds of Kampala’s active event promoters and creatives. What language do they use? What aesthetics are they drawn to? What complaints do they make about current solutions? What gets the most engagement? This is market intelligence that no formal research methodology can replicate at this speed.</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What TikTok cannot do for you</w:t>
      </w:r>
    </w:p>
    <w:p>
      <w:pPr>
        <w:spacing w:after="80" w:before="60"/>
        <w:jc w:val="both"/>
      </w:pPr>
      <w:r>
        <w:rPr>
          <w:rFonts w:ascii="Arial" w:cs="Arial" w:eastAsia="Arial" w:hAnsi="Arial"/>
          <w:color w:val="2A2826"/>
          <w:sz w:val="22"/>
          <w:szCs w:val="22"/>
        </w:rPr>
        <w:t xml:space="preserve">Be clear-eyed about the limits. TikTok is excellent for awareness and emotional connection. It is poor for direct conversion to app installs or account registrations. The path from TikTok viewer to Toka user is long: they watch, they feel something, they might follow, they might visit the site later. It is brand-building, not performance marketing. Do not measure TikTok by direct conversions. Measure it by follower growth, average view duration, and qualitative sentiment in comments.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EDBD4" w:sz="1"/>
              <w:left w:val="single" w:color="DEDBD4" w:sz="1"/>
              <w:bottom w:val="single" w:color="DEDBD4" w:sz="1"/>
              <w:right w:val="single" w:color="DEDBD4"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TikTok does well</w:t>
            </w:r>
          </w:p>
        </w:tc>
        <w:tc>
          <w:tcPr>
            <w:tcW w:type="dxa" w:w="5760"/>
            <w:tcBorders>
              <w:top w:val="single" w:color="DEDBD4" w:sz="1"/>
              <w:left w:val="single" w:color="DEDBD4" w:sz="1"/>
              <w:bottom w:val="single" w:color="DEDBD4" w:sz="1"/>
              <w:right w:val="single" w:color="DEDBD4"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TikTok does poorly</w:t>
            </w:r>
          </w:p>
        </w:tc>
      </w:tr>
      <w:tr>
        <w:tc>
          <w:tcPr>
            <w:tcW w:type="dxa" w:w="36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Building emotional connection to the brand</w:t>
            </w:r>
          </w:p>
        </w:tc>
        <w:tc>
          <w:tcPr>
            <w:tcW w:type="dxa" w:w="57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Driving immediate app installs</w:t>
            </w:r>
          </w:p>
        </w:tc>
      </w:tr>
      <w:tr>
        <w:tc>
          <w:tcPr>
            <w:tcW w:type="dxa" w:w="36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Reaching new audiences with zero ad spend</w:t>
            </w:r>
          </w:p>
        </w:tc>
        <w:tc>
          <w:tcPr>
            <w:tcW w:type="dxa" w:w="57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Converting viewers to paying customers</w:t>
            </w:r>
          </w:p>
        </w:tc>
      </w:tr>
      <w:tr>
        <w:tc>
          <w:tcPr>
            <w:tcW w:type="dxa" w:w="36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Getting genuine product feedback in comments</w:t>
            </w:r>
          </w:p>
        </w:tc>
        <w:tc>
          <w:tcPr>
            <w:tcW w:type="dxa" w:w="57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Measuring precise ROI</w:t>
            </w:r>
          </w:p>
        </w:tc>
      </w:tr>
      <w:tr>
        <w:tc>
          <w:tcPr>
            <w:tcW w:type="dxa" w:w="36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Making the product look desirable and cultural</w:t>
            </w:r>
          </w:p>
        </w:tc>
        <w:tc>
          <w:tcPr>
            <w:tcW w:type="dxa" w:w="57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Explaining complex features</w:t>
            </w:r>
          </w:p>
        </w:tc>
      </w:tr>
      <w:tr>
        <w:tc>
          <w:tcPr>
            <w:tcW w:type="dxa" w:w="36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Amplifying user-generated content organically</w:t>
            </w:r>
          </w:p>
        </w:tc>
        <w:tc>
          <w:tcPr>
            <w:tcW w:type="dxa" w:w="57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Targeting specific demographics precisely</w:t>
            </w:r>
          </w:p>
        </w:tc>
      </w:tr>
    </w:tbl>
    <w:p>
      <w:pPr>
        <w:spacing w:after="0" w:before="120"/>
      </w:pPr>
      <w:r>
        <w:t xml:space="preserve"/>
      </w:r>
    </w:p>
    <w:p>
      <w:pPr>
        <w:pBdr>
          <w:bottom w:val="single" w:color="FF6B00" w:sz="4" w:space="4"/>
        </w:pBdr>
        <w:spacing w:after="80" w:before="400"/>
      </w:pPr>
      <w:r>
        <w:rPr>
          <w:rFonts w:ascii="Arial" w:cs="Arial" w:eastAsia="Arial" w:hAnsi="Arial"/>
          <w:b/>
          <w:bCs/>
          <w:color w:val="FF6B00"/>
          <w:spacing w:val="40"/>
          <w:sz w:val="17"/>
          <w:szCs w:val="17"/>
        </w:rPr>
        <w:t xml:space="preserve">FINANCIAL REALITY</w:t>
      </w:r>
    </w:p>
    <w:p>
      <w:pPr>
        <w:pStyle w:val="Heading1"/>
        <w:spacing w:after="160" w:before="100"/>
      </w:pPr>
      <w:r>
        <w:rPr>
          <w:rFonts w:ascii="Arial" w:cs="Arial" w:eastAsia="Arial" w:hAnsi="Arial"/>
          <w:b/>
          <w:bCs/>
          <w:color w:val="0F0F1A"/>
          <w:sz w:val="42"/>
          <w:szCs w:val="42"/>
        </w:rPr>
        <w:t xml:space="preserve">The investment question: what you actually need to spend</w:t>
      </w:r>
    </w:p>
    <w:p>
      <w:pPr>
        <w:spacing w:after="80" w:before="60"/>
        <w:jc w:val="both"/>
      </w:pPr>
      <w:r>
        <w:rPr>
          <w:rFonts w:ascii="Arial" w:cs="Arial" w:eastAsia="Arial" w:hAnsi="Arial"/>
          <w:color w:val="2A2826"/>
          <w:sz w:val="22"/>
          <w:szCs w:val="22"/>
        </w:rPr>
        <w:t xml:space="preserve">The first document talked about ROI without addressing what you actually need to invest to get there. That is an incomplete picture. Let me be direct about the real costs at each stage, what you can do for free or near-free, and what you should spend money on versus what is a waste at this point.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What you can do for zero cost right now</w:t>
      </w:r>
    </w:p>
    <w:p>
      <w:pPr>
        <w:spacing w:after="80" w:before="60"/>
        <w:jc w:val="both"/>
      </w:pPr>
      <w:r>
        <w:rPr>
          <w:rFonts w:ascii="Arial" w:cs="Arial" w:eastAsia="Arial" w:hAnsi="Arial"/>
          <w:color w:val="2A2826"/>
          <w:sz w:val="22"/>
          <w:szCs w:val="22"/>
        </w:rPr>
        <w:t xml:space="preserve">More than you think. The default assumption is that building a startup requires money from the start. For a technical founder with a working product on GitHub Pages and Supabase’s free tier, that is not true. These are genuinely free at your current stage:</w:t>
      </w:r>
    </w:p>
    <w:p>
      <w:pPr>
        <w:spacing w:after="0" w:before="40"/>
      </w:pPr>
      <w:r>
        <w:t xml:space="preserve"/>
      </w:r>
    </w:p>
    <w:p>
      <w:pPr>
        <w:pStyle w:val="ListParagraph"/>
        <w:numPr>
          <w:ilvl w:val="0"/>
          <w:numId w:val="2"/>
        </w:numPr>
        <w:spacing w:after="50" w:before="40"/>
      </w:pPr>
      <w:r>
        <w:rPr>
          <w:rFonts w:ascii="Arial" w:cs="Arial" w:eastAsia="Arial" w:hAnsi="Arial"/>
          <w:color w:val="2A2826"/>
          <w:sz w:val="22"/>
          <w:szCs w:val="22"/>
        </w:rPr>
        <w:t xml:space="preserve">Supabase free tier: 500MB database, 1GB file storage, 50,000 monthly active users. Sufficient for MVP validation.</w:t>
      </w:r>
    </w:p>
    <w:p>
      <w:pPr>
        <w:pStyle w:val="ListParagraph"/>
        <w:numPr>
          <w:ilvl w:val="0"/>
          <w:numId w:val="2"/>
        </w:numPr>
        <w:spacing w:after="50" w:before="40"/>
      </w:pPr>
      <w:r>
        <w:rPr>
          <w:rFonts w:ascii="Arial" w:cs="Arial" w:eastAsia="Arial" w:hAnsi="Arial"/>
          <w:color w:val="2A2826"/>
          <w:sz w:val="22"/>
          <w:szCs w:val="22"/>
        </w:rPr>
        <w:t xml:space="preserve">GitHub Pages hosting: zero cost for static site deployment.</w:t>
      </w:r>
    </w:p>
    <w:p>
      <w:pPr>
        <w:pStyle w:val="ListParagraph"/>
        <w:numPr>
          <w:ilvl w:val="0"/>
          <w:numId w:val="2"/>
        </w:numPr>
        <w:spacing w:after="50" w:before="40"/>
      </w:pPr>
      <w:r>
        <w:rPr>
          <w:rFonts w:ascii="Arial" w:cs="Arial" w:eastAsia="Arial" w:hAnsi="Arial"/>
          <w:color w:val="2A2826"/>
          <w:sz w:val="22"/>
          <w:szCs w:val="22"/>
        </w:rPr>
        <w:t xml:space="preserve">TikTok and Instagram: organic content creation costs only time.</w:t>
      </w:r>
    </w:p>
    <w:p>
      <w:pPr>
        <w:pStyle w:val="ListParagraph"/>
        <w:numPr>
          <w:ilvl w:val="0"/>
          <w:numId w:val="2"/>
        </w:numPr>
        <w:spacing w:after="50" w:before="40"/>
      </w:pPr>
      <w:r>
        <w:rPr>
          <w:rFonts w:ascii="Arial" w:cs="Arial" w:eastAsia="Arial" w:hAnsi="Arial"/>
          <w:color w:val="2A2826"/>
          <w:sz w:val="22"/>
          <w:szCs w:val="22"/>
        </w:rPr>
        <w:t xml:space="preserve">In-person organiser outreach: costs only transport and conversation.</w:t>
      </w:r>
    </w:p>
    <w:p>
      <w:pPr>
        <w:pStyle w:val="ListParagraph"/>
        <w:numPr>
          <w:ilvl w:val="0"/>
          <w:numId w:val="2"/>
        </w:numPr>
        <w:spacing w:after="50" w:before="40"/>
      </w:pPr>
      <w:r>
        <w:rPr>
          <w:rFonts w:ascii="Arial" w:cs="Arial" w:eastAsia="Arial" w:hAnsi="Arial"/>
          <w:color w:val="2A2826"/>
          <w:sz w:val="22"/>
          <w:szCs w:val="22"/>
        </w:rPr>
        <w:t xml:space="preserve">Domain name: approximately UGX 80,000 per year for a .com or .app domain.</w:t>
      </w:r>
    </w:p>
    <w:p>
      <w:pPr>
        <w:pStyle w:val="ListParagraph"/>
        <w:numPr>
          <w:ilvl w:val="0"/>
          <w:numId w:val="2"/>
        </w:numPr>
        <w:spacing w:after="50" w:before="40"/>
      </w:pPr>
      <w:r>
        <w:rPr>
          <w:rFonts w:ascii="Arial" w:cs="Arial" w:eastAsia="Arial" w:hAnsi="Arial"/>
          <w:color w:val="2A2826"/>
          <w:sz w:val="22"/>
          <w:szCs w:val="22"/>
        </w:rPr>
        <w:t xml:space="preserve">Google Workspace basic email: UGX 80,000 per month for professional email address.</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Stage 1 budget: Validation (Month 0–3)</w:t>
      </w:r>
    </w:p>
    <w:p>
      <w:pPr>
        <w:spacing w:after="80" w:before="60"/>
        <w:jc w:val="both"/>
      </w:pPr>
      <w:r>
        <w:rPr>
          <w:rFonts w:ascii="Arial" w:cs="Arial" w:eastAsia="Arial" w:hAnsi="Arial"/>
          <w:color w:val="2A2826"/>
          <w:sz w:val="22"/>
          <w:szCs w:val="22"/>
        </w:rPr>
        <w:t xml:space="preserve">Your goal in this stage is to prove the product works for real users without spending money you do not have. The only things worth spending money on at this stage are things that directly enable a real user to complete a real transaction.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EDBD4" w:sz="1"/>
              <w:left w:val="single" w:color="DEDBD4" w:sz="1"/>
              <w:bottom w:val="single" w:color="DEDBD4" w:sz="1"/>
              <w:right w:val="single" w:color="DEDBD4"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Expense item</w:t>
            </w:r>
          </w:p>
        </w:tc>
        <w:tc>
          <w:tcPr>
            <w:tcW w:type="dxa" w:w="4360"/>
            <w:tcBorders>
              <w:top w:val="single" w:color="DEDBD4" w:sz="1"/>
              <w:left w:val="single" w:color="DEDBD4" w:sz="1"/>
              <w:bottom w:val="single" w:color="DEDBD4" w:sz="1"/>
              <w:right w:val="single" w:color="DEDBD4"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Estimated monthly cost (UGX)</w:t>
            </w:r>
          </w:p>
        </w:tc>
      </w:tr>
      <w:tr>
        <w:tc>
          <w:tcPr>
            <w:tcW w:type="dxa" w:w="50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Domain name (annual, monthly equiv.)</w:t>
            </w:r>
          </w:p>
        </w:tc>
        <w:tc>
          <w:tcPr>
            <w:tcW w:type="dxa" w:w="43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7,000</w:t>
            </w:r>
          </w:p>
        </w:tc>
      </w:tr>
      <w:tr>
        <w:tc>
          <w:tcPr>
            <w:tcW w:type="dxa" w:w="50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Supabase free tier</w:t>
            </w:r>
          </w:p>
        </w:tc>
        <w:tc>
          <w:tcPr>
            <w:tcW w:type="dxa" w:w="43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0</w:t>
            </w:r>
          </w:p>
        </w:tc>
      </w:tr>
      <w:tr>
        <w:tc>
          <w:tcPr>
            <w:tcW w:type="dxa" w:w="50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GitHub Pages hosting</w:t>
            </w:r>
          </w:p>
        </w:tc>
        <w:tc>
          <w:tcPr>
            <w:tcW w:type="dxa" w:w="43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0</w:t>
            </w:r>
          </w:p>
        </w:tc>
      </w:tr>
      <w:tr>
        <w:tc>
          <w:tcPr>
            <w:tcW w:type="dxa" w:w="50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Transport for organiser meetings</w:t>
            </w:r>
          </w:p>
        </w:tc>
        <w:tc>
          <w:tcPr>
            <w:tcW w:type="dxa" w:w="43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50,000–80,000</w:t>
            </w:r>
          </w:p>
        </w:tc>
      </w:tr>
      <w:tr>
        <w:tc>
          <w:tcPr>
            <w:tcW w:type="dxa" w:w="50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Basic printed Toka business cards</w:t>
            </w:r>
          </w:p>
        </w:tc>
        <w:tc>
          <w:tcPr>
            <w:tcW w:type="dxa" w:w="43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30,000 (one-time)</w:t>
            </w:r>
          </w:p>
        </w:tc>
      </w:tr>
      <w:tr>
        <w:tc>
          <w:tcPr>
            <w:tcW w:type="dxa" w:w="50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Phone data for testing and demos</w:t>
            </w:r>
          </w:p>
        </w:tc>
        <w:tc>
          <w:tcPr>
            <w:tcW w:type="dxa" w:w="43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30,000–50,000</w:t>
            </w:r>
          </w:p>
        </w:tc>
      </w:tr>
      <w:tr>
        <w:tc>
          <w:tcPr>
            <w:tcW w:type="dxa" w:w="50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Total Stage 1 monthly burn</w:t>
            </w:r>
          </w:p>
        </w:tc>
        <w:tc>
          <w:tcPr>
            <w:tcW w:type="dxa" w:w="43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~120,000–150,000</w:t>
            </w:r>
          </w:p>
        </w:tc>
      </w:tr>
    </w:tbl>
    <w:p>
      <w:pPr>
        <w:spacing w:after="0" w:before="60"/>
      </w:pPr>
      <w:r>
        <w:t xml:space="preserve"/>
      </w:r>
    </w:p>
    <w:p>
      <w:pPr>
        <w:pStyle w:val="Heading2"/>
        <w:spacing w:after="100" w:before="280"/>
      </w:pPr>
      <w:r>
        <w:rPr>
          <w:rFonts w:ascii="Arial" w:cs="Arial" w:eastAsia="Arial" w:hAnsi="Arial"/>
          <w:b/>
          <w:bCs/>
          <w:color w:val="0F0F1A"/>
          <w:sz w:val="28"/>
          <w:szCs w:val="28"/>
        </w:rPr>
        <w:t xml:space="preserve">Stage 2 budget: First traction (Month 3–9)</w:t>
      </w:r>
    </w:p>
    <w:p>
      <w:pPr>
        <w:spacing w:after="80" w:before="60"/>
        <w:jc w:val="both"/>
      </w:pPr>
      <w:r>
        <w:rPr>
          <w:rFonts w:ascii="Arial" w:cs="Arial" w:eastAsia="Arial" w:hAnsi="Arial"/>
          <w:color w:val="2A2826"/>
          <w:sz w:val="22"/>
          <w:szCs w:val="22"/>
        </w:rPr>
        <w:t xml:space="preserve">Once you have real events and real users, you will hit the limits of the free tier. You will also need to invest in the payment infrastructure that enables revenue. These are the costs that begin to matter: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EDBD4" w:sz="1"/>
              <w:left w:val="single" w:color="DEDBD4" w:sz="1"/>
              <w:bottom w:val="single" w:color="DEDBD4" w:sz="1"/>
              <w:right w:val="single" w:color="DEDBD4"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Expense item</w:t>
            </w:r>
          </w:p>
        </w:tc>
        <w:tc>
          <w:tcPr>
            <w:tcW w:type="dxa" w:w="4360"/>
            <w:tcBorders>
              <w:top w:val="single" w:color="DEDBD4" w:sz="1"/>
              <w:left w:val="single" w:color="DEDBD4" w:sz="1"/>
              <w:bottom w:val="single" w:color="DEDBD4" w:sz="1"/>
              <w:right w:val="single" w:color="DEDBD4"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Estimated monthly cost (UGX)</w:t>
            </w:r>
          </w:p>
        </w:tc>
      </w:tr>
      <w:tr>
        <w:tc>
          <w:tcPr>
            <w:tcW w:type="dxa" w:w="50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Supabase Pro tier (when free tier fills)</w:t>
            </w:r>
          </w:p>
        </w:tc>
        <w:tc>
          <w:tcPr>
            <w:tcW w:type="dxa" w:w="43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~280,000/month</w:t>
            </w:r>
          </w:p>
        </w:tc>
      </w:tr>
      <w:tr>
        <w:tc>
          <w:tcPr>
            <w:tcW w:type="dxa" w:w="50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Payment gateway setup (MTN MoMo API)</w:t>
            </w:r>
          </w:p>
        </w:tc>
        <w:tc>
          <w:tcPr>
            <w:tcW w:type="dxa" w:w="43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One-time integration, ~0 monthly</w:t>
            </w:r>
          </w:p>
        </w:tc>
      </w:tr>
      <w:tr>
        <w:tc>
          <w:tcPr>
            <w:tcW w:type="dxa" w:w="50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MTN MoMo transaction fees (passed to users)</w:t>
            </w:r>
          </w:p>
        </w:tc>
        <w:tc>
          <w:tcPr>
            <w:tcW w:type="dxa" w:w="43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0.85–1.5% per transaction</w:t>
            </w:r>
          </w:p>
        </w:tc>
      </w:tr>
      <w:tr>
        <w:tc>
          <w:tcPr>
            <w:tcW w:type="dxa" w:w="50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TikTok / Instagram paid promotion (optional)</w:t>
            </w:r>
          </w:p>
        </w:tc>
        <w:tc>
          <w:tcPr>
            <w:tcW w:type="dxa" w:w="43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50,000–150,000</w:t>
            </w:r>
          </w:p>
        </w:tc>
      </w:tr>
      <w:tr>
        <w:tc>
          <w:tcPr>
            <w:tcW w:type="dxa" w:w="50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Campus ambassador airtime/data stipend x5</w:t>
            </w:r>
          </w:p>
        </w:tc>
        <w:tc>
          <w:tcPr>
            <w:tcW w:type="dxa" w:w="43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50,000–100,000</w:t>
            </w:r>
          </w:p>
        </w:tc>
      </w:tr>
      <w:tr>
        <w:tc>
          <w:tcPr>
            <w:tcW w:type="dxa" w:w="50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Event photography for content creation</w:t>
            </w:r>
          </w:p>
        </w:tc>
        <w:tc>
          <w:tcPr>
            <w:tcW w:type="dxa" w:w="43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50,000–150,000 per event</w:t>
            </w:r>
          </w:p>
        </w:tc>
      </w:tr>
      <w:tr>
        <w:tc>
          <w:tcPr>
            <w:tcW w:type="dxa" w:w="50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Total Stage 2 monthly burn</w:t>
            </w:r>
          </w:p>
        </w:tc>
        <w:tc>
          <w:tcPr>
            <w:tcW w:type="dxa" w:w="43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~450,000–700,000</w:t>
            </w:r>
          </w:p>
        </w:tc>
      </w:tr>
    </w:tbl>
    <w:p>
      <w:pPr>
        <w:spacing w:after="0" w:before="60"/>
      </w:pPr>
      <w:r>
        <w:t xml:space="preserve"/>
      </w:r>
    </w:p>
    <w:p>
      <w:pPr>
        <w:pStyle w:val="Heading2"/>
        <w:spacing w:after="100" w:before="280"/>
      </w:pPr>
      <w:r>
        <w:rPr>
          <w:rFonts w:ascii="Arial" w:cs="Arial" w:eastAsia="Arial" w:hAnsi="Arial"/>
          <w:b/>
          <w:bCs/>
          <w:color w:val="0F0F1A"/>
          <w:sz w:val="28"/>
          <w:szCs w:val="28"/>
        </w:rPr>
        <w:t xml:space="preserve">Stage 3 budget: Pre-investment (Month 9–18)</w:t>
      </w:r>
    </w:p>
    <w:p>
      <w:pPr>
        <w:spacing w:after="80" w:before="60"/>
        <w:jc w:val="both"/>
      </w:pPr>
      <w:r>
        <w:rPr>
          <w:rFonts w:ascii="Arial" w:cs="Arial" w:eastAsia="Arial" w:hAnsi="Arial"/>
          <w:color w:val="2A2826"/>
          <w:sz w:val="22"/>
          <w:szCs w:val="22"/>
        </w:rPr>
        <w:t xml:space="preserve">By this stage you should have revenue from ticket transaction fees offsetting some costs. This is also the stage where external investment becomes relevant. You need to be able to show a potential investor a clear burn rate, a revenue trajectory, and a specific use of funds that will accelerate growth. Here is what investment should actually pay for:</w:t>
      </w:r>
    </w:p>
    <w:p>
      <w:pPr>
        <w:spacing w:after="0" w:before="40"/>
      </w:pPr>
      <w:r>
        <w:t xml:space="preserve"/>
      </w:r>
    </w:p>
    <w:p>
      <w:pPr>
        <w:pStyle w:val="ListParagraph"/>
        <w:numPr>
          <w:ilvl w:val="0"/>
          <w:numId w:val="2"/>
        </w:numPr>
        <w:spacing w:after="50" w:before="40"/>
      </w:pPr>
      <w:r>
        <w:rPr>
          <w:rFonts w:ascii="Arial" w:cs="Arial" w:eastAsia="Arial" w:hAnsi="Arial"/>
          <w:color w:val="2A2826"/>
          <w:sz w:val="22"/>
          <w:szCs w:val="22"/>
        </w:rPr>
        <w:t xml:space="preserve">A part-time or full-time operations person who handles organiser onboarding and support. This is the hire that unblocks you to focus on product and engineering.</w:t>
      </w:r>
    </w:p>
    <w:p>
      <w:pPr>
        <w:pStyle w:val="ListParagraph"/>
        <w:numPr>
          <w:ilvl w:val="0"/>
          <w:numId w:val="2"/>
        </w:numPr>
        <w:spacing w:after="50" w:before="40"/>
      </w:pPr>
      <w:r>
        <w:rPr>
          <w:rFonts w:ascii="Arial" w:cs="Arial" w:eastAsia="Arial" w:hAnsi="Arial"/>
          <w:color w:val="2A2826"/>
          <w:sz w:val="22"/>
          <w:szCs w:val="22"/>
        </w:rPr>
        <w:t xml:space="preserve">Paid event partnerships with two or three high-profile Kampala events as official ticketing partner. Budget UGX 500,000–1,000,000 per partnership.</w:t>
      </w:r>
    </w:p>
    <w:p>
      <w:pPr>
        <w:pStyle w:val="ListParagraph"/>
        <w:numPr>
          <w:ilvl w:val="0"/>
          <w:numId w:val="2"/>
        </w:numPr>
        <w:spacing w:after="50" w:before="40"/>
      </w:pPr>
      <w:r>
        <w:rPr>
          <w:rFonts w:ascii="Arial" w:cs="Arial" w:eastAsia="Arial" w:hAnsi="Arial"/>
          <w:color w:val="2A2826"/>
          <w:sz w:val="22"/>
          <w:szCs w:val="22"/>
        </w:rPr>
        <w:t xml:space="preserve">Infrastructure scaling: moving from Supabase Pro to a more robust architecture as user numbers grow.</w:t>
      </w:r>
    </w:p>
    <w:p>
      <w:pPr>
        <w:pStyle w:val="ListParagraph"/>
        <w:numPr>
          <w:ilvl w:val="0"/>
          <w:numId w:val="2"/>
        </w:numPr>
        <w:spacing w:after="50" w:before="40"/>
      </w:pPr>
      <w:r>
        <w:rPr>
          <w:rFonts w:ascii="Arial" w:cs="Arial" w:eastAsia="Arial" w:hAnsi="Arial"/>
          <w:color w:val="2A2826"/>
          <w:sz w:val="22"/>
          <w:szCs w:val="22"/>
        </w:rPr>
        <w:t xml:space="preserve">Legal and company registration costs: budget UGX 800,000–1,200,000 one-time.</w:t>
      </w:r>
    </w:p>
    <w:p>
      <w:pPr>
        <w:pStyle w:val="ListParagraph"/>
        <w:numPr>
          <w:ilvl w:val="0"/>
          <w:numId w:val="2"/>
        </w:numPr>
        <w:spacing w:after="50" w:before="40"/>
      </w:pPr>
      <w:r>
        <w:rPr>
          <w:rFonts w:ascii="Arial" w:cs="Arial" w:eastAsia="Arial" w:hAnsi="Arial"/>
          <w:color w:val="2A2826"/>
          <w:sz w:val="22"/>
          <w:szCs w:val="22"/>
        </w:rPr>
        <w:t xml:space="preserve">A proper logo, brand system, and design assets if you have not already invested in professional branding.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FF6B00" w:sz="16"/>
              <w:bottom w:val="none" w:color="FFFFFF" w:sz="0"/>
              <w:right w:val="none" w:color="FFFFFF" w:sz="0"/>
            </w:tcBorders>
            <w:shd w:fill="FFF4EC" w:val="clear"/>
          </w:tcPr>
          <w:p>
            <w:r>
              <w:t xml:space="preserve"/>
            </w:r>
          </w:p>
        </w:tc>
        <w:tc>
          <w:tcPr>
            <w:tcW w:type="dxa" w:w="9180"/>
            <w:tcBorders>
              <w:top w:val="none" w:color="FFFFFF" w:sz="0"/>
              <w:left w:val="none" w:color="FFFFFF" w:sz="0"/>
              <w:bottom w:val="none" w:color="FFFFFF" w:sz="0"/>
              <w:right w:val="none" w:color="FFFFFF" w:sz="0"/>
            </w:tcBorders>
            <w:shd w:fill="FFF4EC" w:val="clear"/>
            <w:tcMar>
              <w:top w:type="dxa" w:w="140"/>
              <w:left w:type="dxa" w:w="200"/>
              <w:bottom w:type="dxa" w:w="140"/>
              <w:right w:type="dxa" w:w="200"/>
            </w:tcMar>
          </w:tcPr>
          <w:p>
            <w:pPr>
              <w:jc w:val="both"/>
            </w:pPr>
            <w:r>
              <w:rPr>
                <w:rFonts w:ascii="Arial" w:cs="Arial" w:eastAsia="Arial" w:hAnsi="Arial"/>
                <w:i/>
                <w:iCs/>
                <w:color w:val="2A2826"/>
                <w:sz w:val="22"/>
                <w:szCs w:val="22"/>
              </w:rPr>
              <w:t xml:space="preserve">The honest investment number for Toka’s first 12 months of serious operation, self-funded, is approximately UGX 6,000,000–10,000,000 (roughly USD 1,600–2,700). This is achievable through personal savings, family support, a part-time job running alongside Toka, or a small grant. You do not need angel investment to reach the point where angel investment becomes appropriate.</w:t>
            </w:r>
          </w:p>
        </w:tc>
      </w:tr>
    </w:tbl>
    <w:p>
      <w:pPr>
        <w:spacing w:after="0" w:before="60"/>
      </w:pPr>
      <w:r>
        <w:t xml:space="preserve"/>
      </w:r>
    </w:p>
    <w:p>
      <w:pPr>
        <w:pStyle w:val="Heading2"/>
        <w:spacing w:after="100" w:before="280"/>
      </w:pPr>
      <w:r>
        <w:rPr>
          <w:rFonts w:ascii="Arial" w:cs="Arial" w:eastAsia="Arial" w:hAnsi="Arial"/>
          <w:b/>
          <w:bCs/>
          <w:color w:val="0F0F1A"/>
          <w:sz w:val="28"/>
          <w:szCs w:val="28"/>
        </w:rPr>
        <w:t xml:space="preserve">When to seek external investment</w:t>
      </w:r>
    </w:p>
    <w:p>
      <w:pPr>
        <w:spacing w:after="80" w:before="60"/>
        <w:jc w:val="both"/>
      </w:pPr>
      <w:r>
        <w:rPr>
          <w:rFonts w:ascii="Arial" w:cs="Arial" w:eastAsia="Arial" w:hAnsi="Arial"/>
          <w:color w:val="2A2826"/>
          <w:sz w:val="22"/>
          <w:szCs w:val="22"/>
        </w:rPr>
        <w:t xml:space="preserve">Seek investment when two conditions are simultaneously true: first, you have clear evidence that more money accelerates growth proportionally (more organisers onboarded per shilling spent, higher event quality per partnership invested in). Second, you have exhausted what you can achieve with personal funds and organic growth. Before both conditions are true, investment conversations are premature and often distracting.</w:t>
      </w:r>
    </w:p>
    <w:p>
      <w:pPr>
        <w:spacing w:after="0" w:before="40"/>
      </w:pPr>
      <w:r>
        <w:t xml:space="preserve"/>
      </w:r>
    </w:p>
    <w:p>
      <w:pPr>
        <w:spacing w:after="80" w:before="60"/>
        <w:jc w:val="both"/>
      </w:pPr>
      <w:r>
        <w:rPr>
          <w:rFonts w:ascii="Arial" w:cs="Arial" w:eastAsia="Arial" w:hAnsi="Arial"/>
          <w:color w:val="2A2826"/>
          <w:sz w:val="22"/>
          <w:szCs w:val="22"/>
        </w:rPr>
        <w:t xml:space="preserve">The right first investment for Toka is not venture capital. It is a startup grant or accelerator program that provides between USD 5,000 and USD 25,000 in equity-free or low-equity capital alongside mentorship and network. This gives you runway to reach the revenue milestone that makes a seed round conversation credible.</w:t>
      </w:r>
    </w:p>
    <w:p>
      <w:pPr>
        <w:spacing w:after="0" w:before="120"/>
      </w:pPr>
      <w:r>
        <w:t xml:space="preserve"/>
      </w:r>
    </w:p>
    <w:p>
      <w:pPr>
        <w:pBdr>
          <w:bottom w:val="single" w:color="FF6B00" w:sz="4" w:space="4"/>
        </w:pBdr>
        <w:spacing w:after="80" w:before="400"/>
      </w:pPr>
      <w:r>
        <w:rPr>
          <w:rFonts w:ascii="Arial" w:cs="Arial" w:eastAsia="Arial" w:hAnsi="Arial"/>
          <w:b/>
          <w:bCs/>
          <w:color w:val="FF6B00"/>
          <w:spacing w:val="40"/>
          <w:sz w:val="17"/>
          <w:szCs w:val="17"/>
        </w:rPr>
        <w:t xml:space="preserve">ORGANISER ACQUISITION</w:t>
      </w:r>
    </w:p>
    <w:p>
      <w:pPr>
        <w:pStyle w:val="Heading1"/>
        <w:spacing w:after="160" w:before="100"/>
      </w:pPr>
      <w:r>
        <w:rPr>
          <w:rFonts w:ascii="Arial" w:cs="Arial" w:eastAsia="Arial" w:hAnsi="Arial"/>
          <w:b/>
          <w:bCs/>
          <w:color w:val="0F0F1A"/>
          <w:sz w:val="42"/>
          <w:szCs w:val="42"/>
        </w:rPr>
        <w:t xml:space="preserve">The organiser hunt: how to start today</w:t>
      </w:r>
    </w:p>
    <w:p>
      <w:pPr>
        <w:spacing w:after="80" w:before="60"/>
        <w:jc w:val="both"/>
      </w:pPr>
      <w:r>
        <w:rPr>
          <w:rFonts w:ascii="Arial" w:cs="Arial" w:eastAsia="Arial" w:hAnsi="Arial"/>
          <w:color w:val="2A2826"/>
          <w:sz w:val="22"/>
          <w:szCs w:val="22"/>
        </w:rPr>
        <w:t xml:space="preserve">Everything else in this document is theory until you have organisers. Organisers are the supply side of your marketplace. Without them there is nothing for attendees to discover. Here is a concrete playbook for acquiring your first twenty serious organisers in Kampala.</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Before you start hunting: prepare your pitch</w:t>
      </w:r>
    </w:p>
    <w:p>
      <w:pPr>
        <w:spacing w:after="80" w:before="60"/>
        <w:jc w:val="both"/>
      </w:pPr>
      <w:r>
        <w:rPr>
          <w:rFonts w:ascii="Arial" w:cs="Arial" w:eastAsia="Arial" w:hAnsi="Arial"/>
          <w:color w:val="2A2826"/>
          <w:sz w:val="22"/>
          <w:szCs w:val="22"/>
        </w:rPr>
        <w:t xml:space="preserve">You have roughly 90 seconds to explain Toka’s value to an organiser who has never heard of it and is currently managing events through WhatsApp and printed flyers. Your pitch needs to answer one question: why is their life measurably better with Toka than without it? The answer varies by organiser type:</w:t>
      </w:r>
    </w:p>
    <w:p>
      <w:pPr>
        <w:spacing w:after="0" w:before="40"/>
      </w:pPr>
      <w:r>
        <w:t xml:space="preserve"/>
      </w:r>
    </w:p>
    <w:p>
      <w:pPr>
        <w:pStyle w:val="ListParagraph"/>
        <w:numPr>
          <w:ilvl w:val="0"/>
          <w:numId w:val="2"/>
        </w:numPr>
        <w:spacing w:after="50" w:before="40"/>
      </w:pPr>
      <w:r>
        <w:rPr>
          <w:rFonts w:ascii="Arial" w:cs="Arial" w:eastAsia="Arial" w:hAnsi="Arial"/>
          <w:color w:val="2A2826"/>
          <w:sz w:val="22"/>
          <w:szCs w:val="22"/>
        </w:rPr>
        <w:t xml:space="preserve">For campus organisers: ‘You get a real registration page, a ticket for every attendee, and you can see exactly how many people are coming before the event starts.’</w:t>
      </w:r>
    </w:p>
    <w:p>
      <w:pPr>
        <w:pStyle w:val="ListParagraph"/>
        <w:numPr>
          <w:ilvl w:val="0"/>
          <w:numId w:val="2"/>
        </w:numPr>
        <w:spacing w:after="50" w:before="40"/>
      </w:pPr>
      <w:r>
        <w:rPr>
          <w:rFonts w:ascii="Arial" w:cs="Arial" w:eastAsia="Arial" w:hAnsi="Arial"/>
          <w:color w:val="2A2826"/>
          <w:sz w:val="22"/>
          <w:szCs w:val="22"/>
        </w:rPr>
        <w:t xml:space="preserve">For faith event coordinators: ‘You stop chasing people through WhatsApp to confirm who is coming. Toka tells you automatically.’</w:t>
      </w:r>
    </w:p>
    <w:p>
      <w:pPr>
        <w:pStyle w:val="ListParagraph"/>
        <w:numPr>
          <w:ilvl w:val="0"/>
          <w:numId w:val="2"/>
        </w:numPr>
        <w:spacing w:after="50" w:before="40"/>
      </w:pPr>
      <w:r>
        <w:rPr>
          <w:rFonts w:ascii="Arial" w:cs="Arial" w:eastAsia="Arial" w:hAnsi="Arial"/>
          <w:color w:val="2A2826"/>
          <w:sz w:val="22"/>
          <w:szCs w:val="22"/>
        </w:rPr>
        <w:t xml:space="preserve">For independent promoters: ‘Your event page looks better than anything on Facebook. When people share it, Toka is on it. That builds your brand as much as it builds ours.’</w:t>
      </w:r>
    </w:p>
    <w:p>
      <w:pPr>
        <w:spacing w:after="0" w:before="40"/>
      </w:pPr>
      <w:r>
        <w:t xml:space="preserve"/>
      </w:r>
    </w:p>
    <w:p>
      <w:pPr>
        <w:spacing w:after="80" w:before="60"/>
        <w:jc w:val="both"/>
      </w:pPr>
      <w:r>
        <w:rPr>
          <w:rFonts w:ascii="Arial" w:cs="Arial" w:eastAsia="Arial" w:hAnsi="Arial"/>
          <w:color w:val="2A2826"/>
          <w:sz w:val="22"/>
          <w:szCs w:val="22"/>
        </w:rPr>
        <w:t xml:space="preserve">Rehearse these pitches. Deliver them naturally. Have your phone ready to show the product immediately. Do not describe Toka — show it.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The hunting map: where to find them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01</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Makerere University Guild offices</w:t>
            </w:r>
          </w:p>
          <w:p>
            <w:pPr>
              <w:jc w:val="both"/>
            </w:pPr>
            <w:r>
              <w:rPr>
                <w:rFonts w:ascii="Arial" w:cs="Arial" w:eastAsia="Arial" w:hAnsi="Arial"/>
                <w:color w:val="6B6866"/>
                <w:sz w:val="21"/>
                <w:szCs w:val="21"/>
              </w:rPr>
              <w:t xml:space="preserve">Walk in. Ask to speak with whoever coordinates student events. Introduce Toka. Ask if there is an upcoming event you can help them run. Do not email first. Showing up in person signals commitment and creates a conversation that email never does.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02</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Kampala events Facebook groups</w:t>
            </w:r>
          </w:p>
          <w:p>
            <w:pPr>
              <w:jc w:val="both"/>
            </w:pPr>
            <w:r>
              <w:rPr>
                <w:rFonts w:ascii="Arial" w:cs="Arial" w:eastAsia="Arial" w:hAnsi="Arial"/>
                <w:color w:val="6B6866"/>
                <w:sz w:val="21"/>
                <w:szCs w:val="21"/>
              </w:rPr>
              <w:t xml:space="preserve">Groups like ‘Events in Kampala,’ ‘Kampala Nightlife,’ and category-specific groups have active promoters posting events regularly. Comment helpfully on their posts. Message the ones with consistent, quality events directly. Offer to set up their next event on Toka for free and show them the result.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03</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Church and mosque administrative offices</w:t>
            </w:r>
          </w:p>
          <w:p>
            <w:pPr>
              <w:jc w:val="both"/>
            </w:pPr>
            <w:r>
              <w:rPr>
                <w:rFonts w:ascii="Arial" w:cs="Arial" w:eastAsia="Arial" w:hAnsi="Arial"/>
                <w:color w:val="6B6866"/>
                <w:sz w:val="21"/>
                <w:szCs w:val="21"/>
              </w:rPr>
              <w:t xml:space="preserve">Identify three to five faith communities in Kampala with active youth wings or community programmes. These run regular events — fundraisers, youth conferences, community outreaches. The event coordinator is usually grateful for any tool that reduces their administrative burden. Arrive with a printed one-page explainer and a demo on your phone.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04</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Kampala’s independent event venues</w:t>
            </w:r>
          </w:p>
          <w:p>
            <w:pPr>
              <w:jc w:val="both"/>
            </w:pPr>
            <w:r>
              <w:rPr>
                <w:rFonts w:ascii="Arial" w:cs="Arial" w:eastAsia="Arial" w:hAnsi="Arial"/>
                <w:color w:val="6B6866"/>
                <w:sz w:val="21"/>
                <w:szCs w:val="21"/>
              </w:rPr>
              <w:t xml:space="preserve">Spaces like Ddungu Resort, The Lawns, Africana Hotel, Alliance Française, and smaller venues host dozens of events monthly. The venue manager knows every upcoming organiser. One relationship with a venue manager gives you warm introductions to every organiser using that space.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05</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Instagram and TikTok active promoters</w:t>
            </w:r>
          </w:p>
          <w:p>
            <w:pPr>
              <w:jc w:val="both"/>
            </w:pPr>
            <w:r>
              <w:rPr>
                <w:rFonts w:ascii="Arial" w:cs="Arial" w:eastAsia="Arial" w:hAnsi="Arial"/>
                <w:color w:val="6B6866"/>
                <w:sz w:val="21"/>
                <w:szCs w:val="21"/>
              </w:rPr>
              <w:t xml:space="preserve">Search hashtags like #KampalaEvents #NairobyNights #UgandaEvents #KampalaWeekend. Find accounts with 1,000–50,000 followers who post regularly about local events. DM them with a specific, personalised message that shows you know their work. Offer to feature their next event prominently on Toka’s home screen in exchange for them publishing it through the platform.</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06</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Student entrepreneurship and leadership clubs</w:t>
            </w:r>
          </w:p>
          <w:p>
            <w:pPr>
              <w:jc w:val="both"/>
            </w:pPr>
            <w:r>
              <w:rPr>
                <w:rFonts w:ascii="Arial" w:cs="Arial" w:eastAsia="Arial" w:hAnsi="Arial"/>
                <w:color w:val="6B6866"/>
                <w:sz w:val="21"/>
                <w:szCs w:val="21"/>
              </w:rPr>
              <w:t xml:space="preserve">AIESEC, Rotaract, Junior Chamber International, and similar organisations run events constantly and are filled with ambitious young people who are exactly your target user profile. Speak at one of their meetings. Show the product. Ask if anyone wants to be a campus ambassador.</w:t>
            </w:r>
          </w:p>
        </w:tc>
      </w:tr>
    </w:tbl>
    <w:p>
      <w:pPr>
        <w:spacing w:after="0" w:before="60"/>
      </w:pPr>
      <w:r>
        <w:t xml:space="preserve"/>
      </w:r>
    </w:p>
    <w:p>
      <w:pPr>
        <w:pStyle w:val="Heading2"/>
        <w:spacing w:after="100" w:before="280"/>
      </w:pPr>
      <w:r>
        <w:rPr>
          <w:rFonts w:ascii="Arial" w:cs="Arial" w:eastAsia="Arial" w:hAnsi="Arial"/>
          <w:b/>
          <w:bCs/>
          <w:color w:val="0F0F1A"/>
          <w:sz w:val="28"/>
          <w:szCs w:val="28"/>
        </w:rPr>
        <w:t xml:space="preserve">The follow-up system</w:t>
      </w:r>
    </w:p>
    <w:p>
      <w:pPr>
        <w:spacing w:after="80" w:before="60"/>
        <w:jc w:val="both"/>
      </w:pPr>
      <w:r>
        <w:rPr>
          <w:rFonts w:ascii="Arial" w:cs="Arial" w:eastAsia="Arial" w:hAnsi="Arial"/>
          <w:color w:val="2A2826"/>
          <w:sz w:val="22"/>
          <w:szCs w:val="22"/>
        </w:rPr>
        <w:t xml:space="preserve">Organiser acquisition fails not at the first conversation but at follow-up. Most founders get a positive first reaction, fail to follow up within 24 hours, and lose the momentum entirely. Build a simple system from day one:</w:t>
      </w:r>
    </w:p>
    <w:p>
      <w:pPr>
        <w:spacing w:after="0" w:before="40"/>
      </w:pPr>
      <w:r>
        <w:t xml:space="preserve"/>
      </w:r>
    </w:p>
    <w:p>
      <w:pPr>
        <w:pStyle w:val="ListParagraph"/>
        <w:numPr>
          <w:ilvl w:val="0"/>
          <w:numId w:val="2"/>
        </w:numPr>
        <w:spacing w:after="50" w:before="40"/>
      </w:pPr>
      <w:r>
        <w:rPr>
          <w:rFonts w:ascii="Arial" w:cs="Arial" w:eastAsia="Arial" w:hAnsi="Arial"/>
          <w:color w:val="2A2826"/>
          <w:sz w:val="22"/>
          <w:szCs w:val="22"/>
        </w:rPr>
        <w:t xml:space="preserve">Log every conversation in a spreadsheet: name, organisation, contact, what they said, what you promised, next action, date.</w:t>
      </w:r>
    </w:p>
    <w:p>
      <w:pPr>
        <w:pStyle w:val="ListParagraph"/>
        <w:numPr>
          <w:ilvl w:val="0"/>
          <w:numId w:val="2"/>
        </w:numPr>
        <w:spacing w:after="50" w:before="40"/>
      </w:pPr>
      <w:r>
        <w:rPr>
          <w:rFonts w:ascii="Arial" w:cs="Arial" w:eastAsia="Arial" w:hAnsi="Arial"/>
          <w:color w:val="2A2826"/>
          <w:sz w:val="22"/>
          <w:szCs w:val="22"/>
        </w:rPr>
        <w:t xml:space="preserve">Follow up within 24 hours of every meeting with a WhatsApp message that references something specific from your conversation.</w:t>
      </w:r>
    </w:p>
    <w:p>
      <w:pPr>
        <w:pStyle w:val="ListParagraph"/>
        <w:numPr>
          <w:ilvl w:val="0"/>
          <w:numId w:val="2"/>
        </w:numPr>
        <w:spacing w:after="50" w:before="40"/>
      </w:pPr>
      <w:r>
        <w:rPr>
          <w:rFonts w:ascii="Arial" w:cs="Arial" w:eastAsia="Arial" w:hAnsi="Arial"/>
          <w:color w:val="2A2826"/>
          <w:sz w:val="22"/>
          <w:szCs w:val="22"/>
        </w:rPr>
        <w:t xml:space="preserve">If an organiser expresses interest but does not commit, set a calendar reminder to check in five days later with a specific prompt: ‘I saw you have an event coming up on X date — I would love to help you run registration through Toka.’</w:t>
      </w:r>
    </w:p>
    <w:p>
      <w:pPr>
        <w:pStyle w:val="ListParagraph"/>
        <w:numPr>
          <w:ilvl w:val="0"/>
          <w:numId w:val="2"/>
        </w:numPr>
        <w:spacing w:after="50" w:before="40"/>
      </w:pPr>
      <w:r>
        <w:rPr>
          <w:rFonts w:ascii="Arial" w:cs="Arial" w:eastAsia="Arial" w:hAnsi="Arial"/>
          <w:color w:val="2A2826"/>
          <w:sz w:val="22"/>
          <w:szCs w:val="22"/>
        </w:rPr>
        <w:t xml:space="preserve">For organisers who publish their first event, call them the day after it goes live to ask how the experience was. This is the moment they are most receptive to becoming advocates.</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Your first 20 organiser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FF6B00" w:sz="16"/>
              <w:bottom w:val="none" w:color="FFFFFF" w:sz="0"/>
              <w:right w:val="none" w:color="FFFFFF" w:sz="0"/>
            </w:tcBorders>
            <w:shd w:fill="FFF4EC" w:val="clear"/>
          </w:tcPr>
          <w:p>
            <w:r>
              <w:t xml:space="preserve"/>
            </w:r>
          </w:p>
        </w:tc>
        <w:tc>
          <w:tcPr>
            <w:tcW w:type="dxa" w:w="9180"/>
            <w:tcBorders>
              <w:top w:val="none" w:color="FFFFFF" w:sz="0"/>
              <w:left w:val="none" w:color="FFFFFF" w:sz="0"/>
              <w:bottom w:val="none" w:color="FFFFFF" w:sz="0"/>
              <w:right w:val="none" w:color="FFFFFF" w:sz="0"/>
            </w:tcBorders>
            <w:shd w:fill="FFF4EC" w:val="clear"/>
            <w:tcMar>
              <w:top w:type="dxa" w:w="140"/>
              <w:left w:type="dxa" w:w="200"/>
              <w:bottom w:type="dxa" w:w="140"/>
              <w:right w:type="dxa" w:w="200"/>
            </w:tcMar>
          </w:tcPr>
          <w:p>
            <w:pPr>
              <w:jc w:val="both"/>
            </w:pPr>
            <w:r>
              <w:rPr>
                <w:rFonts w:ascii="Arial" w:cs="Arial" w:eastAsia="Arial" w:hAnsi="Arial"/>
                <w:i/>
                <w:iCs/>
                <w:color w:val="2A2826"/>
                <w:sz w:val="22"/>
                <w:szCs w:val="22"/>
              </w:rPr>
              <w:t xml:space="preserve">Set a specific goal: 20 active organisers with at least one published event each within 60 days. Track it weekly. If you are behind pace, the problem is always one of three things: you are not talking to enough people, your pitch is unclear, or the product has a specific friction point that is preventing publishing. Diagnose which one it is and fix that specifically.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EDBD4" w:sz="1"/>
              <w:left w:val="single" w:color="DEDBD4" w:sz="1"/>
              <w:bottom w:val="single" w:color="DEDBD4" w:sz="1"/>
              <w:right w:val="single" w:color="DEDBD4"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Organiser type</w:t>
            </w:r>
          </w:p>
        </w:tc>
        <w:tc>
          <w:tcPr>
            <w:tcW w:type="dxa" w:w="5760"/>
            <w:tcBorders>
              <w:top w:val="single" w:color="DEDBD4" w:sz="1"/>
              <w:left w:val="single" w:color="DEDBD4" w:sz="1"/>
              <w:bottom w:val="single" w:color="DEDBD4" w:sz="1"/>
              <w:right w:val="single" w:color="DEDBD4"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Where to find them in Kampala</w:t>
            </w:r>
          </w:p>
        </w:tc>
      </w:tr>
      <w:tr>
        <w:tc>
          <w:tcPr>
            <w:tcW w:type="dxa" w:w="36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Campus guilds and societies</w:t>
            </w:r>
          </w:p>
        </w:tc>
        <w:tc>
          <w:tcPr>
            <w:tcW w:type="dxa" w:w="57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Guild offices, student notice boards, society social media</w:t>
            </w:r>
          </w:p>
        </w:tc>
      </w:tr>
      <w:tr>
        <w:tc>
          <w:tcPr>
            <w:tcW w:type="dxa" w:w="36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Faith event coordinators</w:t>
            </w:r>
          </w:p>
        </w:tc>
        <w:tc>
          <w:tcPr>
            <w:tcW w:type="dxa" w:w="57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Church/mosque admin offices, youth wing leadership</w:t>
            </w:r>
          </w:p>
        </w:tc>
      </w:tr>
      <w:tr>
        <w:tc>
          <w:tcPr>
            <w:tcW w:type="dxa" w:w="36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Independent music promoters</w:t>
            </w:r>
          </w:p>
        </w:tc>
        <w:tc>
          <w:tcPr>
            <w:tcW w:type="dxa" w:w="57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Instagram #KampalaEvents, venue managers, mutual contacts</w:t>
            </w:r>
          </w:p>
        </w:tc>
      </w:tr>
      <w:tr>
        <w:tc>
          <w:tcPr>
            <w:tcW w:type="dxa" w:w="36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Corporate event planners</w:t>
            </w:r>
          </w:p>
        </w:tc>
        <w:tc>
          <w:tcPr>
            <w:tcW w:type="dxa" w:w="57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LinkedIn, business associations, Rotary and JCI chapters</w:t>
            </w:r>
          </w:p>
        </w:tc>
      </w:tr>
      <w:tr>
        <w:tc>
          <w:tcPr>
            <w:tcW w:type="dxa" w:w="360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Community and NGO organisers</w:t>
            </w:r>
          </w:p>
        </w:tc>
        <w:tc>
          <w:tcPr>
            <w:tcW w:type="dxa" w:w="5760"/>
            <w:tcBorders>
              <w:top w:val="single" w:color="DEDBD4" w:sz="1"/>
              <w:left w:val="single" w:color="DEDBD4" w:sz="1"/>
              <w:bottom w:val="single" w:color="DEDBD4" w:sz="1"/>
              <w:right w:val="single" w:color="DEDBD4" w:sz="1"/>
            </w:tcBorders>
            <w:shd w:fill="FFFFFF" w:val="clear"/>
            <w:tcMar>
              <w:top w:type="dxa" w:w="80"/>
              <w:left w:type="dxa" w:w="140"/>
              <w:bottom w:type="dxa" w:w="80"/>
              <w:right w:type="dxa" w:w="140"/>
            </w:tcMar>
          </w:tcPr>
          <w:p>
            <w:r>
              <w:rPr>
                <w:rFonts w:ascii="Arial" w:cs="Arial" w:eastAsia="Arial" w:hAnsi="Arial"/>
                <w:color w:val="2A2826"/>
                <w:sz w:val="20"/>
                <w:szCs w:val="20"/>
              </w:rPr>
              <w:t xml:space="preserve">NGO directories, British Council, Alliance Française events calendar</w:t>
            </w:r>
          </w:p>
        </w:tc>
      </w:tr>
      <w:tr>
        <w:tc>
          <w:tcPr>
            <w:tcW w:type="dxa" w:w="360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b/>
                <w:bCs/>
                <w:color w:val="1A1A2E"/>
                <w:sz w:val="20"/>
                <w:szCs w:val="20"/>
              </w:rPr>
              <w:t xml:space="preserve">Food and culture event curators</w:t>
            </w:r>
          </w:p>
        </w:tc>
        <w:tc>
          <w:tcPr>
            <w:tcW w:type="dxa" w:w="5760"/>
            <w:tcBorders>
              <w:top w:val="single" w:color="DEDBD4" w:sz="1"/>
              <w:left w:val="single" w:color="DEDBD4" w:sz="1"/>
              <w:bottom w:val="single" w:color="DEDBD4" w:sz="1"/>
              <w:right w:val="single" w:color="DEDBD4" w:sz="1"/>
            </w:tcBorders>
            <w:shd w:fill="F6F4F0" w:val="clear"/>
            <w:tcMar>
              <w:top w:type="dxa" w:w="80"/>
              <w:left w:type="dxa" w:w="140"/>
              <w:bottom w:type="dxa" w:w="80"/>
              <w:right w:type="dxa" w:w="140"/>
            </w:tcMar>
          </w:tcPr>
          <w:p>
            <w:r>
              <w:rPr>
                <w:rFonts w:ascii="Arial" w:cs="Arial" w:eastAsia="Arial" w:hAnsi="Arial"/>
                <w:color w:val="2A2826"/>
                <w:sz w:val="20"/>
                <w:szCs w:val="20"/>
              </w:rPr>
              <w:t xml:space="preserve">Farmers markets, food Instagram accounts, cultural centres</w:t>
            </w:r>
          </w:p>
        </w:tc>
      </w:tr>
    </w:tbl>
    <w:p>
      <w:pPr>
        <w:spacing w:after="0" w:before="120"/>
      </w:pPr>
      <w:r>
        <w:t xml:space="preserve"/>
      </w:r>
    </w:p>
    <w:p>
      <w:pPr>
        <w:pBdr>
          <w:bottom w:val="single" w:color="FF6B00" w:sz="4" w:space="4"/>
        </w:pBdr>
        <w:spacing w:after="80" w:before="400"/>
      </w:pPr>
      <w:r>
        <w:rPr>
          <w:rFonts w:ascii="Arial" w:cs="Arial" w:eastAsia="Arial" w:hAnsi="Arial"/>
          <w:b/>
          <w:bCs/>
          <w:color w:val="FF6B00"/>
          <w:spacing w:val="40"/>
          <w:sz w:val="17"/>
          <w:szCs w:val="17"/>
        </w:rPr>
        <w:t xml:space="preserve">WHAT WAS LEFT OUT</w:t>
      </w:r>
    </w:p>
    <w:p>
      <w:pPr>
        <w:pStyle w:val="Heading1"/>
        <w:spacing w:after="160" w:before="100"/>
      </w:pPr>
      <w:r>
        <w:rPr>
          <w:rFonts w:ascii="Arial" w:cs="Arial" w:eastAsia="Arial" w:hAnsi="Arial"/>
          <w:b/>
          <w:bCs/>
          <w:color w:val="0F0F1A"/>
          <w:sz w:val="42"/>
          <w:szCs w:val="42"/>
        </w:rPr>
        <w:t xml:space="preserve">Everything else that matters and was not said</w:t>
      </w:r>
    </w:p>
    <w:p>
      <w:pPr>
        <w:spacing w:after="80" w:before="60"/>
        <w:jc w:val="both"/>
      </w:pPr>
      <w:r>
        <w:rPr>
          <w:rFonts w:ascii="Arial" w:cs="Arial" w:eastAsia="Arial" w:hAnsi="Arial"/>
          <w:color w:val="2A2826"/>
          <w:sz w:val="22"/>
          <w:szCs w:val="22"/>
        </w:rPr>
        <w:t xml:space="preserve">These are the things that did not fit neatly into Volume I but that you will encounter and need to be prepared for. Some are operational. Some are strategic. Some are personal. All of them are real.</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The trust and safety problem</w:t>
      </w:r>
    </w:p>
    <w:p>
      <w:pPr>
        <w:spacing w:after="80" w:before="60"/>
        <w:jc w:val="both"/>
      </w:pPr>
      <w:r>
        <w:rPr>
          <w:rFonts w:ascii="Arial" w:cs="Arial" w:eastAsia="Arial" w:hAnsi="Arial"/>
          <w:color w:val="2A2826"/>
          <w:sz w:val="22"/>
          <w:szCs w:val="22"/>
        </w:rPr>
        <w:t xml:space="preserve">As soon as real events with real tickets exist on Toka, you will encounter fake events. Someone will create an event, collect registrations, and not show up. Even one incident of this kind can damage trust permanently in a market where word travels fast. You need a basic trust framework before scale, not after:</w:t>
      </w:r>
    </w:p>
    <w:p>
      <w:pPr>
        <w:spacing w:after="0" w:before="40"/>
      </w:pPr>
      <w:r>
        <w:t xml:space="preserve"/>
      </w:r>
    </w:p>
    <w:p>
      <w:pPr>
        <w:pStyle w:val="ListParagraph"/>
        <w:numPr>
          <w:ilvl w:val="0"/>
          <w:numId w:val="2"/>
        </w:numPr>
        <w:spacing w:after="50" w:before="40"/>
      </w:pPr>
      <w:r>
        <w:rPr>
          <w:rFonts w:ascii="Arial" w:cs="Arial" w:eastAsia="Arial" w:hAnsi="Arial"/>
          <w:color w:val="2A2826"/>
          <w:sz w:val="22"/>
          <w:szCs w:val="22"/>
        </w:rPr>
        <w:t xml:space="preserve">Require organiser phone number verification via OTP before any paid event can be published.</w:t>
      </w:r>
    </w:p>
    <w:p>
      <w:pPr>
        <w:pStyle w:val="ListParagraph"/>
        <w:numPr>
          <w:ilvl w:val="0"/>
          <w:numId w:val="2"/>
        </w:numPr>
        <w:spacing w:after="50" w:before="40"/>
      </w:pPr>
      <w:r>
        <w:rPr>
          <w:rFonts w:ascii="Arial" w:cs="Arial" w:eastAsia="Arial" w:hAnsi="Arial"/>
          <w:color w:val="2A2826"/>
          <w:sz w:val="22"/>
          <w:szCs w:val="22"/>
        </w:rPr>
        <w:t xml:space="preserve">For events above a certain ticket price threshold (e.g., UGX 30,000 per ticket), require the organiser to pass a simple identity verification step.</w:t>
      </w:r>
    </w:p>
    <w:p>
      <w:pPr>
        <w:pStyle w:val="ListParagraph"/>
        <w:numPr>
          <w:ilvl w:val="0"/>
          <w:numId w:val="2"/>
        </w:numPr>
        <w:spacing w:after="50" w:before="40"/>
      </w:pPr>
      <w:r>
        <w:rPr>
          <w:rFonts w:ascii="Arial" w:cs="Arial" w:eastAsia="Arial" w:hAnsi="Arial"/>
          <w:color w:val="2A2826"/>
          <w:sz w:val="22"/>
          <w:szCs w:val="22"/>
        </w:rPr>
        <w:t xml:space="preserve">Create a clear public-facing refund policy and a mechanism for attendees to report problems.</w:t>
      </w:r>
    </w:p>
    <w:p>
      <w:pPr>
        <w:pStyle w:val="ListParagraph"/>
        <w:numPr>
          <w:ilvl w:val="0"/>
          <w:numId w:val="2"/>
        </w:numPr>
        <w:spacing w:after="50" w:before="40"/>
      </w:pPr>
      <w:r>
        <w:rPr>
          <w:rFonts w:ascii="Arial" w:cs="Arial" w:eastAsia="Arial" w:hAnsi="Arial"/>
          <w:color w:val="2A2826"/>
          <w:sz w:val="22"/>
          <w:szCs w:val="22"/>
        </w:rPr>
        <w:t xml:space="preserve">Respond to every reported issue within 24 hours personally. At this stage, that is your customer support team.</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The WhatsApp integration opportunity</w:t>
      </w:r>
    </w:p>
    <w:p>
      <w:pPr>
        <w:spacing w:after="80" w:before="60"/>
        <w:jc w:val="both"/>
      </w:pPr>
      <w:r>
        <w:rPr>
          <w:rFonts w:ascii="Arial" w:cs="Arial" w:eastAsia="Arial" w:hAnsi="Arial"/>
          <w:color w:val="2A2826"/>
          <w:sz w:val="22"/>
          <w:szCs w:val="22"/>
        </w:rPr>
        <w:t xml:space="preserve">WhatsApp is not your competitor. It is your distribution channel. Consider building a WhatsApp integration that allows organisers to share a smart link to their Toka event page directly from WhatsApp. When that link is shared in a group, it unfurls as a rich preview with the event image, name, date, and a button to register. This reduces the friction of getting from ‘I heard about this event’ to ‘I have my ticket’ by meeting users where they already are.</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Accessibility and language</w:t>
      </w:r>
    </w:p>
    <w:p>
      <w:pPr>
        <w:spacing w:after="80" w:before="60"/>
        <w:jc w:val="both"/>
      </w:pPr>
      <w:r>
        <w:rPr>
          <w:rFonts w:ascii="Arial" w:cs="Arial" w:eastAsia="Arial" w:hAnsi="Arial"/>
          <w:color w:val="2A2826"/>
          <w:sz w:val="22"/>
          <w:szCs w:val="22"/>
        </w:rPr>
        <w:t xml:space="preserve">English is Toka’s current language. But Luganda is the dominant language of everyday communication in Kampala. A simple Luganda option — even just for the most common UI strings: ‘Get Ticket,’ ‘Save to Calendar,’ ‘Share with Friends’ — would signal that Toka is built for Kampala specifically, not just translated for it. This is a small engineering investment with a significant cultural impact.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Your own mental model of success</w:t>
      </w:r>
    </w:p>
    <w:p>
      <w:pPr>
        <w:spacing w:after="80" w:before="60"/>
        <w:jc w:val="both"/>
      </w:pPr>
      <w:r>
        <w:rPr>
          <w:rFonts w:ascii="Arial" w:cs="Arial" w:eastAsia="Arial" w:hAnsi="Arial"/>
          <w:color w:val="2A2826"/>
          <w:sz w:val="22"/>
          <w:szCs w:val="22"/>
        </w:rPr>
        <w:t xml:space="preserve">Define what success looks like for you personally, not just for the product. Is this a lifestyle business that funds your life while doing meaningful work? Is it a venture-backed company with ambitions across the continent? Is it a product you build to the point of acquisition? Each of these requires a different set of decisions, a different relationship with investors, and a different pace of growth. You do not have to decide immediately, but you need to hold the question consciously because it will start shaping decisions whether you acknowledge it or not.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The data ownership question</w:t>
      </w:r>
    </w:p>
    <w:p>
      <w:pPr>
        <w:spacing w:after="80" w:before="60"/>
        <w:jc w:val="both"/>
      </w:pPr>
      <w:r>
        <w:rPr>
          <w:rFonts w:ascii="Arial" w:cs="Arial" w:eastAsia="Arial" w:hAnsi="Arial"/>
          <w:color w:val="2A2826"/>
          <w:sz w:val="22"/>
          <w:szCs w:val="22"/>
        </w:rPr>
        <w:t xml:space="preserve">You will accumulate data about events, organisers, and attendees that has genuine value beyond powering the app. Aggregate data about what events people attend, at what times, in which locations, and at which price points is valuable to venue operators, city planners, tourism boards, and market researchers. This is not your primary business, but it is a future revenue stream and partnership opportunity worth being aware of as you design your data model. Design it to be queryable for aggregate insights from the beginning.</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Competition will eventually show up</w:t>
      </w:r>
    </w:p>
    <w:p>
      <w:pPr>
        <w:spacing w:after="80" w:before="60"/>
        <w:jc w:val="both"/>
      </w:pPr>
      <w:r>
        <w:rPr>
          <w:rFonts w:ascii="Arial" w:cs="Arial" w:eastAsia="Arial" w:hAnsi="Arial"/>
          <w:color w:val="2A2826"/>
          <w:sz w:val="22"/>
          <w:szCs w:val="22"/>
        </w:rPr>
        <w:t xml:space="preserve">Right now the local competitive landscape is fragmented. That will not last if Toka succeeds. The best defence against future competition is not features — it is network effects. An event platform where every organiser in Kampala already has an account and every regular attendee already has a profile is extremely hard to displace even with a technically superior product. Build those network effects aggressively in the next 18 months before anyone else identifies the same opportunity.</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Your technical debt window is closing</w:t>
      </w:r>
    </w:p>
    <w:p>
      <w:pPr>
        <w:spacing w:after="80" w:before="60"/>
        <w:jc w:val="both"/>
      </w:pPr>
      <w:r>
        <w:rPr>
          <w:rFonts w:ascii="Arial" w:cs="Arial" w:eastAsia="Arial" w:hAnsi="Arial"/>
          <w:color w:val="2A2826"/>
          <w:sz w:val="22"/>
          <w:szCs w:val="22"/>
        </w:rPr>
        <w:t xml:space="preserve">The current codebase works. But the architectural decisions you make in the next three to six months will either enable or constrain what you can build in years two and three. The most critical decisions: how you structure your data model for multi-event, multi-organiser scenarios; how you manage authentication and role-based permissions as the organiser and attendee roles become more complex; and whether you introduce a proper state management layer or continue extending the current local-storage approach. These decisions are reversible but at increasing cost. Make them consciously now.</w:t>
      </w:r>
    </w:p>
    <w:p>
      <w:pPr>
        <w:spacing w:after="0" w:before="120"/>
      </w:pPr>
      <w:r>
        <w:t xml:space="preserve"/>
      </w:r>
    </w:p>
    <w:p>
      <w:pPr>
        <w:pBdr>
          <w:bottom w:val="single" w:color="FF6B00" w:sz="4" w:space="4"/>
        </w:pBdr>
        <w:spacing w:after="80" w:before="400"/>
      </w:pPr>
      <w:r>
        <w:rPr>
          <w:rFonts w:ascii="Arial" w:cs="Arial" w:eastAsia="Arial" w:hAnsi="Arial"/>
          <w:b/>
          <w:bCs/>
          <w:color w:val="FF6B00"/>
          <w:spacing w:val="40"/>
          <w:sz w:val="17"/>
          <w:szCs w:val="17"/>
        </w:rPr>
        <w:t xml:space="preserve">FINAL WORD</w:t>
      </w:r>
    </w:p>
    <w:p>
      <w:pPr>
        <w:pStyle w:val="Heading1"/>
        <w:spacing w:after="160" w:before="100"/>
      </w:pPr>
      <w:r>
        <w:rPr>
          <w:rFonts w:ascii="Arial" w:cs="Arial" w:eastAsia="Arial" w:hAnsi="Arial"/>
          <w:b/>
          <w:bCs/>
          <w:color w:val="0F0F1A"/>
          <w:sz w:val="42"/>
          <w:szCs w:val="42"/>
        </w:rPr>
        <w:t xml:space="preserve">The next 7 days</w:t>
      </w:r>
    </w:p>
    <w:p>
      <w:pPr>
        <w:spacing w:after="80" w:before="60"/>
        <w:jc w:val="both"/>
      </w:pPr>
      <w:r>
        <w:rPr>
          <w:rFonts w:ascii="Arial" w:cs="Arial" w:eastAsia="Arial" w:hAnsi="Arial"/>
          <w:color w:val="2A2826"/>
          <w:sz w:val="22"/>
          <w:szCs w:val="22"/>
        </w:rPr>
        <w:t xml:space="preserve">Everything in both volumes of this document collapses into a much simpler question: what are you doing in the next seven days? Strategy is only valuable when it produces action. Here is the seven-day commitment that would make both documents meaningful: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Day 1</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Build the QR ticket generation</w:t>
            </w:r>
          </w:p>
          <w:p>
            <w:pPr>
              <w:jc w:val="both"/>
            </w:pPr>
            <w:r>
              <w:rPr>
                <w:rFonts w:ascii="Arial" w:cs="Arial" w:eastAsia="Arial" w:hAnsi="Arial"/>
                <w:color w:val="6B6866"/>
                <w:sz w:val="21"/>
                <w:szCs w:val="21"/>
              </w:rPr>
              <w:t xml:space="preserve">Implement qrcode npm package. Generate a UUID for the next test registration. Display it as a scannable QR on the ticket screen. Even a basic version changes how the product feels.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Day 2</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Create your TikTok account</w:t>
            </w:r>
          </w:p>
          <w:p>
            <w:pPr>
              <w:jc w:val="both"/>
            </w:pPr>
            <w:r>
              <w:rPr>
                <w:rFonts w:ascii="Arial" w:cs="Arial" w:eastAsia="Arial" w:hAnsi="Arial"/>
                <w:color w:val="6B6866"/>
                <w:sz w:val="21"/>
                <w:szCs w:val="21"/>
              </w:rPr>
              <w:t xml:space="preserve">Username: @toka.events or @tokaapp. Record one 30-second video of you opening the app and discovering an event. Post it. The algorithm does not care that you have zero followers yet.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Day 3</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Write your organiser list</w:t>
            </w:r>
          </w:p>
          <w:p>
            <w:pPr>
              <w:jc w:val="both"/>
            </w:pPr>
            <w:r>
              <w:rPr>
                <w:rFonts w:ascii="Arial" w:cs="Arial" w:eastAsia="Arial" w:hAnsi="Arial"/>
                <w:color w:val="6B6866"/>
                <w:sz w:val="21"/>
                <w:szCs w:val="21"/>
              </w:rPr>
              <w:t xml:space="preserve">Name fifteen real people or organisations in Kampala who run events. Write down exactly where you would find them. This is your hunting list.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Day 4–5</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Go to two of them in person</w:t>
            </w:r>
          </w:p>
          <w:p>
            <w:pPr>
              <w:jc w:val="both"/>
            </w:pPr>
            <w:r>
              <w:rPr>
                <w:rFonts w:ascii="Arial" w:cs="Arial" w:eastAsia="Arial" w:hAnsi="Arial"/>
                <w:color w:val="6B6866"/>
                <w:sz w:val="21"/>
                <w:szCs w:val="21"/>
              </w:rPr>
              <w:t xml:space="preserve">No email first. Walk in. Introduce yourself and the product. Show the app on your phone. Ask if they have an upcoming event. Leave with either a commitment or a specific objection you can learn from.</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Day 6</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Set up your tracking spreadsheet</w:t>
            </w:r>
          </w:p>
          <w:p>
            <w:pPr>
              <w:jc w:val="both"/>
            </w:pPr>
            <w:r>
              <w:rPr>
                <w:rFonts w:ascii="Arial" w:cs="Arial" w:eastAsia="Arial" w:hAnsi="Arial"/>
                <w:color w:val="6B6866"/>
                <w:sz w:val="21"/>
                <w:szCs w:val="21"/>
              </w:rPr>
              <w:t xml:space="preserve">Organiser name, contact, status, next action, date. This is your CRM for the next six months. Keep it religiously.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F6B00"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Day 7</w:t>
            </w:r>
          </w:p>
        </w:tc>
        <w:tc>
          <w:tcPr>
            <w:tcW w:type="dxa" w:w="8460"/>
            <w:tcBorders>
              <w:top w:val="single" w:color="DEDBD4" w:sz="1"/>
              <w:left w:val="none" w:color="FFFFFF" w:sz="0"/>
              <w:bottom w:val="single" w:color="DEDBD4" w:sz="1"/>
              <w:right w:val="single" w:color="DEDBD4" w:sz="1"/>
            </w:tcBorders>
            <w:shd w:fill="FFFFFF" w:val="clear"/>
            <w:tcMar>
              <w:top w:type="dxa" w:w="100"/>
              <w:left w:type="dxa" w:w="200"/>
              <w:bottom w:type="dxa" w:w="100"/>
              <w:right w:type="dxa" w:w="160"/>
            </w:tcMar>
          </w:tcPr>
          <w:p>
            <w:pPr>
              <w:spacing w:after="40" w:before="0"/>
            </w:pPr>
            <w:r>
              <w:rPr>
                <w:rFonts w:ascii="Arial" w:cs="Arial" w:eastAsia="Arial" w:hAnsi="Arial"/>
                <w:b/>
                <w:bCs/>
                <w:color w:val="0F0F1A"/>
                <w:sz w:val="22"/>
                <w:szCs w:val="22"/>
              </w:rPr>
              <w:t xml:space="preserve">Post your second TikTok</w:t>
            </w:r>
          </w:p>
          <w:p>
            <w:pPr>
              <w:jc w:val="both"/>
            </w:pPr>
            <w:r>
              <w:rPr>
                <w:rFonts w:ascii="Arial" w:cs="Arial" w:eastAsia="Arial" w:hAnsi="Arial"/>
                <w:color w:val="6B6866"/>
                <w:sz w:val="21"/>
                <w:szCs w:val="21"/>
              </w:rPr>
              <w:t xml:space="preserve">Film the moment you show the app to someone in person, if they consent. Authentic reactions are the most powerful content you can create at this stage.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0F1A" w:val="clear"/>
            <w:tcMar>
              <w:top w:type="dxa" w:w="300"/>
              <w:left w:type="dxa" w:w="480"/>
              <w:bottom w:type="dxa" w:w="300"/>
              <w:right w:type="dxa" w:w="480"/>
            </w:tcMar>
          </w:tcPr>
          <w:p>
            <w:pPr>
              <w:spacing w:after="40" w:before="40"/>
              <w:jc w:val="center"/>
            </w:pPr>
            <w:r>
              <w:rPr>
                <w:rFonts w:ascii="Arial" w:cs="Arial" w:eastAsia="Arial" w:hAnsi="Arial"/>
                <w:b w:val="false"/>
                <w:bCs w:val="false"/>
                <w:i/>
                <w:iCs/>
                <w:color w:val="FFFFFF"/>
                <w:sz w:val="30"/>
                <w:szCs w:val="30"/>
              </w:rPr>
              <w:t xml:space="preserve">The platform that owns Kampala’s events owns</w:t>
            </w:r>
          </w:p>
          <w:p>
            <w:pPr>
              <w:spacing w:after="40" w:before="40"/>
              <w:jc w:val="center"/>
            </w:pPr>
            <w:r>
              <w:rPr>
                <w:rFonts w:ascii="Arial" w:cs="Arial" w:eastAsia="Arial" w:hAnsi="Arial"/>
                <w:b w:val="false"/>
                <w:bCs w:val="false"/>
                <w:i/>
                <w:iCs/>
                <w:color w:val="FFFFFF"/>
                <w:sz w:val="30"/>
                <w:szCs w:val="30"/>
              </w:rPr>
              <w:t xml:space="preserve">East Africa’s events next.</w:t>
            </w:r>
          </w:p>
          <w:p>
            <w:pPr>
              <w:spacing w:after="40" w:before="40"/>
              <w:jc w:val="center"/>
            </w:pPr>
            <w:r>
              <w:rPr>
                <w:rFonts w:ascii="Arial" w:cs="Arial" w:eastAsia="Arial" w:hAnsi="Arial"/>
                <w:b w:val="false"/>
                <w:bCs w:val="false"/>
                <w:i w:val="false"/>
                <w:iCs w:val="false"/>
                <w:color w:val="FFFFFF"/>
                <w:sz w:val="20"/>
                <w:szCs w:val="20"/>
              </w:rPr>
              <w:t xml:space="preserve"> </w:t>
            </w:r>
          </w:p>
          <w:p>
            <w:pPr>
              <w:spacing w:after="40" w:before="40"/>
              <w:jc w:val="center"/>
            </w:pPr>
            <w:r>
              <w:rPr>
                <w:rFonts w:ascii="Arial" w:cs="Arial" w:eastAsia="Arial" w:hAnsi="Arial"/>
                <w:b/>
                <w:bCs/>
                <w:i w:val="false"/>
                <w:iCs w:val="false"/>
                <w:color w:val="FFFFFF"/>
                <w:sz w:val="40"/>
                <w:szCs w:val="40"/>
              </w:rPr>
              <w:t xml:space="preserve">Start today. Not tomorrow. Today.</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ED6" w:sz="4" w:space="4"/>
      </w:pBdr>
      <w:jc w:val="center"/>
    </w:pPr>
    <w:r>
      <w:rPr>
        <w:rFonts w:ascii="Arial" w:cs="Arial" w:eastAsia="Arial" w:hAnsi="Arial"/>
        <w:color w:val="6B6866"/>
        <w:sz w:val="16"/>
        <w:szCs w:val="16"/>
      </w:rPr>
      <w:t xml:space="preserve">Confidential  —  Toka Events 2025</w:t>
    </w:r>
    <w:r>
      <w:rPr>
        <w:rFonts w:ascii="Arial" w:cs="Arial" w:eastAsia="Arial" w:hAnsi="Arial"/>
        <w:color w:val="6B6866"/>
        <w:sz w:val="16"/>
        <w:szCs w:val="16"/>
      </w:rPr>
      <w:t xml:space="preserve">     Page </w:t>
    </w:r>
    <w:r>
      <w:rPr>
        <w:rFonts w:ascii="Arial" w:cs="Arial" w:eastAsia="Arial" w:hAnsi="Arial"/>
        <w:color w:val="6B68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ED6" w:sz="4" w:space="4"/>
      </w:pBdr>
      <w:spacing w:after="0"/>
    </w:pPr>
    <w:r>
      <w:rPr>
        <w:rFonts w:ascii="Arial" w:cs="Arial" w:eastAsia="Arial" w:hAnsi="Arial"/>
        <w:b/>
        <w:bCs/>
        <w:color w:val="FF6B00"/>
        <w:sz w:val="16"/>
        <w:szCs w:val="16"/>
      </w:rPr>
      <w:t xml:space="preserve">TOKA EVENTS</w:t>
    </w:r>
    <w:r>
      <w:rPr>
        <w:rFonts w:ascii="Arial" w:cs="Arial" w:eastAsia="Arial" w:hAnsi="Arial"/>
        <w:color w:val="6B6866"/>
        <w:sz w:val="16"/>
        <w:szCs w:val="16"/>
      </w:rPr>
      <w:t xml:space="preserve">   |   Volume II: Unsolved Problems &amp; Growth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00"/>
      <w:outlineLvl w:val="0"/>
    </w:pPr>
    <w:rPr>
      <w:rFonts w:ascii="Arial" w:cs="Arial" w:eastAsia="Arial" w:hAnsi="Arial"/>
      <w:b/>
      <w:bCs/>
      <w:color w:val="0F0F1A"/>
      <w:sz w:val="42"/>
      <w:szCs w:val="42"/>
    </w:rPr>
  </w:style>
  <w:style w:type="paragraph" w:styleId="Heading2">
    <w:name w:val="Heading 2"/>
    <w:basedOn w:val="Normal"/>
    <w:next w:val="Normal"/>
    <w:qFormat/>
    <w:pPr>
      <w:spacing w:after="100" w:before="280"/>
      <w:outlineLvl w:val="1"/>
    </w:pPr>
    <w:rPr>
      <w:rFonts w:ascii="Arial" w:cs="Arial" w:eastAsia="Arial" w:hAnsi="Arial"/>
      <w:b/>
      <w:bCs/>
      <w:color w:val="0F0F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2026-04-05T15:50:11.150Z</dcterms:created>
  <dcterms:modified xsi:type="dcterms:W3CDTF">2026-04-05T15:50:11.150Z</dcterms:modified>
</cp:coreProperties>
</file>

<file path=docProps/custom.xml><?xml version="1.0" encoding="utf-8"?>
<Properties xmlns="http://schemas.openxmlformats.org/officeDocument/2006/custom-properties" xmlns:vt="http://schemas.openxmlformats.org/officeDocument/2006/docPropsVTypes"/>
</file>