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1.3-未决问题清单"/>
    <w:p>
      <w:pPr>
        <w:pStyle w:val="Title"/>
        <w:spacing w:before="360"/>
        <w:jc w:val="center"/>
      </w:pPr>
      <w:r>
        <w:t>V1.3.4 未决问题清单</w:t>
      </w:r>
    </w:p>
    <w:p>
      <w:pPr>
        <w:pStyle w:val="FirstParagraph"/>
        <w:spacing w:after="0"/>
      </w:pPr>
      <w:r>
        <w:t>本清单只保留无法在 V1.3.4 最终定稿中由历史数据、官方接口文本或确定性工程规则解决的问题。LOCAL_SUBMISSION/VENUE_OBSERVED、完整事务字段、不变量唯一编号、Stage B/Stage C职责和版式收口已经冻结，不再列为 TODO。</w:t>
      </w:r>
    </w:p>
    <w:tbl>
      <w:tblPr>
        <w:tblW w:type="pct" w:w="500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tblHeader w:val="true"/>
          <w:tblHeader w:val="true"/>
          <w:cantSplit/>
        </w:trP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 xml:space="preserve">ID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 xml:space="preserve">未决问题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 xml:space="preserve">为什么现在不能确定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 xml:space="preserve">状态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 xml:space="preserve">所需证据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 xml:space="preserve">解决阶段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 xml:space="preserve">阻塞范围</w:t>
            </w:r>
          </w:p>
        </w:tc>
      </w:tr>
      <w:tr>
        <w:trPr>
          <w:cantSplit/>
        </w:trP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U-001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灾难止损最终使用 MARK_PRICE 还是 CONTRACT_PRICE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历史无秒级Mark，且两种触发在极端行情的实际保护效果需前向比较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BLOCKED_BY_FORWARD_VALIDATION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Algo触发、Mark/Contract偏离、实际退出时间线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Execution Spike + F1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small-live</w:t>
            </w:r>
          </w:p>
        </w:tc>
      </w:tr>
      <w:tr>
        <w:trPr>
          <w:cantSplit/>
        </w:trP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U-002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Algo active status映射和适配器事件完整性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官方能力可读，但具体SDK/Nautilus映射需实测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BLOCKED_BY_FORWARD_VALIDATION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create/query/cancel/ALGO_UPDATE/restart测试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Spike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影子自动状态</w:t>
            </w:r>
          </w:p>
        </w:tc>
      </w:tr>
      <w:tr>
        <w:trPr>
          <w:cantSplit/>
        </w:trP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U-003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Nautilus Binance适配是否完整覆盖当前Algo Service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框架版本可能滞后于交易所接口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BLOCKED_BY_FORWARD_VALIDATION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固定版本集成测试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Spike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执行适配选型</w:t>
            </w:r>
          </w:p>
        </w:tc>
      </w:tr>
      <w:tr>
        <w:trPr>
          <w:cantSplit/>
        </w:trP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U-004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t>正常退出 LIMIT IOC 后 MARKET 回退的时限和滑点包络（订单腿语义已冻结）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t>ExitOrderLeg与同epoch顺序回退规则已确定；仅真实等待时间、滑点包络和触发参数缺少前向分布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BLOCKED_BY_FORWARD_VALIDATION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影子和极小资金订单时间线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F1/小额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small-live</w:t>
            </w:r>
          </w:p>
        </w:tc>
      </w:tr>
      <w:tr>
        <w:trPr>
          <w:cantSplit/>
        </w:trP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U-005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stop_trigger_to_fill_stress_bps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需要真实止损尾部滑点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BASELINE → F1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分位数与极端样本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小额校准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100x开仓风险门</w:t>
            </w:r>
          </w:p>
        </w:tc>
      </w:tr>
      <w:tr>
        <w:trPr>
          <w:cantSplit/>
        </w:trP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U-006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mark_contract_divergence_stress_bps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历史Mark粒度不足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BASELINE → F1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前向Mark/Contract同步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前向影子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100x开仓风险门</w:t>
            </w:r>
          </w:p>
        </w:tc>
      </w:tr>
      <w:tr>
        <w:trPr>
          <w:cantSplit/>
        </w:trP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U-007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key level来源优先级、合并容差、episode间隔与re-arm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属于事件研究参数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RESEARCH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条件基线、簇稳定性、样本外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阶段2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事件冻结</w:t>
            </w:r>
          </w:p>
        </w:tc>
      </w:tr>
      <w:tr>
        <w:trPr>
          <w:cantSplit/>
        </w:trP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U-008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max_target_bps_allowed_for_event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需要事件MFE和单轮目标可达性分布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RESEARCH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H1/H2/H3路径实验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阶段2-3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部分成交继续条件</w:t>
            </w:r>
          </w:p>
        </w:tc>
      </w:tr>
      <w:tr>
        <w:trPr>
          <w:cantSplit/>
        </w:trP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U-009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15-35bp止损范围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仅为经验起点，且需结合强平缓冲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RESEARCH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MAE/MFE、H3、F1尾部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阶段2-3/F1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small-live</w:t>
            </w:r>
          </w:p>
        </w:tc>
      </w:tr>
      <w:tr>
        <w:trPr>
          <w:cantSplit/>
        </w:trP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U-010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+20%净ROE激活和阶梯参数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尚未证明优于简单退出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RESEARCH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路径依赖回放和锁定历史重放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阶段3-4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持仓规则</w:t>
            </w:r>
          </w:p>
        </w:tc>
      </w:tr>
      <w:tr>
        <w:trPr>
          <w:cantSplit/>
        </w:trP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U-011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5/8分钟及15/25分钟退出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需要Time-to-Activation和Time-since-MFE条件期望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RESEARCH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生存/竞争事件统计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阶段2-3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持仓规则</w:t>
            </w:r>
          </w:p>
        </w:tc>
      </w:tr>
      <w:tr>
        <w:trPr>
          <w:cantSplit/>
        </w:trP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U-012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H3主成本、延迟和止损尾部情景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当前只能预注册压力，不是真值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RESEARCH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F1执行分布回校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阶段3/5/7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H3解释范围</w:t>
            </w:r>
          </w:p>
        </w:tc>
      </w:tr>
      <w:tr>
        <w:trPr>
          <w:cantSplit/>
        </w:trP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U-013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F1无条件单轮成功概率是否足以支持多轮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H3只能给出分执行情景条件概率；真实执行情景分布和单轮样本尚不足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RESEARCH / BLOCKED_BY_FORWARD_VALIDATION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条件概率、F1执行情景经验分布、不确定性区间和预注册单轮实验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阶段5/7/8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阶段9</w:t>
            </w:r>
          </w:p>
        </w:tc>
      </w:tr>
      <w:tr>
        <w:trPr>
          <w:cantSplit/>
        </w:trP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U-014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复利后期仓位容量、杠杆档位和订单冲击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初始小仓不能外推至指数增长规模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BLOCKED_BY_FORWARD_VALIDATION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分规模执行和leverage bracket研究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阶段9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3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 xml:space="preserve">多轮复利</w:t>
            </w:r>
          </w:p>
        </w:tc>
      </w:tr>
    </w:tbl>
    <w:bookmarkStart w:id="20" w:name="不属于未决问题的事项"/>
    <w:p>
      <w:pPr>
        <w:pStyle w:val="Heading2"/>
      </w:pPr>
      <w:r>
        <w:rPr>
          <w:rFonts w:ascii="Noto Sans CJK SC" w:hAnsi="Noto Sans CJK SC" w:eastAsia="Noto Sans CJK SC"/>
        </w:rPr>
        <w:t xml:space="preserve">不属于未决问题的事项</w:t>
      </w:r>
    </w:p>
    <w:p>
      <w:pPr>
        <w:pStyle w:val="FirstParagraph"/>
        <w:spacing w:after="0"/>
      </w:pPr>
      <w:r>
        <w:t>以下已经在 V1.3.1 或 V1.3.2 冻结，Codex不得自行选择：</w:t>
      </w:r>
    </w:p>
    <w:p>
      <w:pPr>
        <w:pStyle w:val="Compact"/>
        <w:numPr>
          <w:ilvl w:val="0"/>
          <w:numId w:val="1001"/>
        </w:numPr>
        <w:spacing w:after="0"/>
      </w:pPr>
      <w:r>
        <w:rPr>
          <w:rFonts w:ascii="Noto Sans CJK SC" w:hAnsi="Noto Sans CJK SC" w:eastAsia="Noto Sans CJK SC"/>
        </w:rPr>
        <w:t xml:space="preserve">条件灾难止损不直接改单；</w:t>
      </w:r>
    </w:p>
    <w:p>
      <w:pPr>
        <w:pStyle w:val="Compact"/>
        <w:numPr>
          <w:ilvl w:val="0"/>
          <w:numId w:val="1001"/>
        </w:numPr>
        <w:spacing w:after="0"/>
      </w:pPr>
      <w:r>
        <w:rPr>
          <w:rFonts w:ascii="Noto Sans CJK SC" w:hAnsi="Noto Sans CJK SC" w:eastAsia="Noto Sans CJK SC"/>
        </w:rPr>
        <w:t xml:space="preserve">所有退出经过ExitCoordinator；</w:t>
      </w:r>
    </w:p>
    <w:p>
      <w:pPr>
        <w:pStyle w:val="Compact"/>
        <w:numPr>
          <w:ilvl w:val="0"/>
          <w:numId w:val="1001"/>
        </w:numPr>
        <w:spacing w:after="0"/>
      </w:pPr>
      <w:r>
        <w:rPr>
          <w:rFonts w:ascii="Noto Sans CJK SC" w:hAnsi="Noto Sans CJK SC" w:eastAsia="Noto Sans CJK SC"/>
        </w:rPr>
        <w:t xml:space="preserve">UNKNOWN不得换ID盲重发；</w:t>
      </w:r>
    </w:p>
    <w:p>
      <w:pPr>
        <w:pStyle w:val="Compact"/>
        <w:numPr>
          <w:ilvl w:val="0"/>
          <w:numId w:val="1001"/>
        </w:numPr>
        <w:spacing w:after="0"/>
      </w:pPr>
      <w:r>
        <w:rPr>
          <w:rFonts w:ascii="Noto Sans CJK SC" w:hAnsi="Noto Sans CJK SC" w:eastAsia="Noto Sans CJK SC"/>
        </w:rPr>
        <w:t xml:space="preserve">真实成交PnL不二次扣滑点；</w:t>
      </w:r>
    </w:p>
    <w:p>
      <w:pPr>
        <w:pStyle w:val="Compact"/>
        <w:numPr>
          <w:ilvl w:val="0"/>
          <w:numId w:val="1001"/>
        </w:numPr>
        <w:spacing w:after="0"/>
      </w:pPr>
      <w:r>
        <w:rPr>
          <w:rFonts w:ascii="Noto Sans CJK SC" w:hAnsi="Noto Sans CJK SC" w:eastAsia="Noto Sans CJK SC"/>
        </w:rPr>
        <w:t xml:space="preserve">一轮最多一个非零成交EntryIntent；</w:t>
      </w:r>
    </w:p>
    <w:p>
      <w:pPr>
        <w:pStyle w:val="Compact"/>
        <w:numPr>
          <w:ilvl w:val="0"/>
          <w:numId w:val="1001"/>
        </w:numPr>
        <w:spacing w:after="0"/>
      </w:pPr>
      <w:r>
        <w:rPr>
          <w:rFonts w:ascii="Noto Sans CJK SC" w:hAnsi="Noto Sans CJK SC" w:eastAsia="Noto Sans CJK SC"/>
        </w:rPr>
        <w:t xml:space="preserve">部分成交按可达性而非80%判断；</w:t>
      </w:r>
    </w:p>
    <w:p>
      <w:pPr>
        <w:pStyle w:val="Compact"/>
        <w:numPr>
          <w:ilvl w:val="0"/>
          <w:numId w:val="1001"/>
        </w:numPr>
        <w:spacing w:after="0"/>
      </w:pPr>
      <w:r>
        <w:rPr>
          <w:rFonts w:ascii="Noto Sans CJK SC" w:hAnsi="Noto Sans CJK SC" w:eastAsia="Noto Sans CJK SC"/>
        </w:rPr>
        <w:t xml:space="preserve">ROUND_SUCCESS必须flat、清理完成且票面达标；</w:t>
      </w:r>
    </w:p>
    <w:p>
      <w:pPr>
        <w:pStyle w:val="Compact"/>
        <w:numPr>
          <w:ilvl w:val="0"/>
          <w:numId w:val="1001"/>
        </w:numPr>
        <w:spacing w:after="0"/>
      </w:pPr>
      <w:r>
        <w:rPr>
          <w:rFonts w:ascii="Noto Sans CJK SC" w:hAnsi="Noto Sans CJK SC" w:eastAsia="Noto Sans CJK SC"/>
        </w:rPr>
        <w:t xml:space="preserve">market_episode消费不依赖strategy_version；</w:t>
      </w:r>
    </w:p>
    <w:p>
      <w:pPr>
        <w:pStyle w:val="Compact"/>
        <w:numPr>
          <w:ilvl w:val="0"/>
          <w:numId w:val="1001"/>
        </w:numPr>
        <w:spacing w:after="0"/>
      </w:pPr>
      <w:r>
        <w:rPr>
          <w:rFonts w:ascii="Noto Sans CJK SC" w:hAnsi="Noto Sans CJK SC" w:eastAsia="Noto Sans CJK SC"/>
        </w:rPr>
        <w:t xml:space="preserve">LOCKED和轮结果跨重启持久化；</w:t>
      </w:r>
    </w:p>
    <w:p>
      <w:pPr>
        <w:pStyle w:val="Compact"/>
        <w:numPr>
          <w:ilvl w:val="0"/>
          <w:numId w:val="1001"/>
        </w:numPr>
        <w:spacing w:after="0"/>
      </w:pPr>
      <w:r>
        <w:rPr>
          <w:rFonts w:ascii="Noto Sans CJK SC" w:hAnsi="Noto Sans CJK SC" w:eastAsia="Noto Sans CJK SC"/>
        </w:rPr>
        <w:t xml:space="preserve">历史Quote/Mark/L2/延迟/自有成交字段不得伪造。</w:t>
      </w:r>
    </w:p>
    <w:p>
      <w:pPr>
        <w:pStyle w:val="Compact"/>
        <w:spacing w:after="0"/>
      </w:pPr>
      <w:r>
        <w:t>H3只报告带执行情景条件的 conditional_round_success_probability；</w:t>
      </w:r>
    </w:p>
    <w:p>
      <w:pPr>
        <w:pStyle w:val="Compact"/>
        <w:spacing w:after="0"/>
      </w:pPr>
      <w:r>
        <w:t>position_instance_id 与 position_revision 的生命周期和迟到事件规则已经冻结；</w:t>
      </w:r>
    </w:p>
    <w:p>
      <w:pPr>
        <w:pStyle w:val="Compact"/>
        <w:spacing w:after="0"/>
      </w:pPr>
      <w:r>
        <w:t>POSITION_FLAT 必须通过 FlatConfirmationProtocol；</w:t>
      </w:r>
    </w:p>
    <w:p>
      <w:pPr>
        <w:pStyle w:val="Compact"/>
        <w:spacing w:after="0"/>
      </w:pPr>
      <w:r>
        <w:t>灾难止损与主动退出竞态、退出所有权及第三退出禁令已经冻结；</w:t>
      </w:r>
    </w:p>
    <w:p>
      <w:pPr>
        <w:pStyle w:val="Compact"/>
        <w:spacing w:after="0"/>
      </w:pPr>
      <w:r>
        <w:t>降低仓位或杠杆后必须完整重跑 ReSizingRevalidationPipeline。</w:t>
      </w:r>
    </w:p>
    <w:p>
      <w:pPr>
        <w:pStyle w:val="Compact"/>
        <w:spacing w:after="0"/>
      </w:pPr>
      <w:r>
        <w:t>POSITION_QTY_ZERO_CONFIRMED、RESIDUAL_ORDER_CLEANUP 与 POSITION_FLAT 已分离；只有最终 flat 后判定轮结果。</w:t>
      </w:r>
    </w:p>
    <w:p>
      <w:pPr>
        <w:pStyle w:val="Compact"/>
        <w:spacing w:after="0"/>
      </w:pPr>
      <w:r>
        <w:t>active_exit_epoch 与 position_revision 通过 ExitEpochCreationTransaction 原子提交，revision 冲突时不得下单。</w:t>
      </w:r>
    </w:p>
    <w:p>
      <w:pPr>
        <w:pStyle w:val="Compact"/>
        <w:spacing w:after="0"/>
      </w:pPr>
      <w:r>
        <w:t>一个 exit_epoch 可包含顺序 ExitOrderLeg；同时最多一个本地主动非终态腿，UNKNOWN 阻塞后续腿，所有成交统一聚合会计。</w:t>
      </w:r>
    </w:p>
    <w:p>
      <w:pPr>
        <w:pStyle w:val="Compact"/>
        <w:spacing w:after="0"/>
      </w:pPr>
      <w:r>
        <w:t>V1.3.4 已冻结而不属于未决问题：本地退出与交易所既有灾难事实使用不同 Bootstrap 模式；两个原子事务字段、默认值和时间源完整；INV ID 全局唯一且 INV-012 使用 final_realized_ticket_equity；Stage B 唯一执行残余清理，Stage C 只验证；相关规则不得由 Codex 自行选择。</w:t>
      </w:r>
    </w:p>
    <w:bookmarkEnd w:id="20"/>
    <w:bookmarkEnd w:id="21"/>
    <w:sectPr>
      <w:headerReference w:type="default" r:id="rId9"/>
      <w:footerReference w:type="default" r:id="rId10"/>
      <w:footerReference w:type="first" r:id="rId11"/>
      <w:headerReference w:type="first" r:id="rId12"/>
      <w:pgSz w:w="11906" w:h="16838"/>
      <w:pgMar w:top="879" w:bottom="822" w:left="935" w:right="935" w:header="340" w:footer="3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V1.3.4 未决问题清单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71" w:lineRule="auto"/>
    </w:pPr>
    <w:rPr>
      <w:rFonts w:ascii="Noto Sans CJK SC" w:hAnsi="Noto Sans CJK SC" w:eastAsia="Noto Sans CJK SC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00" w:before="0"/>
      <w:jc w:val="center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7365D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60" w:before="0"/>
      <w:jc w:val="center"/>
    </w:pPr>
    <w:rPr>
      <w:rFonts w:ascii="Noto Sans CJK SC" w:hAnsi="Noto Sans CJK SC" w:eastAsia="Noto Sans CJK SC"/>
      <w:b/>
      <w:color w:val="1F4E78"/>
      <w:sz w:val="3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60" w:after="100" w:line="240" w:lineRule="auto"/>
      <w:ind w:left="142" w:right="85"/>
      <w:shd w:fill="F2F4F7"/>
      <w:pBdr>
        <w:left w:val="single" w:sz="16" w:space="4" w:color="1F4E78"/>
      </w:pBdr>
      <w:shd w:fill="F2F4F7"/>
      <w:pBdr>
        <w:left w:val="single" w:sz="16" w:space="4" w:color="1F4E78"/>
      </w:pBdr>
    </w:pPr>
    <w:rPr>
      <w:rFonts w:ascii="Noto Sans Mono CJK SC" w:hAnsi="Noto Sans Mono CJK SC" w:eastAsia="Noto Sans Mono CJK SC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V1.3.1 未决问题清单</dc:title>
  <dc:creator>Muce / OpenAI</dc:creator>
  <cp:keywords/>
  <dcterms:created xsi:type="dcterms:W3CDTF">2026-07-11T09:31:34Z</dcterms:created>
  <dcterms:modified xsi:type="dcterms:W3CDTF">2026-07-11T09:31:34Z</dcterms:modified>
  <dc:subject>100x高确认赌博交易系统 V1.3</dc:subject>
  <dc:description>由V1.2与敌对式逻辑审计报告整合修订。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